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CAEE8" w14:textId="77777777" w:rsidR="00A32B5C" w:rsidRDefault="00A32B5C">
      <w:pPr>
        <w:pStyle w:val="Default"/>
        <w:jc w:val="center"/>
        <w:rPr>
          <w:b/>
          <w:sz w:val="22"/>
          <w:szCs w:val="22"/>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815"/>
        <w:gridCol w:w="974"/>
        <w:gridCol w:w="196"/>
        <w:gridCol w:w="1019"/>
        <w:gridCol w:w="5785"/>
      </w:tblGrid>
      <w:tr w:rsidR="00A32B5C" w14:paraId="32DA02A3" w14:textId="77777777" w:rsidTr="005E2113">
        <w:trPr>
          <w:trHeight w:val="242"/>
        </w:trPr>
        <w:tc>
          <w:tcPr>
            <w:tcW w:w="9606" w:type="dxa"/>
            <w:gridSpan w:val="6"/>
          </w:tcPr>
          <w:p w14:paraId="05EEBD1F" w14:textId="77777777" w:rsidR="00A32B5C" w:rsidRPr="005E2113" w:rsidRDefault="00A32B5C">
            <w:pPr>
              <w:jc w:val="center"/>
              <w:rPr>
                <w:b/>
              </w:rPr>
            </w:pPr>
            <w:r>
              <w:rPr>
                <w:b/>
              </w:rPr>
              <w:t>Review comments on the draft monitoring framework for the post-2020 global biodiversity framework</w:t>
            </w:r>
          </w:p>
        </w:tc>
      </w:tr>
      <w:tr w:rsidR="00A32B5C" w14:paraId="5E9869F4" w14:textId="77777777" w:rsidTr="005E2113">
        <w:trPr>
          <w:trHeight w:val="233"/>
        </w:trPr>
        <w:tc>
          <w:tcPr>
            <w:tcW w:w="9606" w:type="dxa"/>
            <w:gridSpan w:val="6"/>
            <w:shd w:val="clear" w:color="auto" w:fill="C0C0C0"/>
          </w:tcPr>
          <w:p w14:paraId="70A3FFC7" w14:textId="77777777" w:rsidR="00A32B5C" w:rsidRPr="005E2113" w:rsidRDefault="00A32B5C">
            <w:pPr>
              <w:jc w:val="center"/>
              <w:rPr>
                <w:i/>
              </w:rPr>
            </w:pPr>
            <w:r>
              <w:rPr>
                <w:i/>
              </w:rPr>
              <w:t>Contact information</w:t>
            </w:r>
          </w:p>
        </w:tc>
      </w:tr>
      <w:tr w:rsidR="00A32B5C" w14:paraId="08FDE9C0" w14:textId="77777777" w:rsidTr="005E2113">
        <w:trPr>
          <w:trHeight w:val="270"/>
        </w:trPr>
        <w:tc>
          <w:tcPr>
            <w:tcW w:w="2802" w:type="dxa"/>
            <w:gridSpan w:val="4"/>
          </w:tcPr>
          <w:p w14:paraId="1825AECD" w14:textId="77777777" w:rsidR="00A32B5C" w:rsidRPr="005E2113" w:rsidRDefault="00A32B5C">
            <w:pPr>
              <w:pStyle w:val="Form"/>
              <w:rPr>
                <w:rFonts w:ascii="Times New Roman" w:hAnsi="Times New Roman"/>
                <w:b/>
                <w:sz w:val="22"/>
              </w:rPr>
            </w:pPr>
            <w:r>
              <w:rPr>
                <w:rFonts w:ascii="Times New Roman" w:hAnsi="Times New Roman" w:cs="Times New Roman"/>
                <w:b/>
                <w:sz w:val="22"/>
                <w:szCs w:val="22"/>
              </w:rPr>
              <w:t>Surname:</w:t>
            </w:r>
          </w:p>
        </w:tc>
        <w:tc>
          <w:tcPr>
            <w:tcW w:w="6804" w:type="dxa"/>
            <w:gridSpan w:val="2"/>
          </w:tcPr>
          <w:p w14:paraId="78AFBD4B" w14:textId="77777777" w:rsidR="00A32B5C" w:rsidRDefault="00A32B5C">
            <w:r>
              <w:t>Scholz</w:t>
            </w:r>
          </w:p>
        </w:tc>
      </w:tr>
      <w:tr w:rsidR="00A32B5C" w14:paraId="3359C6A9" w14:textId="77777777" w:rsidTr="005E2113">
        <w:trPr>
          <w:trHeight w:val="270"/>
        </w:trPr>
        <w:tc>
          <w:tcPr>
            <w:tcW w:w="2802" w:type="dxa"/>
            <w:gridSpan w:val="4"/>
          </w:tcPr>
          <w:p w14:paraId="0FFD15D6" w14:textId="77777777" w:rsidR="00A32B5C" w:rsidRPr="005E2113" w:rsidRDefault="00A32B5C">
            <w:pPr>
              <w:pStyle w:val="Form"/>
              <w:rPr>
                <w:rFonts w:ascii="Times New Roman" w:hAnsi="Times New Roman"/>
                <w:b/>
                <w:sz w:val="22"/>
              </w:rPr>
            </w:pPr>
            <w:r>
              <w:rPr>
                <w:rFonts w:ascii="Times New Roman" w:hAnsi="Times New Roman" w:cs="Times New Roman"/>
                <w:b/>
                <w:sz w:val="22"/>
                <w:szCs w:val="22"/>
              </w:rPr>
              <w:t>Given Name:</w:t>
            </w:r>
          </w:p>
        </w:tc>
        <w:tc>
          <w:tcPr>
            <w:tcW w:w="6804" w:type="dxa"/>
            <w:gridSpan w:val="2"/>
          </w:tcPr>
          <w:p w14:paraId="7B3B7739" w14:textId="28277334" w:rsidR="00A32B5C" w:rsidRDefault="00CE00CF" w:rsidP="00CE00CF">
            <w:r>
              <w:t>Amber Hartman</w:t>
            </w:r>
          </w:p>
        </w:tc>
      </w:tr>
      <w:tr w:rsidR="00A32B5C" w14:paraId="13D8AD13" w14:textId="77777777" w:rsidTr="005E2113">
        <w:trPr>
          <w:trHeight w:val="280"/>
        </w:trPr>
        <w:tc>
          <w:tcPr>
            <w:tcW w:w="2802" w:type="dxa"/>
            <w:gridSpan w:val="4"/>
          </w:tcPr>
          <w:p w14:paraId="16270C1A" w14:textId="77777777" w:rsidR="00A32B5C" w:rsidRPr="005E2113" w:rsidRDefault="00A32B5C">
            <w:pPr>
              <w:pStyle w:val="Form"/>
              <w:rPr>
                <w:rFonts w:ascii="Times New Roman" w:hAnsi="Times New Roman"/>
                <w:b/>
                <w:sz w:val="22"/>
              </w:rPr>
            </w:pPr>
            <w:r>
              <w:rPr>
                <w:rFonts w:ascii="Times New Roman" w:hAnsi="Times New Roman" w:cs="Times New Roman"/>
                <w:b/>
                <w:sz w:val="22"/>
                <w:szCs w:val="22"/>
              </w:rPr>
              <w:t xml:space="preserve">Government </w:t>
            </w:r>
            <w:r>
              <w:rPr>
                <w:rFonts w:ascii="Times New Roman" w:hAnsi="Times New Roman" w:cs="Times New Roman"/>
                <w:sz w:val="22"/>
                <w:szCs w:val="22"/>
              </w:rPr>
              <w:t>(if applicable)</w:t>
            </w:r>
            <w:r>
              <w:rPr>
                <w:rFonts w:ascii="Times New Roman" w:hAnsi="Times New Roman" w:cs="Times New Roman"/>
                <w:b/>
                <w:sz w:val="22"/>
                <w:szCs w:val="22"/>
              </w:rPr>
              <w:t xml:space="preserve">: </w:t>
            </w:r>
          </w:p>
        </w:tc>
        <w:tc>
          <w:tcPr>
            <w:tcW w:w="6804" w:type="dxa"/>
            <w:gridSpan w:val="2"/>
          </w:tcPr>
          <w:p w14:paraId="7307F897" w14:textId="77777777" w:rsidR="00A32B5C" w:rsidRPr="005E2113" w:rsidRDefault="00A32B5C" w:rsidP="005E2113"/>
        </w:tc>
      </w:tr>
      <w:tr w:rsidR="00A32B5C" w14:paraId="23EDDA7E" w14:textId="77777777" w:rsidTr="005E2113">
        <w:trPr>
          <w:trHeight w:val="270"/>
        </w:trPr>
        <w:tc>
          <w:tcPr>
            <w:tcW w:w="2802" w:type="dxa"/>
            <w:gridSpan w:val="4"/>
          </w:tcPr>
          <w:p w14:paraId="7A745AE3" w14:textId="77777777" w:rsidR="00A32B5C" w:rsidRPr="005E2113" w:rsidRDefault="00A32B5C">
            <w:pPr>
              <w:pStyle w:val="Form"/>
              <w:rPr>
                <w:rFonts w:ascii="Times New Roman" w:hAnsi="Times New Roman"/>
                <w:b/>
                <w:sz w:val="22"/>
              </w:rPr>
            </w:pPr>
            <w:r>
              <w:rPr>
                <w:rFonts w:ascii="Times New Roman" w:hAnsi="Times New Roman" w:cs="Times New Roman"/>
                <w:b/>
                <w:sz w:val="22"/>
                <w:szCs w:val="22"/>
              </w:rPr>
              <w:t>Organization:</w:t>
            </w:r>
          </w:p>
        </w:tc>
        <w:tc>
          <w:tcPr>
            <w:tcW w:w="6804" w:type="dxa"/>
            <w:gridSpan w:val="2"/>
          </w:tcPr>
          <w:p w14:paraId="5CCF9E04" w14:textId="77777777" w:rsidR="00A32B5C" w:rsidRDefault="00A32B5C">
            <w:r>
              <w:t>Leibniz Biodiversity Research Alliance</w:t>
            </w:r>
          </w:p>
        </w:tc>
      </w:tr>
      <w:tr w:rsidR="00A32B5C" w14:paraId="2D2B1563" w14:textId="77777777" w:rsidTr="005E2113">
        <w:trPr>
          <w:trHeight w:val="280"/>
        </w:trPr>
        <w:tc>
          <w:tcPr>
            <w:tcW w:w="2802" w:type="dxa"/>
            <w:gridSpan w:val="4"/>
          </w:tcPr>
          <w:p w14:paraId="76E3E1D8" w14:textId="77777777" w:rsidR="00A32B5C" w:rsidRPr="005E2113" w:rsidRDefault="00A32B5C">
            <w:pPr>
              <w:pStyle w:val="Form"/>
              <w:rPr>
                <w:rFonts w:ascii="Times New Roman" w:hAnsi="Times New Roman"/>
                <w:b/>
                <w:sz w:val="22"/>
              </w:rPr>
            </w:pPr>
            <w:r>
              <w:rPr>
                <w:rFonts w:ascii="Times New Roman" w:hAnsi="Times New Roman" w:cs="Times New Roman"/>
                <w:b/>
                <w:sz w:val="22"/>
                <w:szCs w:val="22"/>
              </w:rPr>
              <w:t xml:space="preserve">Address:  </w:t>
            </w:r>
          </w:p>
        </w:tc>
        <w:tc>
          <w:tcPr>
            <w:tcW w:w="6804" w:type="dxa"/>
            <w:gridSpan w:val="2"/>
          </w:tcPr>
          <w:p w14:paraId="1F5C2603" w14:textId="0E65F86A" w:rsidR="00A32B5C" w:rsidRPr="005E2113" w:rsidRDefault="007449D5" w:rsidP="005E2113">
            <w:r w:rsidRPr="007449D5">
              <w:t>https://www.leibniz-verbund-biodiversitaet.de/en/</w:t>
            </w:r>
          </w:p>
        </w:tc>
      </w:tr>
      <w:tr w:rsidR="00A32B5C" w14:paraId="4B29833E" w14:textId="77777777" w:rsidTr="005E2113">
        <w:trPr>
          <w:trHeight w:val="270"/>
        </w:trPr>
        <w:tc>
          <w:tcPr>
            <w:tcW w:w="2802" w:type="dxa"/>
            <w:gridSpan w:val="4"/>
          </w:tcPr>
          <w:p w14:paraId="68E037B3" w14:textId="77777777" w:rsidR="00A32B5C" w:rsidRPr="005E2113" w:rsidRDefault="00A32B5C">
            <w:pPr>
              <w:pStyle w:val="Form"/>
              <w:rPr>
                <w:rFonts w:ascii="Times New Roman" w:hAnsi="Times New Roman"/>
                <w:b/>
                <w:sz w:val="22"/>
              </w:rPr>
            </w:pPr>
            <w:r>
              <w:rPr>
                <w:rFonts w:ascii="Times New Roman" w:hAnsi="Times New Roman" w:cs="Times New Roman"/>
                <w:b/>
                <w:sz w:val="22"/>
                <w:szCs w:val="22"/>
              </w:rPr>
              <w:t>City:</w:t>
            </w:r>
          </w:p>
        </w:tc>
        <w:tc>
          <w:tcPr>
            <w:tcW w:w="6804" w:type="dxa"/>
            <w:gridSpan w:val="2"/>
          </w:tcPr>
          <w:p w14:paraId="7CC5CBD4" w14:textId="5708375B" w:rsidR="00A32B5C" w:rsidRPr="005E2113" w:rsidRDefault="007449D5" w:rsidP="005E2113">
            <w:r>
              <w:t>Berlin</w:t>
            </w:r>
          </w:p>
        </w:tc>
      </w:tr>
      <w:tr w:rsidR="00A32B5C" w14:paraId="091D51D8" w14:textId="77777777" w:rsidTr="005E2113">
        <w:trPr>
          <w:trHeight w:val="280"/>
        </w:trPr>
        <w:tc>
          <w:tcPr>
            <w:tcW w:w="2802" w:type="dxa"/>
            <w:gridSpan w:val="4"/>
          </w:tcPr>
          <w:p w14:paraId="129CCBDA" w14:textId="77777777" w:rsidR="00A32B5C" w:rsidRPr="005E2113" w:rsidRDefault="00A32B5C">
            <w:pPr>
              <w:pStyle w:val="Form"/>
              <w:rPr>
                <w:rFonts w:ascii="Times New Roman" w:hAnsi="Times New Roman"/>
                <w:b/>
                <w:sz w:val="22"/>
              </w:rPr>
            </w:pPr>
            <w:r>
              <w:rPr>
                <w:rFonts w:ascii="Times New Roman" w:hAnsi="Times New Roman" w:cs="Times New Roman"/>
                <w:b/>
                <w:sz w:val="22"/>
                <w:szCs w:val="22"/>
              </w:rPr>
              <w:t>Country:</w:t>
            </w:r>
          </w:p>
        </w:tc>
        <w:tc>
          <w:tcPr>
            <w:tcW w:w="6804" w:type="dxa"/>
            <w:gridSpan w:val="2"/>
          </w:tcPr>
          <w:p w14:paraId="24451402" w14:textId="77777777" w:rsidR="00A32B5C" w:rsidRDefault="00A32B5C">
            <w:r>
              <w:t>Germany</w:t>
            </w:r>
          </w:p>
        </w:tc>
      </w:tr>
      <w:tr w:rsidR="00A32B5C" w14:paraId="60253585" w14:textId="77777777" w:rsidTr="005E2113">
        <w:trPr>
          <w:trHeight w:val="233"/>
        </w:trPr>
        <w:tc>
          <w:tcPr>
            <w:tcW w:w="2802" w:type="dxa"/>
            <w:gridSpan w:val="4"/>
          </w:tcPr>
          <w:p w14:paraId="44D97906" w14:textId="77777777" w:rsidR="00A32B5C" w:rsidRPr="005E2113" w:rsidRDefault="00A32B5C">
            <w:pPr>
              <w:pStyle w:val="Kommentarthema"/>
              <w:rPr>
                <w:sz w:val="22"/>
              </w:rPr>
            </w:pPr>
            <w:r>
              <w:rPr>
                <w:sz w:val="22"/>
                <w:szCs w:val="22"/>
              </w:rPr>
              <w:t>E-mail:</w:t>
            </w:r>
          </w:p>
        </w:tc>
        <w:tc>
          <w:tcPr>
            <w:tcW w:w="6804" w:type="dxa"/>
            <w:gridSpan w:val="2"/>
          </w:tcPr>
          <w:p w14:paraId="6604C5CD" w14:textId="4CD7B835" w:rsidR="00A32B5C" w:rsidRDefault="00C115BA">
            <w:hyperlink r:id="rId8" w:history="1">
              <w:r w:rsidR="007449D5" w:rsidRPr="00D30347">
                <w:rPr>
                  <w:rStyle w:val="Hyperlink"/>
                </w:rPr>
                <w:t>amber.h.scholz@dsmz.de</w:t>
              </w:r>
            </w:hyperlink>
            <w:r w:rsidR="007449D5">
              <w:t xml:space="preserve"> &amp; </w:t>
            </w:r>
            <w:proofErr w:type="spellStart"/>
            <w:r w:rsidR="007449D5" w:rsidRPr="007449D5">
              <w:t>Nike.Sommerwerk@mfn.berlin</w:t>
            </w:r>
            <w:proofErr w:type="spellEnd"/>
          </w:p>
        </w:tc>
      </w:tr>
      <w:tr w:rsidR="00A32B5C" w14:paraId="5395DA1E" w14:textId="77777777" w:rsidTr="005E2113">
        <w:trPr>
          <w:trHeight w:val="224"/>
        </w:trPr>
        <w:tc>
          <w:tcPr>
            <w:tcW w:w="9606" w:type="dxa"/>
            <w:gridSpan w:val="6"/>
            <w:shd w:val="clear" w:color="auto" w:fill="C0C0C0"/>
          </w:tcPr>
          <w:p w14:paraId="0E830650" w14:textId="77777777" w:rsidR="00A32B5C" w:rsidRPr="005E2113" w:rsidRDefault="00A32B5C">
            <w:pPr>
              <w:jc w:val="center"/>
              <w:rPr>
                <w:b/>
                <w:i/>
              </w:rPr>
            </w:pPr>
            <w:r>
              <w:rPr>
                <w:b/>
                <w:i/>
                <w:highlight w:val="lightGray"/>
              </w:rPr>
              <w:t>General Comments</w:t>
            </w:r>
          </w:p>
        </w:tc>
      </w:tr>
      <w:tr w:rsidR="00A32B5C" w14:paraId="6C87C1AD" w14:textId="77777777" w:rsidTr="005E2113">
        <w:trPr>
          <w:trHeight w:val="224"/>
        </w:trPr>
        <w:tc>
          <w:tcPr>
            <w:tcW w:w="9606" w:type="dxa"/>
            <w:gridSpan w:val="6"/>
          </w:tcPr>
          <w:p w14:paraId="1D13F136" w14:textId="77777777" w:rsidR="0051470F" w:rsidRDefault="006D60F9" w:rsidP="006D60F9">
            <w:r w:rsidRPr="006D60F9">
              <w:t>Given the debate around digital sequence information on genetic resources (</w:t>
            </w:r>
            <w:proofErr w:type="gramStart"/>
            <w:r w:rsidRPr="006D60F9">
              <w:t>DSI)</w:t>
            </w:r>
            <w:proofErr w:type="gramEnd"/>
            <w:r w:rsidRPr="006D60F9">
              <w:t xml:space="preserve"> we found it surprising that there is no mention or placeholder for this topic in the GBF. In Decision CBD/COP/DEC/14/20 Parties have agreed that DSI is important for “for the three objectives of the Convention” and that it “contributes to scientific research as well as to other non-commercial and commercial activities in areas such as biological diversity, food security and human, animal and plant health”. Given this agreement, it would seem logical to reflect this</w:t>
            </w:r>
            <w:r>
              <w:t xml:space="preserve"> agreement</w:t>
            </w:r>
            <w:r w:rsidRPr="006D60F9">
              <w:t xml:space="preserve"> within the GBF document.</w:t>
            </w:r>
            <w:r w:rsidR="0051470F">
              <w:t xml:space="preserve"> P</w:t>
            </w:r>
            <w:r w:rsidR="002F084E">
              <w:t>ossible link</w:t>
            </w:r>
            <w:r w:rsidR="0051470F">
              <w:t>s with DSI could be:</w:t>
            </w:r>
          </w:p>
          <w:p w14:paraId="5E8AD919" w14:textId="77777777" w:rsidR="006D60F9" w:rsidRDefault="002F084E" w:rsidP="0051470F">
            <w:pPr>
              <w:pStyle w:val="Listenabsatz"/>
              <w:numPr>
                <w:ilvl w:val="0"/>
                <w:numId w:val="7"/>
              </w:numPr>
            </w:pPr>
            <w:proofErr w:type="gramStart"/>
            <w:r>
              <w:t>under</w:t>
            </w:r>
            <w:proofErr w:type="gramEnd"/>
            <w:r>
              <w:t xml:space="preserve"> Goal A, </w:t>
            </w:r>
            <w:r w:rsidR="0051470F">
              <w:t xml:space="preserve">“maintaining genetic diversity” as DSI is the only available tool to show whether genetic diversity is actually maintained or not. A new indicator could be “number of species with some sequence data available in public sequence databases” (Table 1, page 2, Column B, new row added after 15 or in Table 1, page 4 column C, row 36 </w:t>
            </w:r>
            <w:proofErr w:type="gramStart"/>
            <w:r w:rsidR="0051470F">
              <w:t>which</w:t>
            </w:r>
            <w:proofErr w:type="gramEnd"/>
            <w:r w:rsidR="0051470F">
              <w:t xml:space="preserve"> does not have an indicator at present).</w:t>
            </w:r>
          </w:p>
          <w:p w14:paraId="36DD8D70" w14:textId="508CB7D5" w:rsidR="0051470F" w:rsidRPr="006D60F9" w:rsidRDefault="0051470F" w:rsidP="0051470F">
            <w:pPr>
              <w:pStyle w:val="Listenabsatz"/>
              <w:numPr>
                <w:ilvl w:val="0"/>
                <w:numId w:val="7"/>
              </w:numPr>
            </w:pPr>
            <w:r>
              <w:t>Under Goal C, Page 6, Column C, new row 74</w:t>
            </w:r>
            <w:proofErr w:type="gramStart"/>
            <w:r>
              <w:t>,  a</w:t>
            </w:r>
            <w:proofErr w:type="gramEnd"/>
            <w:r>
              <w:t xml:space="preserve"> new indicator could be “number of species accessed with geographic information and genetic data available in public databases.”</w:t>
            </w:r>
          </w:p>
        </w:tc>
      </w:tr>
      <w:tr w:rsidR="00A32B5C" w14:paraId="2966E0AB" w14:textId="77777777" w:rsidTr="005E2113">
        <w:trPr>
          <w:trHeight w:val="224"/>
        </w:trPr>
        <w:tc>
          <w:tcPr>
            <w:tcW w:w="9606" w:type="dxa"/>
            <w:gridSpan w:val="6"/>
          </w:tcPr>
          <w:p w14:paraId="2F1DE855" w14:textId="48BABACC" w:rsidR="00A32B5C" w:rsidRPr="00CE00CF" w:rsidRDefault="00CE00CF" w:rsidP="00CE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E00CF">
              <w:t>In general, the development of indicators that provide information on the social asp</w:t>
            </w:r>
            <w:r>
              <w:t>ects of biodiversity change (also known as</w:t>
            </w:r>
            <w:r w:rsidRPr="00CE00CF">
              <w:t xml:space="preserve"> IPBES' </w:t>
            </w:r>
            <w:r>
              <w:t>“</w:t>
            </w:r>
            <w:r w:rsidRPr="00CE00CF">
              <w:t>indirect drivers</w:t>
            </w:r>
            <w:r>
              <w:t>” – here terminology should be made consistent</w:t>
            </w:r>
            <w:r w:rsidRPr="00CE00CF">
              <w:t xml:space="preserve">) should urgently be intensified. In addition to the gaps in indicators for various NCPs (cf. B2 and B3), indicators on "environmental awareness" or "nature awareness", but also on environment-related </w:t>
            </w:r>
            <w:proofErr w:type="gramStart"/>
            <w:r w:rsidRPr="00CE00CF">
              <w:t>crime</w:t>
            </w:r>
            <w:r>
              <w:t xml:space="preserve"> </w:t>
            </w:r>
            <w:r w:rsidRPr="00CE00CF">
              <w:t>,</w:t>
            </w:r>
            <w:proofErr w:type="gramEnd"/>
            <w:r w:rsidRPr="00CE00CF">
              <w:t xml:space="preserve"> offer themselves as important additions. </w:t>
            </w:r>
          </w:p>
        </w:tc>
      </w:tr>
      <w:tr w:rsidR="00A32B5C" w14:paraId="40760480" w14:textId="77777777" w:rsidTr="005E2113">
        <w:trPr>
          <w:trHeight w:val="224"/>
        </w:trPr>
        <w:tc>
          <w:tcPr>
            <w:tcW w:w="9606" w:type="dxa"/>
            <w:gridSpan w:val="6"/>
          </w:tcPr>
          <w:p w14:paraId="6AC5C727" w14:textId="77777777" w:rsidR="00A32B5C" w:rsidRDefault="00A32B5C" w:rsidP="005E2113">
            <w:pPr>
              <w:rPr>
                <w:b/>
                <w:sz w:val="22"/>
                <w:szCs w:val="22"/>
              </w:rPr>
            </w:pPr>
          </w:p>
        </w:tc>
      </w:tr>
      <w:tr w:rsidR="00A32B5C" w14:paraId="7044EA61" w14:textId="77777777" w:rsidTr="005E2113">
        <w:trPr>
          <w:trHeight w:val="224"/>
        </w:trPr>
        <w:tc>
          <w:tcPr>
            <w:tcW w:w="9606" w:type="dxa"/>
            <w:gridSpan w:val="6"/>
          </w:tcPr>
          <w:p w14:paraId="0A977A8B" w14:textId="77777777" w:rsidR="00A32B5C" w:rsidRDefault="00A32B5C" w:rsidP="005E2113">
            <w:pPr>
              <w:rPr>
                <w:b/>
                <w:sz w:val="22"/>
                <w:szCs w:val="22"/>
              </w:rPr>
            </w:pPr>
          </w:p>
        </w:tc>
      </w:tr>
      <w:tr w:rsidR="00A32B5C" w14:paraId="24D41C83" w14:textId="77777777" w:rsidTr="005E2113">
        <w:trPr>
          <w:trHeight w:val="224"/>
        </w:trPr>
        <w:tc>
          <w:tcPr>
            <w:tcW w:w="9606" w:type="dxa"/>
            <w:gridSpan w:val="6"/>
          </w:tcPr>
          <w:p w14:paraId="1EE07ACF" w14:textId="77777777" w:rsidR="00A32B5C" w:rsidRDefault="00A32B5C" w:rsidP="005E2113">
            <w:pPr>
              <w:rPr>
                <w:b/>
                <w:sz w:val="22"/>
                <w:szCs w:val="22"/>
              </w:rPr>
            </w:pPr>
          </w:p>
        </w:tc>
      </w:tr>
      <w:tr w:rsidR="00A32B5C" w14:paraId="29BC19AF" w14:textId="77777777" w:rsidTr="005E2113">
        <w:trPr>
          <w:trHeight w:val="224"/>
        </w:trPr>
        <w:tc>
          <w:tcPr>
            <w:tcW w:w="9606" w:type="dxa"/>
            <w:gridSpan w:val="6"/>
          </w:tcPr>
          <w:p w14:paraId="785681BD" w14:textId="77777777" w:rsidR="00A32B5C" w:rsidRDefault="00A32B5C" w:rsidP="005E2113">
            <w:pPr>
              <w:rPr>
                <w:b/>
                <w:sz w:val="22"/>
                <w:szCs w:val="22"/>
              </w:rPr>
            </w:pPr>
          </w:p>
        </w:tc>
      </w:tr>
      <w:tr w:rsidR="00A32B5C" w14:paraId="0F67BAA2" w14:textId="77777777" w:rsidTr="005E2113">
        <w:trPr>
          <w:trHeight w:val="224"/>
        </w:trPr>
        <w:tc>
          <w:tcPr>
            <w:tcW w:w="9606" w:type="dxa"/>
            <w:gridSpan w:val="6"/>
          </w:tcPr>
          <w:p w14:paraId="30322950" w14:textId="77777777" w:rsidR="00A32B5C" w:rsidRDefault="00A32B5C" w:rsidP="005E2113">
            <w:pPr>
              <w:rPr>
                <w:b/>
                <w:sz w:val="22"/>
                <w:szCs w:val="22"/>
              </w:rPr>
            </w:pPr>
          </w:p>
        </w:tc>
      </w:tr>
      <w:tr w:rsidR="00A32B5C" w14:paraId="65AC981A" w14:textId="77777777" w:rsidTr="005E2113">
        <w:trPr>
          <w:trHeight w:val="224"/>
        </w:trPr>
        <w:tc>
          <w:tcPr>
            <w:tcW w:w="9606" w:type="dxa"/>
            <w:gridSpan w:val="6"/>
          </w:tcPr>
          <w:p w14:paraId="196F80CB" w14:textId="77777777" w:rsidR="00A32B5C" w:rsidRDefault="00A32B5C" w:rsidP="005E2113">
            <w:pPr>
              <w:rPr>
                <w:b/>
                <w:sz w:val="22"/>
                <w:szCs w:val="22"/>
              </w:rPr>
            </w:pPr>
          </w:p>
        </w:tc>
      </w:tr>
      <w:tr w:rsidR="00A32B5C" w14:paraId="18505A04" w14:textId="77777777" w:rsidTr="005E2113">
        <w:trPr>
          <w:trHeight w:val="224"/>
        </w:trPr>
        <w:tc>
          <w:tcPr>
            <w:tcW w:w="9606" w:type="dxa"/>
            <w:gridSpan w:val="6"/>
          </w:tcPr>
          <w:p w14:paraId="29540BAB" w14:textId="77777777" w:rsidR="00A32B5C" w:rsidRDefault="00A32B5C" w:rsidP="005E2113">
            <w:pPr>
              <w:rPr>
                <w:b/>
                <w:sz w:val="22"/>
                <w:szCs w:val="22"/>
              </w:rPr>
            </w:pPr>
          </w:p>
        </w:tc>
      </w:tr>
      <w:tr w:rsidR="00A32B5C" w14:paraId="7C424F2D" w14:textId="77777777" w:rsidTr="005E2113">
        <w:trPr>
          <w:trHeight w:val="224"/>
        </w:trPr>
        <w:tc>
          <w:tcPr>
            <w:tcW w:w="9606" w:type="dxa"/>
            <w:gridSpan w:val="6"/>
          </w:tcPr>
          <w:p w14:paraId="5D9A1C73" w14:textId="77777777" w:rsidR="00A32B5C" w:rsidRDefault="00A32B5C" w:rsidP="005E2113">
            <w:pPr>
              <w:rPr>
                <w:b/>
                <w:sz w:val="22"/>
                <w:szCs w:val="22"/>
              </w:rPr>
            </w:pPr>
          </w:p>
        </w:tc>
      </w:tr>
      <w:tr w:rsidR="00A32B5C" w14:paraId="52F69636" w14:textId="77777777" w:rsidTr="005E2113">
        <w:trPr>
          <w:trHeight w:val="224"/>
        </w:trPr>
        <w:tc>
          <w:tcPr>
            <w:tcW w:w="9606" w:type="dxa"/>
            <w:gridSpan w:val="6"/>
          </w:tcPr>
          <w:p w14:paraId="16E464AA" w14:textId="77777777" w:rsidR="00A32B5C" w:rsidRDefault="00A32B5C" w:rsidP="005E2113">
            <w:pPr>
              <w:rPr>
                <w:b/>
                <w:sz w:val="22"/>
                <w:szCs w:val="22"/>
              </w:rPr>
            </w:pPr>
          </w:p>
        </w:tc>
      </w:tr>
      <w:tr w:rsidR="00A32B5C" w14:paraId="2B91225F" w14:textId="77777777" w:rsidTr="005E2113">
        <w:trPr>
          <w:trHeight w:val="224"/>
        </w:trPr>
        <w:tc>
          <w:tcPr>
            <w:tcW w:w="9606" w:type="dxa"/>
            <w:gridSpan w:val="6"/>
          </w:tcPr>
          <w:p w14:paraId="58ED8842" w14:textId="77777777" w:rsidR="00A32B5C" w:rsidRDefault="00A32B5C" w:rsidP="005E2113">
            <w:pPr>
              <w:rPr>
                <w:b/>
                <w:sz w:val="22"/>
                <w:szCs w:val="22"/>
              </w:rPr>
            </w:pPr>
          </w:p>
        </w:tc>
      </w:tr>
      <w:tr w:rsidR="00A32B5C" w14:paraId="2EFE8401" w14:textId="77777777" w:rsidTr="005E2113">
        <w:trPr>
          <w:trHeight w:val="224"/>
        </w:trPr>
        <w:tc>
          <w:tcPr>
            <w:tcW w:w="9606" w:type="dxa"/>
            <w:gridSpan w:val="6"/>
            <w:shd w:val="clear" w:color="auto" w:fill="C0C0C0"/>
          </w:tcPr>
          <w:p w14:paraId="79E05A8B" w14:textId="77777777" w:rsidR="00A32B5C" w:rsidRPr="005E2113" w:rsidRDefault="00A32B5C">
            <w:pPr>
              <w:jc w:val="center"/>
              <w:rPr>
                <w:b/>
                <w:i/>
              </w:rPr>
            </w:pPr>
            <w:r>
              <w:rPr>
                <w:b/>
                <w:i/>
                <w:highlight w:val="lightGray"/>
              </w:rPr>
              <w:t>Specific Comments</w:t>
            </w:r>
          </w:p>
        </w:tc>
      </w:tr>
      <w:tr w:rsidR="00A32B5C" w14:paraId="2F383D4C" w14:textId="77777777" w:rsidTr="005E2113">
        <w:trPr>
          <w:trHeight w:val="224"/>
        </w:trPr>
        <w:tc>
          <w:tcPr>
            <w:tcW w:w="817" w:type="dxa"/>
          </w:tcPr>
          <w:p w14:paraId="751AD76D" w14:textId="77777777" w:rsidR="00A32B5C" w:rsidRPr="005E2113" w:rsidRDefault="00A32B5C">
            <w:pPr>
              <w:rPr>
                <w:b/>
                <w:sz w:val="22"/>
              </w:rPr>
            </w:pPr>
            <w:r>
              <w:rPr>
                <w:b/>
                <w:sz w:val="22"/>
                <w:szCs w:val="22"/>
              </w:rPr>
              <w:t>Table</w:t>
            </w:r>
          </w:p>
        </w:tc>
        <w:tc>
          <w:tcPr>
            <w:tcW w:w="815" w:type="dxa"/>
          </w:tcPr>
          <w:p w14:paraId="21C7723A" w14:textId="77777777" w:rsidR="00A32B5C" w:rsidRPr="005E2113" w:rsidRDefault="00A32B5C">
            <w:pPr>
              <w:rPr>
                <w:b/>
                <w:sz w:val="22"/>
              </w:rPr>
            </w:pPr>
            <w:r>
              <w:rPr>
                <w:b/>
                <w:sz w:val="22"/>
                <w:szCs w:val="22"/>
              </w:rPr>
              <w:t>Page</w:t>
            </w:r>
          </w:p>
        </w:tc>
        <w:tc>
          <w:tcPr>
            <w:tcW w:w="974" w:type="dxa"/>
          </w:tcPr>
          <w:p w14:paraId="7B75D7D5" w14:textId="77777777" w:rsidR="00A32B5C" w:rsidRPr="005E2113" w:rsidRDefault="00A32B5C">
            <w:pPr>
              <w:rPr>
                <w:b/>
              </w:rPr>
            </w:pPr>
            <w:r>
              <w:rPr>
                <w:b/>
                <w:sz w:val="22"/>
                <w:szCs w:val="22"/>
              </w:rPr>
              <w:t>Column letter</w:t>
            </w:r>
          </w:p>
        </w:tc>
        <w:tc>
          <w:tcPr>
            <w:tcW w:w="1215" w:type="dxa"/>
            <w:gridSpan w:val="2"/>
          </w:tcPr>
          <w:p w14:paraId="72E6127E" w14:textId="77777777" w:rsidR="00A32B5C" w:rsidRPr="005E2113" w:rsidRDefault="00A32B5C">
            <w:pPr>
              <w:rPr>
                <w:b/>
              </w:rPr>
            </w:pPr>
            <w:r>
              <w:rPr>
                <w:b/>
              </w:rPr>
              <w:t>Row number</w:t>
            </w:r>
          </w:p>
        </w:tc>
        <w:tc>
          <w:tcPr>
            <w:tcW w:w="5785" w:type="dxa"/>
          </w:tcPr>
          <w:p w14:paraId="7F605F62" w14:textId="77777777" w:rsidR="00A32B5C" w:rsidRPr="005E2113" w:rsidRDefault="00A32B5C">
            <w:pPr>
              <w:rPr>
                <w:b/>
              </w:rPr>
            </w:pPr>
            <w:r>
              <w:rPr>
                <w:b/>
                <w:sz w:val="22"/>
                <w:szCs w:val="22"/>
              </w:rPr>
              <w:t>Comment</w:t>
            </w:r>
          </w:p>
        </w:tc>
      </w:tr>
      <w:tr w:rsidR="00A311B1" w:rsidRPr="00A1288D" w14:paraId="11E6FB46" w14:textId="77777777" w:rsidTr="005D2E65">
        <w:trPr>
          <w:trHeight w:val="224"/>
        </w:trPr>
        <w:tc>
          <w:tcPr>
            <w:tcW w:w="817" w:type="dxa"/>
          </w:tcPr>
          <w:p w14:paraId="5AB137AB" w14:textId="13A5FAEA" w:rsidR="00A311B1" w:rsidRDefault="00A311B1" w:rsidP="00A311B1">
            <w:r w:rsidRPr="00E10372">
              <w:rPr>
                <w:lang w:val="en-GB"/>
              </w:rPr>
              <w:t>1</w:t>
            </w:r>
          </w:p>
        </w:tc>
        <w:tc>
          <w:tcPr>
            <w:tcW w:w="815" w:type="dxa"/>
          </w:tcPr>
          <w:p w14:paraId="5BB1837F" w14:textId="6197991B" w:rsidR="00A311B1" w:rsidRDefault="00A311B1" w:rsidP="00A311B1">
            <w:r w:rsidRPr="00E10372">
              <w:rPr>
                <w:lang w:val="en-GB"/>
              </w:rPr>
              <w:t>6</w:t>
            </w:r>
          </w:p>
        </w:tc>
        <w:tc>
          <w:tcPr>
            <w:tcW w:w="974" w:type="dxa"/>
          </w:tcPr>
          <w:p w14:paraId="440E79F3" w14:textId="0FD98032" w:rsidR="00A311B1" w:rsidRDefault="00A311B1" w:rsidP="00A311B1">
            <w:r w:rsidRPr="00E10372">
              <w:rPr>
                <w:lang w:val="en-GB"/>
              </w:rPr>
              <w:t>C</w:t>
            </w:r>
          </w:p>
        </w:tc>
        <w:tc>
          <w:tcPr>
            <w:tcW w:w="1215" w:type="dxa"/>
            <w:gridSpan w:val="2"/>
          </w:tcPr>
          <w:p w14:paraId="7A693ECF" w14:textId="2617BA69" w:rsidR="00A311B1" w:rsidRDefault="00A311B1" w:rsidP="00A311B1">
            <w:r w:rsidRPr="00E10372">
              <w:rPr>
                <w:lang w:val="en-GB"/>
              </w:rPr>
              <w:t>72</w:t>
            </w:r>
          </w:p>
        </w:tc>
        <w:tc>
          <w:tcPr>
            <w:tcW w:w="5785" w:type="dxa"/>
          </w:tcPr>
          <w:p w14:paraId="04E3F991" w14:textId="07B6CF59" w:rsidR="00CD1DCE" w:rsidRPr="00CD1DCE" w:rsidRDefault="00CD1DCE" w:rsidP="00A311B1">
            <w:r w:rsidRPr="00CD1DCE">
              <w:t xml:space="preserve">Access to GR </w:t>
            </w:r>
            <w:r>
              <w:t>would</w:t>
            </w:r>
            <w:r w:rsidRPr="00CD1DCE">
              <w:t xml:space="preserve"> increase if non-commercial research was more commonly conducted under “simplified measures” as foreseen (but rarely implemented by Parties) under Article 8a of the NP.</w:t>
            </w:r>
          </w:p>
          <w:p w14:paraId="54B5D1D6" w14:textId="77777777" w:rsidR="00CD1DCE" w:rsidRDefault="00CD1DCE" w:rsidP="00A311B1">
            <w:r w:rsidRPr="00CD1DCE">
              <w:lastRenderedPageBreak/>
              <w:t>The non-commercial research community would strongly support the use of simplified measures that could perhaps be centrally coordinated.</w:t>
            </w:r>
          </w:p>
          <w:p w14:paraId="531C9586" w14:textId="77777777" w:rsidR="00CD1DCE" w:rsidRDefault="00CD1DCE" w:rsidP="00A311B1"/>
          <w:p w14:paraId="39A939B9" w14:textId="0AA113DE" w:rsidR="00CD1DCE" w:rsidRDefault="00CD1DCE" w:rsidP="00A311B1">
            <w:r w:rsidRPr="00CD1DCE">
              <w:t>Several new indicators could be added here:</w:t>
            </w:r>
          </w:p>
          <w:p w14:paraId="6083EB7C" w14:textId="77777777" w:rsidR="00CD1DCE" w:rsidRPr="00CD1DCE" w:rsidRDefault="00CD1DCE" w:rsidP="00A311B1"/>
          <w:p w14:paraId="56D4588E" w14:textId="4050CB9C" w:rsidR="00CD1DCE" w:rsidRDefault="00CD1DCE" w:rsidP="00CD1DCE">
            <w:pPr>
              <w:pStyle w:val="Listenabsatz"/>
              <w:numPr>
                <w:ilvl w:val="0"/>
                <w:numId w:val="6"/>
              </w:numPr>
            </w:pPr>
            <w:r w:rsidRPr="00CD1DCE">
              <w:t>“Parties providing non-commercial access to GR under simplified measures”</w:t>
            </w:r>
          </w:p>
          <w:p w14:paraId="769FF8E9" w14:textId="7923D3BE" w:rsidR="00CD1DCE" w:rsidRDefault="00CD1DCE" w:rsidP="00CD1DCE"/>
          <w:p w14:paraId="6E7F07F2" w14:textId="168F49B0" w:rsidR="00CD1DCE" w:rsidRDefault="00CD1DCE" w:rsidP="00CD1DCE">
            <w:r>
              <w:t>AND/OR</w:t>
            </w:r>
          </w:p>
          <w:p w14:paraId="120A9CE9" w14:textId="77777777" w:rsidR="00CD1DCE" w:rsidRPr="00CD1DCE" w:rsidRDefault="00CD1DCE" w:rsidP="00CD1DCE"/>
          <w:p w14:paraId="339714A5" w14:textId="0CACF8CB" w:rsidR="00CD1DCE" w:rsidRPr="00CD1DCE" w:rsidRDefault="00CD1DCE" w:rsidP="00CD1DCE">
            <w:pPr>
              <w:pStyle w:val="Listenabsatz"/>
              <w:numPr>
                <w:ilvl w:val="0"/>
                <w:numId w:val="6"/>
              </w:numPr>
            </w:pPr>
            <w:r w:rsidRPr="00CD1DCE">
              <w:t>Standardized model clauses or documents for non-commercial research including a universal Standard Material Transfer Agreement that could be published as an IRCC by Parties</w:t>
            </w:r>
          </w:p>
          <w:p w14:paraId="329B7BBE" w14:textId="1D3AC60F" w:rsidR="00A311B1" w:rsidRPr="00CD1DCE" w:rsidRDefault="00A311B1" w:rsidP="00A311B1"/>
        </w:tc>
      </w:tr>
      <w:tr w:rsidR="00A311B1" w:rsidRPr="00A1288D" w14:paraId="6802DA9D" w14:textId="77777777" w:rsidTr="005D2E65">
        <w:trPr>
          <w:trHeight w:val="224"/>
        </w:trPr>
        <w:tc>
          <w:tcPr>
            <w:tcW w:w="817" w:type="dxa"/>
          </w:tcPr>
          <w:p w14:paraId="51C5D743" w14:textId="77777777" w:rsidR="00A311B1" w:rsidRDefault="00A311B1" w:rsidP="00A311B1">
            <w:r>
              <w:lastRenderedPageBreak/>
              <w:t>1</w:t>
            </w:r>
          </w:p>
        </w:tc>
        <w:tc>
          <w:tcPr>
            <w:tcW w:w="815" w:type="dxa"/>
          </w:tcPr>
          <w:p w14:paraId="2DE00746" w14:textId="77777777" w:rsidR="00A311B1" w:rsidRDefault="00A311B1" w:rsidP="00A311B1">
            <w:r>
              <w:t>6</w:t>
            </w:r>
          </w:p>
        </w:tc>
        <w:tc>
          <w:tcPr>
            <w:tcW w:w="974" w:type="dxa"/>
          </w:tcPr>
          <w:p w14:paraId="0683CB6B" w14:textId="77777777" w:rsidR="00A311B1" w:rsidRDefault="00A311B1" w:rsidP="00A311B1">
            <w:r>
              <w:t>C</w:t>
            </w:r>
          </w:p>
        </w:tc>
        <w:tc>
          <w:tcPr>
            <w:tcW w:w="1215" w:type="dxa"/>
            <w:gridSpan w:val="2"/>
          </w:tcPr>
          <w:p w14:paraId="091F8A30" w14:textId="77777777" w:rsidR="00A311B1" w:rsidRDefault="00A311B1" w:rsidP="00A311B1">
            <w:r>
              <w:t>74-76</w:t>
            </w:r>
          </w:p>
        </w:tc>
        <w:tc>
          <w:tcPr>
            <w:tcW w:w="5785" w:type="dxa"/>
          </w:tcPr>
          <w:p w14:paraId="0FC62B8C" w14:textId="77777777" w:rsidR="00196CF1" w:rsidRDefault="0068569C" w:rsidP="0068569C">
            <w:pPr>
              <w:pStyle w:val="xmsonormal"/>
            </w:pPr>
            <w:r>
              <w:t xml:space="preserve">The zero draft indicators for benefit sharing released in November 2019 closely reflected the Nagoya Protocol Annex. However, in the current draft, these indicators have </w:t>
            </w:r>
            <w:r w:rsidR="00CD1DCE">
              <w:t xml:space="preserve">entirely </w:t>
            </w:r>
            <w:r>
              <w:t>disappeared. It is unclear if the reason for this removal is because no baseline data is available or if there</w:t>
            </w:r>
            <w:r w:rsidR="00196CF1">
              <w:t xml:space="preserve"> are other reasons.</w:t>
            </w:r>
          </w:p>
          <w:p w14:paraId="4AAC2036" w14:textId="11DADA33" w:rsidR="006D60F9" w:rsidRDefault="00CD1DCE" w:rsidP="0068569C">
            <w:pPr>
              <w:pStyle w:val="xmsonormal"/>
              <w:rPr>
                <w:b/>
              </w:rPr>
            </w:pPr>
            <w:r>
              <w:t>A</w:t>
            </w:r>
            <w:r w:rsidR="00196CF1">
              <w:t>s academic users</w:t>
            </w:r>
            <w:r w:rsidR="0068569C">
              <w:t xml:space="preserve"> we find ourselves disappointed that these scientific aspects of benefit sharing</w:t>
            </w:r>
            <w:r w:rsidR="00196CF1">
              <w:t>,</w:t>
            </w:r>
            <w:r w:rsidR="0068569C">
              <w:t xml:space="preserve"> which are critical for long-term capacity building, are not</w:t>
            </w:r>
            <w:r w:rsidR="00196CF1">
              <w:t xml:space="preserve"> adequately</w:t>
            </w:r>
            <w:r w:rsidR="0068569C">
              <w:t xml:space="preserve"> represented or </w:t>
            </w:r>
            <w:r w:rsidR="00196CF1">
              <w:t xml:space="preserve">in the current draft and </w:t>
            </w:r>
            <w:r w:rsidR="00196CF1" w:rsidRPr="00196CF1">
              <w:rPr>
                <w:b/>
              </w:rPr>
              <w:t>we request that the</w:t>
            </w:r>
            <w:r w:rsidR="00AD68B6">
              <w:rPr>
                <w:b/>
              </w:rPr>
              <w:t xml:space="preserve"> first two</w:t>
            </w:r>
            <w:r w:rsidR="00196CF1" w:rsidRPr="00196CF1">
              <w:rPr>
                <w:b/>
              </w:rPr>
              <w:t xml:space="preserve"> non-monetary benefit sharing indicators from the zero draft be brought back</w:t>
            </w:r>
            <w:r w:rsidR="006D60F9">
              <w:rPr>
                <w:b/>
              </w:rPr>
              <w:t xml:space="preserve"> into the GBF as indicators for non-monetary benefit-sharing</w:t>
            </w:r>
            <w:r w:rsidR="00AD68B6">
              <w:rPr>
                <w:b/>
              </w:rPr>
              <w:t>:</w:t>
            </w:r>
          </w:p>
          <w:p w14:paraId="28E451C5" w14:textId="77777777" w:rsidR="006D60F9" w:rsidRDefault="00AD68B6" w:rsidP="006D60F9">
            <w:pPr>
              <w:pStyle w:val="xmsonormal"/>
              <w:numPr>
                <w:ilvl w:val="0"/>
                <w:numId w:val="6"/>
              </w:numPr>
              <w:rPr>
                <w:b/>
              </w:rPr>
            </w:pPr>
            <w:r>
              <w:rPr>
                <w:b/>
              </w:rPr>
              <w:t xml:space="preserve">“Number of research and </w:t>
            </w:r>
            <w:r w:rsidR="006D60F9">
              <w:rPr>
                <w:b/>
              </w:rPr>
              <w:t>development results shared”</w:t>
            </w:r>
          </w:p>
          <w:p w14:paraId="6EC6F4BE" w14:textId="5009F40C" w:rsidR="0068569C" w:rsidRPr="00196CF1" w:rsidRDefault="00AD68B6" w:rsidP="006D60F9">
            <w:pPr>
              <w:pStyle w:val="xmsonormal"/>
              <w:numPr>
                <w:ilvl w:val="0"/>
                <w:numId w:val="6"/>
              </w:numPr>
              <w:rPr>
                <w:b/>
              </w:rPr>
            </w:pPr>
            <w:r>
              <w:rPr>
                <w:b/>
              </w:rPr>
              <w:t>“Number of collaborations in scientific research”</w:t>
            </w:r>
          </w:p>
          <w:p w14:paraId="6B39DB5E" w14:textId="1C9F9475" w:rsidR="0068569C" w:rsidRDefault="0068569C" w:rsidP="0068569C">
            <w:pPr>
              <w:pStyle w:val="xmsonormal"/>
            </w:pPr>
            <w:r>
              <w:t>There are indeed significant technical challenges around collecting data on these indicators</w:t>
            </w:r>
            <w:r w:rsidR="00331076">
              <w:t xml:space="preserve"> and they</w:t>
            </w:r>
            <w:r>
              <w:t xml:space="preserve"> are</w:t>
            </w:r>
            <w:r w:rsidR="00196CF1">
              <w:t xml:space="preserve"> indeed</w:t>
            </w:r>
            <w:r>
              <w:t xml:space="preserve"> not </w:t>
            </w:r>
            <w:proofErr w:type="gramStart"/>
            <w:r>
              <w:t>well-suited</w:t>
            </w:r>
            <w:proofErr w:type="gramEnd"/>
            <w:r>
              <w:t xml:space="preserve"> for country-level reporting because governments are often not in direct touch with their scientists over the multi-year course of a research project and thus, often are not aware of the tangible and intangible outcomes of research projects.</w:t>
            </w:r>
          </w:p>
          <w:p w14:paraId="446869FE" w14:textId="40CBD986" w:rsidR="0068569C" w:rsidRDefault="0068569C" w:rsidP="0068569C">
            <w:pPr>
              <w:pStyle w:val="xmsonormal"/>
            </w:pPr>
            <w:r>
              <w:t xml:space="preserve">However, there are opportunities for global, comprehensive analyses of some of the non-monetary benefit sharing indicators that could and </w:t>
            </w:r>
            <w:proofErr w:type="gramStart"/>
            <w:r>
              <w:t>should be re-visited</w:t>
            </w:r>
            <w:proofErr w:type="gramEnd"/>
            <w:r>
              <w:t xml:space="preserve"> by SBSTTA. In particular, global databases of scientific publications (a proxy for “research results”) and other biological databases (proxy for “access to genetic resources”) combined with advances in bibliometric </w:t>
            </w:r>
            <w:r>
              <w:lastRenderedPageBreak/>
              <w:t>analyses (</w:t>
            </w:r>
            <w:r w:rsidR="00196CF1">
              <w:t xml:space="preserve">which </w:t>
            </w:r>
            <w:r>
              <w:t>enabl</w:t>
            </w:r>
            <w:r w:rsidR="00196CF1">
              <w:t xml:space="preserve">es </w:t>
            </w:r>
            <w:r>
              <w:t>geographic associations of authors involved in the research and access) make it possible to assess and quantify many aspects of the “old” (zero draft) non-monetary benefit sharing indicators.</w:t>
            </w:r>
          </w:p>
          <w:p w14:paraId="2E1939B7" w14:textId="2F01F5CD" w:rsidR="0068569C" w:rsidRDefault="0068569C" w:rsidP="0068569C">
            <w:pPr>
              <w:pStyle w:val="xmsonormal"/>
            </w:pPr>
            <w:r>
              <w:t xml:space="preserve">For example, scientific publications are centrally stored and indexed in large databases such as the European PubMed Central (EPMC) database. </w:t>
            </w:r>
            <w:proofErr w:type="gramStart"/>
            <w:r>
              <w:t>EPMC also offers a programmer interface that makes it possible to query (in an automated manner) multiple aspects of the publications in these databases including a great deal of metadata and even text data (from open-access publications) contained in these publications including the presence of species names, keywords, scientific topics, author affiliations (including geographical location of authors) and, through text mining, even possibly recognition of IRCC numbers or other unique identifiers (such as those associated with genetic resources held by collections</w:t>
            </w:r>
            <w:r w:rsidR="009D4E4A">
              <w:t xml:space="preserve"> or those associated with sequence data via accession numbers from INSDC</w:t>
            </w:r>
            <w:r>
              <w:t>).</w:t>
            </w:r>
            <w:proofErr w:type="gramEnd"/>
          </w:p>
          <w:p w14:paraId="6BCA8D83" w14:textId="6A3EEEF6" w:rsidR="006D60F9" w:rsidRDefault="006D60F9" w:rsidP="006D60F9">
            <w:pPr>
              <w:spacing w:before="100" w:beforeAutospacing="1" w:after="100" w:afterAutospacing="1"/>
            </w:pPr>
            <w:r>
              <w:t>Thus, it would be possible, for example, to assess and answer such questions as “How many publications mentioned the keywords "biodiversity" + "endemic" + "Columbia" with authors from two different countries (e.g., Germany and Colomb</w:t>
            </w:r>
            <w:r w:rsidR="002F084E">
              <w:t>ia)</w:t>
            </w:r>
            <w:r>
              <w:t xml:space="preserve"> in 2018?” This information gives a powerful insight into scientific collaborations and research results shared.</w:t>
            </w:r>
          </w:p>
          <w:p w14:paraId="6D7A43DA" w14:textId="76DA3A5F" w:rsidR="002F084E" w:rsidRDefault="006D60F9" w:rsidP="006D60F9">
            <w:pPr>
              <w:spacing w:before="100" w:beforeAutospacing="1" w:after="100" w:afterAutospacing="1"/>
            </w:pPr>
            <w:r>
              <w:t>These types of analysis could also focus on</w:t>
            </w:r>
            <w:r w:rsidR="002F084E">
              <w:t xml:space="preserve"> specific endangered species, </w:t>
            </w:r>
            <w:r w:rsidR="00D72549">
              <w:t>be used</w:t>
            </w:r>
            <w:r>
              <w:t xml:space="preserve"> for all types of biodiversity utilization </w:t>
            </w:r>
            <w:r w:rsidR="00D72549">
              <w:t xml:space="preserve">(using species names), </w:t>
            </w:r>
            <w:r w:rsidR="002F084E">
              <w:t>or</w:t>
            </w:r>
            <w:r>
              <w:t xml:space="preserve"> be sub-divided into different taxonomic levels (e.</w:t>
            </w:r>
            <w:r w:rsidR="002F084E">
              <w:t>g., microbial, animal, plant)</w:t>
            </w:r>
            <w:proofErr w:type="gramStart"/>
            <w:r w:rsidR="002F084E">
              <w:t xml:space="preserve">, </w:t>
            </w:r>
            <w:r>
              <w:t xml:space="preserve"> focused</w:t>
            </w:r>
            <w:proofErr w:type="gramEnd"/>
            <w:r>
              <w:t xml:space="preserve"> on certain endemic organisms (country-specific biodiversity)</w:t>
            </w:r>
            <w:r w:rsidR="002F084E">
              <w:t>,</w:t>
            </w:r>
            <w:r>
              <w:t xml:space="preserve"> and/or associated with different key words (biotechno</w:t>
            </w:r>
            <w:r w:rsidR="002F084E">
              <w:t xml:space="preserve">logy, virology, taxonomy, </w:t>
            </w:r>
            <w:proofErr w:type="spellStart"/>
            <w:r w:rsidR="002F084E">
              <w:t>etc</w:t>
            </w:r>
            <w:proofErr w:type="spellEnd"/>
            <w:r w:rsidR="002F084E">
              <w:t>).</w:t>
            </w:r>
            <w:bookmarkStart w:id="0" w:name="_GoBack"/>
            <w:bookmarkEnd w:id="0"/>
          </w:p>
          <w:p w14:paraId="22B99D88" w14:textId="54F2EF56" w:rsidR="0068569C" w:rsidRDefault="006D60F9" w:rsidP="002F084E">
            <w:pPr>
              <w:spacing w:before="100" w:beforeAutospacing="1" w:after="100" w:afterAutospacing="1"/>
            </w:pPr>
            <w:r>
              <w:t xml:space="preserve">Furthermore, these analyses </w:t>
            </w:r>
            <w:proofErr w:type="gramStart"/>
            <w:r>
              <w:t>could possibly be extended</w:t>
            </w:r>
            <w:proofErr w:type="gramEnd"/>
            <w:r>
              <w:t xml:space="preserve"> to assess </w:t>
            </w:r>
            <w:r w:rsidR="002F084E">
              <w:t xml:space="preserve">similar types of </w:t>
            </w:r>
            <w:r>
              <w:t>information held in patent databases.</w:t>
            </w:r>
            <w:r w:rsidR="002F084E">
              <w:t xml:space="preserve"> </w:t>
            </w:r>
            <w:r w:rsidR="00AD68B6">
              <w:t xml:space="preserve">Here the zero draft indicator “Number of joint ownerships of relevant intellectual property rights” </w:t>
            </w:r>
            <w:proofErr w:type="gramStart"/>
            <w:r w:rsidR="00AD68B6">
              <w:t>could be quantified</w:t>
            </w:r>
            <w:proofErr w:type="gramEnd"/>
            <w:r w:rsidR="00AD68B6">
              <w:t>.</w:t>
            </w:r>
          </w:p>
          <w:p w14:paraId="06D49914" w14:textId="045B2105" w:rsidR="00D72549" w:rsidRDefault="00D72549" w:rsidP="002F084E">
            <w:pPr>
              <w:spacing w:before="100" w:beforeAutospacing="1" w:after="100" w:afterAutospacing="1"/>
            </w:pPr>
            <w:r>
              <w:t xml:space="preserve">Finally, </w:t>
            </w:r>
            <w:r w:rsidRPr="00D72549">
              <w:rPr>
                <w:b/>
              </w:rPr>
              <w:t xml:space="preserve">these analyses </w:t>
            </w:r>
            <w:proofErr w:type="gramStart"/>
            <w:r w:rsidRPr="00D72549">
              <w:rPr>
                <w:b/>
              </w:rPr>
              <w:t>could be done</w:t>
            </w:r>
            <w:proofErr w:type="gramEnd"/>
            <w:r w:rsidRPr="00D72549">
              <w:rPr>
                <w:b/>
              </w:rPr>
              <w:t xml:space="preserve"> retroactively which would provide baseline data</w:t>
            </w:r>
            <w:r>
              <w:t xml:space="preserve"> and could be standardized so that the results are comparable year-over-year.</w:t>
            </w:r>
          </w:p>
          <w:p w14:paraId="1E469086" w14:textId="77777777" w:rsidR="0051470F" w:rsidRDefault="0068569C" w:rsidP="0068569C">
            <w:pPr>
              <w:pStyle w:val="xmsonormal"/>
            </w:pPr>
            <w:r>
              <w:t>The Leibniz Biodiversity Research Alliance combines the c</w:t>
            </w:r>
            <w:r w:rsidR="00196CF1">
              <w:t>ompetencies and resources of</w:t>
            </w:r>
            <w:r>
              <w:t xml:space="preserve"> 20 member institutions many of which have a particular focus on biodiversity informatics including 3 large research museums as well </w:t>
            </w:r>
            <w:r>
              <w:lastRenderedPageBreak/>
              <w:t>as a large plant collection, and a highly diverse microbial resource collection</w:t>
            </w:r>
            <w:r w:rsidRPr="00196CF1">
              <w:t>.</w:t>
            </w:r>
            <w:r w:rsidRPr="00196CF1">
              <w:rPr>
                <w:b/>
              </w:rPr>
              <w:t xml:space="preserve"> If the </w:t>
            </w:r>
            <w:r w:rsidR="002F084E">
              <w:rPr>
                <w:b/>
              </w:rPr>
              <w:t xml:space="preserve">two </w:t>
            </w:r>
            <w:r w:rsidRPr="00196CF1">
              <w:rPr>
                <w:b/>
              </w:rPr>
              <w:t xml:space="preserve">non-monetary benefits sharing indicators </w:t>
            </w:r>
            <w:r w:rsidR="002F084E">
              <w:rPr>
                <w:b/>
              </w:rPr>
              <w:t xml:space="preserve">(listed above) </w:t>
            </w:r>
            <w:r w:rsidRPr="00196CF1">
              <w:rPr>
                <w:b/>
              </w:rPr>
              <w:t xml:space="preserve">were </w:t>
            </w:r>
            <w:r w:rsidR="00196CF1" w:rsidRPr="00196CF1">
              <w:rPr>
                <w:b/>
              </w:rPr>
              <w:t xml:space="preserve">to </w:t>
            </w:r>
            <w:proofErr w:type="gramStart"/>
            <w:r w:rsidR="00196CF1" w:rsidRPr="00196CF1">
              <w:rPr>
                <w:b/>
              </w:rPr>
              <w:t xml:space="preserve">be </w:t>
            </w:r>
            <w:r w:rsidRPr="00196CF1">
              <w:rPr>
                <w:b/>
              </w:rPr>
              <w:t>added</w:t>
            </w:r>
            <w:proofErr w:type="gramEnd"/>
            <w:r w:rsidRPr="00196CF1">
              <w:rPr>
                <w:b/>
              </w:rPr>
              <w:t xml:space="preserve"> back into the Monitoring Framework, the Leibniz Biodiversity Research Alliance would be willing to “champion” these indicators and engage in a pilot project with stakeholders</w:t>
            </w:r>
            <w:r w:rsidR="00196CF1" w:rsidRPr="00196CF1">
              <w:rPr>
                <w:b/>
              </w:rPr>
              <w:t xml:space="preserve"> in the</w:t>
            </w:r>
            <w:r w:rsidR="00AD68B6">
              <w:rPr>
                <w:b/>
              </w:rPr>
              <w:t xml:space="preserve"> next</w:t>
            </w:r>
            <w:r w:rsidR="00196CF1" w:rsidRPr="00196CF1">
              <w:rPr>
                <w:b/>
              </w:rPr>
              <w:t xml:space="preserve"> inter-sessional period</w:t>
            </w:r>
            <w:r w:rsidRPr="00196CF1">
              <w:rPr>
                <w:b/>
              </w:rPr>
              <w:t xml:space="preserve"> to develop the necessary informatics programming needed for bibliometric and </w:t>
            </w:r>
            <w:proofErr w:type="spellStart"/>
            <w:r w:rsidRPr="00196CF1">
              <w:rPr>
                <w:b/>
              </w:rPr>
              <w:t>informatic</w:t>
            </w:r>
            <w:proofErr w:type="spellEnd"/>
            <w:r w:rsidRPr="00196CF1">
              <w:rPr>
                <w:b/>
              </w:rPr>
              <w:t xml:space="preserve"> assessments.</w:t>
            </w:r>
            <w:r>
              <w:t xml:space="preserve"> </w:t>
            </w:r>
            <w:r w:rsidR="0051470F">
              <w:t xml:space="preserve">Indeed, preliminary analyses and research </w:t>
            </w:r>
            <w:proofErr w:type="gramStart"/>
            <w:r w:rsidR="0051470F">
              <w:t>has been done</w:t>
            </w:r>
            <w:proofErr w:type="gramEnd"/>
            <w:r w:rsidR="0051470F">
              <w:t xml:space="preserve"> in this area.</w:t>
            </w:r>
          </w:p>
          <w:p w14:paraId="512BDD9D" w14:textId="5C149FE2" w:rsidR="0068569C" w:rsidRDefault="0068569C" w:rsidP="0068569C">
            <w:pPr>
              <w:pStyle w:val="xmsonormal"/>
            </w:pPr>
            <w:r>
              <w:t>Furthermore, we would be very interested in joining the Biodiversity Indicators Partnership</w:t>
            </w:r>
            <w:r w:rsidR="00196CF1">
              <w:t xml:space="preserve"> (BIP)</w:t>
            </w:r>
            <w:r>
              <w:t xml:space="preserve"> and could imagine strong synergies amongst our </w:t>
            </w:r>
            <w:proofErr w:type="gramStart"/>
            <w:r>
              <w:t>institutes and current BIP partners</w:t>
            </w:r>
            <w:proofErr w:type="gramEnd"/>
            <w:r>
              <w:t xml:space="preserve"> and an integrated development of non-monetary benefit sharing indicators with other BIP Partners and data streams.</w:t>
            </w:r>
          </w:p>
          <w:p w14:paraId="68A6F49B" w14:textId="6E104DB1" w:rsidR="00A311B1" w:rsidRPr="00A1288D" w:rsidRDefault="0068569C" w:rsidP="0068569C">
            <w:pPr>
              <w:pStyle w:val="xmsonormal"/>
            </w:pPr>
            <w:r>
              <w:rPr>
                <w:b/>
                <w:bCs/>
              </w:rPr>
              <w:t>Take-home message:</w:t>
            </w:r>
            <w:r>
              <w:t xml:space="preserve"> The quantitative assessment of some aspects of non-monetary benefit sharing is possible and can be centralized and globally reported through BIP. The GBF would benefit from capturing and assessing these benefits, understanding their direct interactions with other biodiversity targets, and identifying gaps and opportunities for capacity development.</w:t>
            </w:r>
          </w:p>
        </w:tc>
      </w:tr>
      <w:tr w:rsidR="00196CF1" w14:paraId="30395018" w14:textId="77777777" w:rsidTr="005E2113">
        <w:trPr>
          <w:trHeight w:val="224"/>
        </w:trPr>
        <w:tc>
          <w:tcPr>
            <w:tcW w:w="817" w:type="dxa"/>
          </w:tcPr>
          <w:p w14:paraId="3F8613DD" w14:textId="3FD09444" w:rsidR="00196CF1" w:rsidRDefault="00196CF1" w:rsidP="00A311B1">
            <w:r>
              <w:lastRenderedPageBreak/>
              <w:t>1</w:t>
            </w:r>
          </w:p>
        </w:tc>
        <w:tc>
          <w:tcPr>
            <w:tcW w:w="815" w:type="dxa"/>
          </w:tcPr>
          <w:p w14:paraId="15B4E6B2" w14:textId="3FD4C121" w:rsidR="00196CF1" w:rsidRDefault="00196CF1" w:rsidP="00A311B1">
            <w:r>
              <w:t>7</w:t>
            </w:r>
          </w:p>
        </w:tc>
        <w:tc>
          <w:tcPr>
            <w:tcW w:w="974" w:type="dxa"/>
          </w:tcPr>
          <w:p w14:paraId="5802F33C" w14:textId="6001F351" w:rsidR="00196CF1" w:rsidRDefault="00196CF1" w:rsidP="00A311B1">
            <w:r>
              <w:t>C</w:t>
            </w:r>
          </w:p>
        </w:tc>
        <w:tc>
          <w:tcPr>
            <w:tcW w:w="1215" w:type="dxa"/>
            <w:gridSpan w:val="2"/>
          </w:tcPr>
          <w:p w14:paraId="043A23F6" w14:textId="48E6C805" w:rsidR="00196CF1" w:rsidRDefault="00196CF1" w:rsidP="00A311B1">
            <w:r>
              <w:t>84</w:t>
            </w:r>
          </w:p>
        </w:tc>
        <w:tc>
          <w:tcPr>
            <w:tcW w:w="5785" w:type="dxa"/>
          </w:tcPr>
          <w:p w14:paraId="45823BB4" w14:textId="7F707CFE" w:rsidR="00196CF1" w:rsidRDefault="00196CF1" w:rsidP="00A311B1">
            <w:r>
              <w:t>Please see above comment.</w:t>
            </w:r>
          </w:p>
        </w:tc>
      </w:tr>
      <w:tr w:rsidR="00024DF8" w14:paraId="34A419A1" w14:textId="77777777" w:rsidTr="005E2113">
        <w:trPr>
          <w:trHeight w:val="224"/>
        </w:trPr>
        <w:tc>
          <w:tcPr>
            <w:tcW w:w="817" w:type="dxa"/>
          </w:tcPr>
          <w:p w14:paraId="3504566A" w14:textId="1678145A" w:rsidR="00024DF8" w:rsidRDefault="00024DF8" w:rsidP="00A311B1">
            <w:r>
              <w:t>2</w:t>
            </w:r>
          </w:p>
        </w:tc>
        <w:tc>
          <w:tcPr>
            <w:tcW w:w="815" w:type="dxa"/>
          </w:tcPr>
          <w:p w14:paraId="027401D8" w14:textId="0D835081" w:rsidR="00024DF8" w:rsidRDefault="00024DF8" w:rsidP="00A311B1">
            <w:r>
              <w:t>22</w:t>
            </w:r>
          </w:p>
        </w:tc>
        <w:tc>
          <w:tcPr>
            <w:tcW w:w="974" w:type="dxa"/>
          </w:tcPr>
          <w:p w14:paraId="37776D12" w14:textId="01B425D5" w:rsidR="00024DF8" w:rsidRDefault="00024DF8" w:rsidP="00A311B1">
            <w:r>
              <w:t>C</w:t>
            </w:r>
          </w:p>
        </w:tc>
        <w:tc>
          <w:tcPr>
            <w:tcW w:w="1215" w:type="dxa"/>
            <w:gridSpan w:val="2"/>
          </w:tcPr>
          <w:p w14:paraId="7BA02ED1" w14:textId="071328CE" w:rsidR="00024DF8" w:rsidRDefault="00024DF8" w:rsidP="00A311B1">
            <w:r>
              <w:t>140</w:t>
            </w:r>
          </w:p>
        </w:tc>
        <w:tc>
          <w:tcPr>
            <w:tcW w:w="5785" w:type="dxa"/>
          </w:tcPr>
          <w:p w14:paraId="54BBE2BA" w14:textId="77777777" w:rsidR="00024DF8" w:rsidRDefault="00024DF8" w:rsidP="00A311B1">
            <w:r>
              <w:t xml:space="preserve">Line 140 is the quantification of access under Article 8c of the NP. It would be very informative </w:t>
            </w:r>
            <w:proofErr w:type="gramStart"/>
            <w:r>
              <w:t>to also collect</w:t>
            </w:r>
            <w:proofErr w:type="gramEnd"/>
            <w:r>
              <w:t xml:space="preserve"> data on access und Article 8a and 8b. There very fact that it is difficult to collect data here is an indication that indicators and data </w:t>
            </w:r>
            <w:proofErr w:type="gramStart"/>
            <w:r>
              <w:t>are needed</w:t>
            </w:r>
            <w:proofErr w:type="gramEnd"/>
            <w:r>
              <w:t xml:space="preserve"> here. </w:t>
            </w:r>
            <w:proofErr w:type="gramStart"/>
            <w:r>
              <w:t>An</w:t>
            </w:r>
            <w:proofErr w:type="gramEnd"/>
            <w:r>
              <w:t xml:space="preserve"> </w:t>
            </w:r>
            <w:proofErr w:type="spellStart"/>
            <w:r>
              <w:t>sMTA</w:t>
            </w:r>
            <w:proofErr w:type="spellEnd"/>
            <w:r>
              <w:t xml:space="preserve"> for non-commercial research for both biodiversity (8a) and public health (8b) would be very timely and welcomed especially in light of the on-going pandemic.</w:t>
            </w:r>
          </w:p>
          <w:p w14:paraId="4B31129E" w14:textId="786BA593" w:rsidR="00024DF8" w:rsidRDefault="00024DF8" w:rsidP="00A311B1"/>
        </w:tc>
      </w:tr>
      <w:tr w:rsidR="00A311B1" w14:paraId="165CB6F9" w14:textId="77777777" w:rsidTr="005E2113">
        <w:trPr>
          <w:trHeight w:val="224"/>
        </w:trPr>
        <w:tc>
          <w:tcPr>
            <w:tcW w:w="817" w:type="dxa"/>
          </w:tcPr>
          <w:p w14:paraId="1B94487B" w14:textId="77777777" w:rsidR="00A311B1" w:rsidRDefault="00A311B1" w:rsidP="00A311B1">
            <w:r>
              <w:t>2</w:t>
            </w:r>
          </w:p>
        </w:tc>
        <w:tc>
          <w:tcPr>
            <w:tcW w:w="815" w:type="dxa"/>
          </w:tcPr>
          <w:p w14:paraId="22AD4F2F" w14:textId="77777777" w:rsidR="00A311B1" w:rsidRDefault="00A311B1" w:rsidP="00A311B1">
            <w:r>
              <w:t>22</w:t>
            </w:r>
          </w:p>
        </w:tc>
        <w:tc>
          <w:tcPr>
            <w:tcW w:w="974" w:type="dxa"/>
          </w:tcPr>
          <w:p w14:paraId="6DC36FE6" w14:textId="77777777" w:rsidR="00A311B1" w:rsidRDefault="00A311B1" w:rsidP="00A311B1">
            <w:r>
              <w:t>D</w:t>
            </w:r>
          </w:p>
        </w:tc>
        <w:tc>
          <w:tcPr>
            <w:tcW w:w="1215" w:type="dxa"/>
            <w:gridSpan w:val="2"/>
          </w:tcPr>
          <w:p w14:paraId="7DA8C2BC" w14:textId="77777777" w:rsidR="00A311B1" w:rsidRDefault="00A311B1" w:rsidP="00A311B1">
            <w:r>
              <w:t>141</w:t>
            </w:r>
          </w:p>
        </w:tc>
        <w:tc>
          <w:tcPr>
            <w:tcW w:w="5785" w:type="dxa"/>
          </w:tcPr>
          <w:p w14:paraId="5E4C455E" w14:textId="77777777" w:rsidR="00A311B1" w:rsidRDefault="00A311B1" w:rsidP="00A311B1">
            <w:r>
              <w:t xml:space="preserve">We are unaware of a data source for “total number of permits or their equivalent granted for access to genetic resources”. How </w:t>
            </w:r>
            <w:proofErr w:type="gramStart"/>
            <w:r>
              <w:t>will this data be collected</w:t>
            </w:r>
            <w:proofErr w:type="gramEnd"/>
            <w:r>
              <w:t xml:space="preserve">? Why is “2018, approximately every four years” indicated? How </w:t>
            </w:r>
            <w:proofErr w:type="gramStart"/>
            <w:r>
              <w:t>will missing country data be handled</w:t>
            </w:r>
            <w:proofErr w:type="gramEnd"/>
            <w:r>
              <w:t>?</w:t>
            </w:r>
          </w:p>
          <w:p w14:paraId="4E43B3FC" w14:textId="46F5C9D2" w:rsidR="00024DF8" w:rsidRDefault="00024DF8" w:rsidP="00A311B1"/>
        </w:tc>
      </w:tr>
      <w:tr w:rsidR="00A311B1" w14:paraId="109492D4" w14:textId="77777777" w:rsidTr="005E2113">
        <w:trPr>
          <w:trHeight w:val="224"/>
        </w:trPr>
        <w:tc>
          <w:tcPr>
            <w:tcW w:w="817" w:type="dxa"/>
          </w:tcPr>
          <w:p w14:paraId="7DE41B8F" w14:textId="77777777" w:rsidR="00A311B1" w:rsidRDefault="00A311B1" w:rsidP="00A311B1">
            <w:r>
              <w:t>2</w:t>
            </w:r>
          </w:p>
        </w:tc>
        <w:tc>
          <w:tcPr>
            <w:tcW w:w="815" w:type="dxa"/>
          </w:tcPr>
          <w:p w14:paraId="33024A7D" w14:textId="77777777" w:rsidR="00A311B1" w:rsidRDefault="00A311B1" w:rsidP="00A311B1">
            <w:r>
              <w:t>23</w:t>
            </w:r>
          </w:p>
        </w:tc>
        <w:tc>
          <w:tcPr>
            <w:tcW w:w="974" w:type="dxa"/>
          </w:tcPr>
          <w:p w14:paraId="79F07BE4" w14:textId="77777777" w:rsidR="00A311B1" w:rsidRDefault="00A311B1" w:rsidP="00A311B1">
            <w:r>
              <w:t>C</w:t>
            </w:r>
          </w:p>
        </w:tc>
        <w:tc>
          <w:tcPr>
            <w:tcW w:w="1215" w:type="dxa"/>
            <w:gridSpan w:val="2"/>
          </w:tcPr>
          <w:p w14:paraId="19CDDBE8" w14:textId="77777777" w:rsidR="00A311B1" w:rsidRDefault="00A311B1" w:rsidP="00A311B1">
            <w:r>
              <w:t>142</w:t>
            </w:r>
          </w:p>
        </w:tc>
        <w:tc>
          <w:tcPr>
            <w:tcW w:w="5785" w:type="dxa"/>
          </w:tcPr>
          <w:p w14:paraId="097A1359" w14:textId="77777777" w:rsidR="00A311B1" w:rsidRDefault="00A311B1" w:rsidP="00A311B1">
            <w:r>
              <w:t>Total number of IRCCs is a useful indicator but it would be useful and relatively simple to add a NEW indicator on IRCCs:</w:t>
            </w:r>
          </w:p>
          <w:p w14:paraId="4B874AB2" w14:textId="77777777" w:rsidR="00A311B1" w:rsidRDefault="00A311B1" w:rsidP="00A311B1">
            <w:r>
              <w:t xml:space="preserve">“Total number of countries issuing IRCCs”. Reason: In our experience, once a country has an IRCC system in place the IRCCs in the database increase steadily. However, unfortunately from a user perspective, there are still relatively few countries that issue IRCCs even though </w:t>
            </w:r>
            <w:proofErr w:type="gramStart"/>
            <w:r>
              <w:t>they are mandated by the Nagoya Protocol</w:t>
            </w:r>
            <w:proofErr w:type="gramEnd"/>
            <w:r>
              <w:t xml:space="preserve">. It would therefore be helpful to measure how many </w:t>
            </w:r>
            <w:r>
              <w:lastRenderedPageBreak/>
              <w:t>countries over time begin to issue IRCCs. Furthermore, this is a very simple thing to measure technologically within the ABS-CH.</w:t>
            </w:r>
          </w:p>
          <w:p w14:paraId="2B44FC6C" w14:textId="2F0E1D50" w:rsidR="00024DF8" w:rsidRDefault="00024DF8" w:rsidP="00A311B1"/>
        </w:tc>
      </w:tr>
      <w:tr w:rsidR="00A311B1" w14:paraId="7EFF7F4E" w14:textId="77777777" w:rsidTr="005E2113">
        <w:trPr>
          <w:trHeight w:val="224"/>
        </w:trPr>
        <w:tc>
          <w:tcPr>
            <w:tcW w:w="817" w:type="dxa"/>
          </w:tcPr>
          <w:p w14:paraId="2ED18F75" w14:textId="77777777" w:rsidR="00A311B1" w:rsidRDefault="00A311B1" w:rsidP="00A311B1">
            <w:r>
              <w:lastRenderedPageBreak/>
              <w:t>2</w:t>
            </w:r>
          </w:p>
        </w:tc>
        <w:tc>
          <w:tcPr>
            <w:tcW w:w="815" w:type="dxa"/>
          </w:tcPr>
          <w:p w14:paraId="38793713" w14:textId="77777777" w:rsidR="00A311B1" w:rsidRDefault="00A311B1" w:rsidP="00A311B1">
            <w:r>
              <w:t>23</w:t>
            </w:r>
          </w:p>
        </w:tc>
        <w:tc>
          <w:tcPr>
            <w:tcW w:w="974" w:type="dxa"/>
          </w:tcPr>
          <w:p w14:paraId="1D4296E4" w14:textId="77777777" w:rsidR="00A311B1" w:rsidRDefault="00A311B1" w:rsidP="00A311B1">
            <w:r>
              <w:t>C</w:t>
            </w:r>
          </w:p>
        </w:tc>
        <w:tc>
          <w:tcPr>
            <w:tcW w:w="1215" w:type="dxa"/>
            <w:gridSpan w:val="2"/>
          </w:tcPr>
          <w:p w14:paraId="1EA36B24" w14:textId="77777777" w:rsidR="00A311B1" w:rsidRDefault="00A311B1" w:rsidP="00A311B1">
            <w:r>
              <w:t>143-145</w:t>
            </w:r>
          </w:p>
        </w:tc>
        <w:tc>
          <w:tcPr>
            <w:tcW w:w="5785" w:type="dxa"/>
          </w:tcPr>
          <w:p w14:paraId="04A85F75" w14:textId="1753F9CF" w:rsidR="00A311B1" w:rsidRDefault="00A311B1" w:rsidP="00A311B1">
            <w:r>
              <w:t>The number of countries requiring PIC and publishing information in the ABS-CH and publishing procedures or legislation is indeed a useful indicator for measuring Party-level implementation of the Nagoya Protocol. It is also an important first step in the ABS process and very useful for users (such as us) to understand how to be compliant.</w:t>
            </w:r>
          </w:p>
          <w:p w14:paraId="55237276" w14:textId="77777777" w:rsidR="00A311B1" w:rsidRDefault="00A311B1" w:rsidP="00A311B1"/>
          <w:p w14:paraId="7E521466" w14:textId="5AFD5197" w:rsidR="00A311B1" w:rsidRDefault="00A311B1" w:rsidP="00A311B1">
            <w:r>
              <w:t xml:space="preserve">However, the presence of legislation is not a measurement of </w:t>
            </w:r>
            <w:r w:rsidRPr="005E2113">
              <w:rPr>
                <w:i/>
              </w:rPr>
              <w:t xml:space="preserve">access </w:t>
            </w:r>
            <w:r>
              <w:t xml:space="preserve">to genetic resources. If a Party develops complex, inefficient, or administratively challenging access procedures, it would effectively decrease actual access to GR numerically but it </w:t>
            </w:r>
            <w:proofErr w:type="gramStart"/>
            <w:r>
              <w:t>would be reported</w:t>
            </w:r>
            <w:proofErr w:type="gramEnd"/>
            <w:r>
              <w:t xml:space="preserve"> as an increase in access (applications).</w:t>
            </w:r>
          </w:p>
          <w:p w14:paraId="2DE58278" w14:textId="77777777" w:rsidR="00A311B1" w:rsidRDefault="00A311B1" w:rsidP="00A311B1"/>
          <w:p w14:paraId="3D6E5530" w14:textId="77777777" w:rsidR="00A311B1" w:rsidRDefault="00A311B1" w:rsidP="00A311B1">
            <w:proofErr w:type="gramStart"/>
            <w:r>
              <w:t xml:space="preserve">Whereas indicators in lines 141-142 indeed measure access, lines 143-145 do not measure access </w:t>
            </w:r>
            <w:r w:rsidRPr="00951142">
              <w:rPr>
                <w:i/>
              </w:rPr>
              <w:t>per se</w:t>
            </w:r>
            <w:r>
              <w:t xml:space="preserve"> and are only indirectly related.</w:t>
            </w:r>
            <w:proofErr w:type="gramEnd"/>
            <w:r>
              <w:t xml:space="preserve"> In order to resolve this, we propose that an alternative, new Monitoring Element is needed here such </w:t>
            </w:r>
            <w:proofErr w:type="gramStart"/>
            <w:r>
              <w:t>as ”</w:t>
            </w:r>
            <w:proofErr w:type="gramEnd"/>
            <w:r>
              <w:t>Progress on Nagoya Protocol implementation” (see below).</w:t>
            </w:r>
          </w:p>
          <w:p w14:paraId="58CB0158" w14:textId="20497731" w:rsidR="00024DF8" w:rsidRDefault="00024DF8" w:rsidP="00A311B1"/>
        </w:tc>
      </w:tr>
      <w:tr w:rsidR="00A311B1" w14:paraId="1F6922A0" w14:textId="77777777" w:rsidTr="005E2113">
        <w:trPr>
          <w:trHeight w:val="224"/>
        </w:trPr>
        <w:tc>
          <w:tcPr>
            <w:tcW w:w="817" w:type="dxa"/>
          </w:tcPr>
          <w:p w14:paraId="2AC3DA95" w14:textId="77777777" w:rsidR="00A311B1" w:rsidRDefault="00A311B1" w:rsidP="00A311B1">
            <w:r>
              <w:t>2</w:t>
            </w:r>
          </w:p>
        </w:tc>
        <w:tc>
          <w:tcPr>
            <w:tcW w:w="815" w:type="dxa"/>
          </w:tcPr>
          <w:p w14:paraId="36A55AB9" w14:textId="77777777" w:rsidR="00A311B1" w:rsidRDefault="00A311B1" w:rsidP="00A311B1">
            <w:r>
              <w:t>24</w:t>
            </w:r>
          </w:p>
        </w:tc>
        <w:tc>
          <w:tcPr>
            <w:tcW w:w="974" w:type="dxa"/>
          </w:tcPr>
          <w:p w14:paraId="009647D3" w14:textId="77777777" w:rsidR="00A311B1" w:rsidRDefault="00A311B1" w:rsidP="00A311B1">
            <w:r>
              <w:t>B</w:t>
            </w:r>
          </w:p>
        </w:tc>
        <w:tc>
          <w:tcPr>
            <w:tcW w:w="1215" w:type="dxa"/>
            <w:gridSpan w:val="2"/>
          </w:tcPr>
          <w:p w14:paraId="204E0A40" w14:textId="77777777" w:rsidR="00A311B1" w:rsidRDefault="00A311B1" w:rsidP="00A311B1">
            <w:r>
              <w:t>146 &amp; 149</w:t>
            </w:r>
          </w:p>
        </w:tc>
        <w:tc>
          <w:tcPr>
            <w:tcW w:w="5785" w:type="dxa"/>
          </w:tcPr>
          <w:p w14:paraId="15D5F8C9" w14:textId="625EF553" w:rsidR="00A311B1" w:rsidRDefault="00A311B1" w:rsidP="00A311B1">
            <w:r>
              <w:t>The zero draft indicators for non-monetary benefit sharing released in November 2019 should be brought back</w:t>
            </w:r>
            <w:r w:rsidR="00AD68B6">
              <w:t xml:space="preserve">, especially </w:t>
            </w:r>
            <w:r w:rsidR="00AD68B6">
              <w:rPr>
                <w:b/>
              </w:rPr>
              <w:t>Number of research and development results shared” and “Number of collaborations in scientific research”</w:t>
            </w:r>
            <w:r>
              <w:t>. Please see above comments on 1</w:t>
            </w:r>
            <w:proofErr w:type="gramStart"/>
            <w:r>
              <w:t>,6,C</w:t>
            </w:r>
            <w:proofErr w:type="gramEnd"/>
            <w:r>
              <w:t xml:space="preserve">, </w:t>
            </w:r>
            <w:r w:rsidR="009D4E4A">
              <w:t xml:space="preserve">lines </w:t>
            </w:r>
            <w:r>
              <w:t>74-76.</w:t>
            </w:r>
            <w:r w:rsidR="009D4E4A">
              <w:t xml:space="preserve"> </w:t>
            </w:r>
          </w:p>
          <w:p w14:paraId="7CD1BAB3" w14:textId="77777777" w:rsidR="00AD68B6" w:rsidRDefault="00AD68B6" w:rsidP="00A311B1"/>
          <w:p w14:paraId="060175DE" w14:textId="77777777" w:rsidR="00AD68B6" w:rsidRDefault="00AD68B6" w:rsidP="00AD68B6">
            <w:r>
              <w:t xml:space="preserve">Specific to line 149, a global assessment of non-monetary benefit sharing in terms of scientific research and collaboration could also provide a focused assessment of contributions to conservation and sustainable use of biodiversity by targeted analyses as a “lighthouse project” within the global assessment. </w:t>
            </w:r>
          </w:p>
          <w:p w14:paraId="54F03D36" w14:textId="4CC6E9BA" w:rsidR="00024DF8" w:rsidRDefault="00024DF8" w:rsidP="00AD68B6"/>
        </w:tc>
      </w:tr>
      <w:tr w:rsidR="00A311B1" w14:paraId="1AB1F7F9" w14:textId="77777777" w:rsidTr="005E2113">
        <w:trPr>
          <w:trHeight w:val="224"/>
        </w:trPr>
        <w:tc>
          <w:tcPr>
            <w:tcW w:w="817" w:type="dxa"/>
          </w:tcPr>
          <w:p w14:paraId="1F621E15" w14:textId="77777777" w:rsidR="00A311B1" w:rsidRDefault="00A311B1" w:rsidP="00A311B1">
            <w:r>
              <w:t>2</w:t>
            </w:r>
          </w:p>
        </w:tc>
        <w:tc>
          <w:tcPr>
            <w:tcW w:w="815" w:type="dxa"/>
          </w:tcPr>
          <w:p w14:paraId="1228C9D3" w14:textId="77777777" w:rsidR="00A311B1" w:rsidRDefault="00A311B1" w:rsidP="00A311B1">
            <w:r>
              <w:t>24</w:t>
            </w:r>
          </w:p>
        </w:tc>
        <w:tc>
          <w:tcPr>
            <w:tcW w:w="974" w:type="dxa"/>
          </w:tcPr>
          <w:p w14:paraId="41D34DFD" w14:textId="77777777" w:rsidR="00A311B1" w:rsidRDefault="00A311B1" w:rsidP="00A311B1">
            <w:r>
              <w:t>B &amp; C</w:t>
            </w:r>
          </w:p>
        </w:tc>
        <w:tc>
          <w:tcPr>
            <w:tcW w:w="1215" w:type="dxa"/>
            <w:gridSpan w:val="2"/>
          </w:tcPr>
          <w:p w14:paraId="6263AE70" w14:textId="77777777" w:rsidR="00A311B1" w:rsidRDefault="00A311B1" w:rsidP="00A311B1">
            <w:r>
              <w:t>147-148</w:t>
            </w:r>
          </w:p>
        </w:tc>
        <w:tc>
          <w:tcPr>
            <w:tcW w:w="5785" w:type="dxa"/>
          </w:tcPr>
          <w:p w14:paraId="0EB0913A" w14:textId="07D6B300" w:rsidR="00A311B1" w:rsidRDefault="00A311B1" w:rsidP="00A311B1">
            <w:r>
              <w:t xml:space="preserve">We consider the currently proposed indicators for T12.2 as highly inadequate to provide a useful measure for benefits shared. There is a false equivalency between the development of ABS legislation and benefit sharing. Benefit sharing is by no means an automatic result from the development of ABS legislation. There is no data that we are aware of that the promulgation of ABS legislation is a direct and reliable measure for benefit sharing. In fact, in a small survey of 23 biodiversity-research focused institutes within Germany, we found that research conducted in and/or with a Nagoya Protocol country (i.e. a country with ABS legislation) led to delays project </w:t>
            </w:r>
            <w:r>
              <w:lastRenderedPageBreak/>
              <w:t xml:space="preserve">implementation and product delivery of, on average, 13 months. Thus, this small study suggests that the presence of ABS legislation actually led to a decrease in biodiversity-related research outputs and collaboration (benefits). This is perhaps not always the case in countries that have efficient and user-friendly systems. </w:t>
            </w:r>
            <w:proofErr w:type="gramStart"/>
            <w:r>
              <w:t>But</w:t>
            </w:r>
            <w:proofErr w:type="gramEnd"/>
            <w:r>
              <w:t xml:space="preserve"> the inherent assumption (legislation = benefits shared) in this indicator is not based on data but rather on assumptions. If ABS m</w:t>
            </w:r>
            <w:r w:rsidR="00196CF1">
              <w:t>easures are simple and straight</w:t>
            </w:r>
            <w:r>
              <w:t>forward then access is easy and benefit sharing is highly likely.</w:t>
            </w:r>
          </w:p>
          <w:p w14:paraId="306E250B" w14:textId="77777777" w:rsidR="00A311B1" w:rsidRDefault="00A311B1" w:rsidP="00A311B1"/>
          <w:p w14:paraId="2527DC20" w14:textId="3679C0AC" w:rsidR="00A311B1" w:rsidRDefault="00A311B1" w:rsidP="00A311B1">
            <w:r>
              <w:t xml:space="preserve"> It is still important for users to monitor the development of ABS legislation (and </w:t>
            </w:r>
            <w:r w:rsidR="00AD68B6">
              <w:t xml:space="preserve">its </w:t>
            </w:r>
            <w:r>
              <w:t>publication in the ABS-CH</w:t>
            </w:r>
            <w:r w:rsidR="00AD68B6">
              <w:t xml:space="preserve"> is still highly important</w:t>
            </w:r>
            <w:r>
              <w:t xml:space="preserve">), but this cannot serve as a valid indicator for the amount/degree of actual benefit sharing. </w:t>
            </w:r>
          </w:p>
          <w:p w14:paraId="05347E83" w14:textId="77777777" w:rsidR="00A311B1" w:rsidRDefault="00A311B1" w:rsidP="00A311B1"/>
          <w:p w14:paraId="49E6149F" w14:textId="5588ED40" w:rsidR="00A311B1" w:rsidRDefault="00A311B1" w:rsidP="00A311B1">
            <w:r>
              <w:t xml:space="preserve">We therefore suggest that lines 147-148 </w:t>
            </w:r>
            <w:proofErr w:type="gramStart"/>
            <w:r>
              <w:t>be removed and captured instead (as proposed above) under a new monitoring element called “Progress on Nagoya Protocol implementation”</w:t>
            </w:r>
            <w:proofErr w:type="gramEnd"/>
            <w:r>
              <w:t xml:space="preserve">. The same limitations apply to the indicators currently listed for T12.1 (140-145, under "access"), in the wider sense that development of access legislation/regulations also </w:t>
            </w:r>
            <w:proofErr w:type="gramStart"/>
            <w:r>
              <w:t>cannot be taken</w:t>
            </w:r>
            <w:proofErr w:type="gramEnd"/>
            <w:r>
              <w:t xml:space="preserve"> as valid measure for increasing benefits shared.</w:t>
            </w:r>
          </w:p>
        </w:tc>
      </w:tr>
      <w:tr w:rsidR="00A311B1" w14:paraId="76668D69" w14:textId="77777777" w:rsidTr="005E2113">
        <w:trPr>
          <w:trHeight w:val="224"/>
        </w:trPr>
        <w:tc>
          <w:tcPr>
            <w:tcW w:w="817" w:type="dxa"/>
          </w:tcPr>
          <w:p w14:paraId="3882C7A0" w14:textId="77777777" w:rsidR="00A311B1" w:rsidRDefault="00A311B1" w:rsidP="00A311B1"/>
        </w:tc>
        <w:tc>
          <w:tcPr>
            <w:tcW w:w="815" w:type="dxa"/>
          </w:tcPr>
          <w:p w14:paraId="0C31197F" w14:textId="77777777" w:rsidR="00A311B1" w:rsidRDefault="00A311B1" w:rsidP="00A311B1"/>
        </w:tc>
        <w:tc>
          <w:tcPr>
            <w:tcW w:w="974" w:type="dxa"/>
          </w:tcPr>
          <w:p w14:paraId="52ABE4D8" w14:textId="77777777" w:rsidR="00A311B1" w:rsidRDefault="00A311B1" w:rsidP="00A311B1"/>
        </w:tc>
        <w:tc>
          <w:tcPr>
            <w:tcW w:w="1215" w:type="dxa"/>
            <w:gridSpan w:val="2"/>
          </w:tcPr>
          <w:p w14:paraId="277705CA" w14:textId="77777777" w:rsidR="00A311B1" w:rsidRDefault="00A311B1" w:rsidP="00A311B1"/>
        </w:tc>
        <w:tc>
          <w:tcPr>
            <w:tcW w:w="5785" w:type="dxa"/>
          </w:tcPr>
          <w:p w14:paraId="1C25EFA0" w14:textId="77777777" w:rsidR="00A311B1" w:rsidRDefault="00A311B1" w:rsidP="00A311B1"/>
        </w:tc>
      </w:tr>
      <w:tr w:rsidR="00A311B1" w14:paraId="49D1E911" w14:textId="77777777" w:rsidTr="005E2113">
        <w:trPr>
          <w:trHeight w:val="224"/>
        </w:trPr>
        <w:tc>
          <w:tcPr>
            <w:tcW w:w="817" w:type="dxa"/>
          </w:tcPr>
          <w:p w14:paraId="574BEF80" w14:textId="77777777" w:rsidR="00A311B1" w:rsidRDefault="00A311B1" w:rsidP="00A311B1"/>
        </w:tc>
        <w:tc>
          <w:tcPr>
            <w:tcW w:w="815" w:type="dxa"/>
          </w:tcPr>
          <w:p w14:paraId="172FF32B" w14:textId="77777777" w:rsidR="00A311B1" w:rsidRDefault="00A311B1" w:rsidP="00A311B1"/>
        </w:tc>
        <w:tc>
          <w:tcPr>
            <w:tcW w:w="974" w:type="dxa"/>
          </w:tcPr>
          <w:p w14:paraId="25908127" w14:textId="77777777" w:rsidR="00A311B1" w:rsidRDefault="00A311B1" w:rsidP="00A311B1"/>
        </w:tc>
        <w:tc>
          <w:tcPr>
            <w:tcW w:w="1215" w:type="dxa"/>
            <w:gridSpan w:val="2"/>
          </w:tcPr>
          <w:p w14:paraId="33B7886A" w14:textId="77777777" w:rsidR="00A311B1" w:rsidRDefault="00A311B1" w:rsidP="00A311B1"/>
        </w:tc>
        <w:tc>
          <w:tcPr>
            <w:tcW w:w="5785" w:type="dxa"/>
          </w:tcPr>
          <w:p w14:paraId="22F91CC8" w14:textId="77777777" w:rsidR="00A311B1" w:rsidRDefault="00A311B1" w:rsidP="00A311B1"/>
        </w:tc>
      </w:tr>
      <w:tr w:rsidR="00A311B1" w14:paraId="47753A67" w14:textId="77777777" w:rsidTr="005E2113">
        <w:trPr>
          <w:trHeight w:val="224"/>
        </w:trPr>
        <w:tc>
          <w:tcPr>
            <w:tcW w:w="817" w:type="dxa"/>
          </w:tcPr>
          <w:p w14:paraId="14E704CC" w14:textId="77777777" w:rsidR="00A311B1" w:rsidRDefault="00A311B1" w:rsidP="00A311B1"/>
        </w:tc>
        <w:tc>
          <w:tcPr>
            <w:tcW w:w="815" w:type="dxa"/>
          </w:tcPr>
          <w:p w14:paraId="7DAFD4DB" w14:textId="77777777" w:rsidR="00A311B1" w:rsidRDefault="00A311B1" w:rsidP="00A311B1"/>
        </w:tc>
        <w:tc>
          <w:tcPr>
            <w:tcW w:w="974" w:type="dxa"/>
          </w:tcPr>
          <w:p w14:paraId="5D85D217" w14:textId="77777777" w:rsidR="00A311B1" w:rsidRDefault="00A311B1" w:rsidP="00A311B1"/>
        </w:tc>
        <w:tc>
          <w:tcPr>
            <w:tcW w:w="1215" w:type="dxa"/>
            <w:gridSpan w:val="2"/>
          </w:tcPr>
          <w:p w14:paraId="71D991FF" w14:textId="77777777" w:rsidR="00A311B1" w:rsidRDefault="00A311B1" w:rsidP="00A311B1"/>
        </w:tc>
        <w:tc>
          <w:tcPr>
            <w:tcW w:w="5785" w:type="dxa"/>
          </w:tcPr>
          <w:p w14:paraId="42C2D514" w14:textId="77777777" w:rsidR="00A311B1" w:rsidRDefault="00A311B1" w:rsidP="00A311B1"/>
        </w:tc>
      </w:tr>
      <w:tr w:rsidR="00A311B1" w14:paraId="0921F5B5" w14:textId="77777777" w:rsidTr="005E2113">
        <w:trPr>
          <w:trHeight w:val="224"/>
        </w:trPr>
        <w:tc>
          <w:tcPr>
            <w:tcW w:w="817" w:type="dxa"/>
          </w:tcPr>
          <w:p w14:paraId="774E6EF6" w14:textId="77777777" w:rsidR="00A311B1" w:rsidRDefault="00A311B1" w:rsidP="00A311B1"/>
        </w:tc>
        <w:tc>
          <w:tcPr>
            <w:tcW w:w="815" w:type="dxa"/>
          </w:tcPr>
          <w:p w14:paraId="1703C2A3" w14:textId="77777777" w:rsidR="00A311B1" w:rsidRDefault="00A311B1" w:rsidP="00A311B1"/>
        </w:tc>
        <w:tc>
          <w:tcPr>
            <w:tcW w:w="974" w:type="dxa"/>
          </w:tcPr>
          <w:p w14:paraId="064EB704" w14:textId="77777777" w:rsidR="00A311B1" w:rsidRDefault="00A311B1" w:rsidP="00A311B1"/>
        </w:tc>
        <w:tc>
          <w:tcPr>
            <w:tcW w:w="1215" w:type="dxa"/>
            <w:gridSpan w:val="2"/>
          </w:tcPr>
          <w:p w14:paraId="14CFD917" w14:textId="77777777" w:rsidR="00A311B1" w:rsidRDefault="00A311B1" w:rsidP="00A311B1"/>
        </w:tc>
        <w:tc>
          <w:tcPr>
            <w:tcW w:w="5785" w:type="dxa"/>
          </w:tcPr>
          <w:p w14:paraId="04C80985" w14:textId="77777777" w:rsidR="00A311B1" w:rsidRDefault="00A311B1" w:rsidP="00A311B1"/>
        </w:tc>
      </w:tr>
      <w:tr w:rsidR="00A311B1" w14:paraId="743FE0CE" w14:textId="77777777" w:rsidTr="005E2113">
        <w:trPr>
          <w:trHeight w:val="224"/>
        </w:trPr>
        <w:tc>
          <w:tcPr>
            <w:tcW w:w="817" w:type="dxa"/>
          </w:tcPr>
          <w:p w14:paraId="76DBD1AE" w14:textId="77777777" w:rsidR="00A311B1" w:rsidRDefault="00A311B1" w:rsidP="00A311B1"/>
        </w:tc>
        <w:tc>
          <w:tcPr>
            <w:tcW w:w="815" w:type="dxa"/>
          </w:tcPr>
          <w:p w14:paraId="6A07F180" w14:textId="77777777" w:rsidR="00A311B1" w:rsidRDefault="00A311B1" w:rsidP="00A311B1"/>
        </w:tc>
        <w:tc>
          <w:tcPr>
            <w:tcW w:w="974" w:type="dxa"/>
          </w:tcPr>
          <w:p w14:paraId="4DC8ADEA" w14:textId="77777777" w:rsidR="00A311B1" w:rsidRDefault="00A311B1" w:rsidP="00A311B1"/>
        </w:tc>
        <w:tc>
          <w:tcPr>
            <w:tcW w:w="1215" w:type="dxa"/>
            <w:gridSpan w:val="2"/>
          </w:tcPr>
          <w:p w14:paraId="26C4D1DC" w14:textId="77777777" w:rsidR="00A311B1" w:rsidRDefault="00A311B1" w:rsidP="00A311B1"/>
        </w:tc>
        <w:tc>
          <w:tcPr>
            <w:tcW w:w="5785" w:type="dxa"/>
          </w:tcPr>
          <w:p w14:paraId="67B3B551" w14:textId="77777777" w:rsidR="00A311B1" w:rsidRDefault="00A311B1" w:rsidP="00A311B1"/>
        </w:tc>
      </w:tr>
      <w:tr w:rsidR="00A311B1" w14:paraId="04F6BB77" w14:textId="77777777" w:rsidTr="005E2113">
        <w:trPr>
          <w:trHeight w:val="224"/>
        </w:trPr>
        <w:tc>
          <w:tcPr>
            <w:tcW w:w="817" w:type="dxa"/>
          </w:tcPr>
          <w:p w14:paraId="51A02CC1" w14:textId="77777777" w:rsidR="00A311B1" w:rsidRDefault="00A311B1" w:rsidP="00A311B1"/>
        </w:tc>
        <w:tc>
          <w:tcPr>
            <w:tcW w:w="815" w:type="dxa"/>
          </w:tcPr>
          <w:p w14:paraId="08E1D3F0" w14:textId="77777777" w:rsidR="00A311B1" w:rsidRDefault="00A311B1" w:rsidP="00A311B1"/>
        </w:tc>
        <w:tc>
          <w:tcPr>
            <w:tcW w:w="974" w:type="dxa"/>
          </w:tcPr>
          <w:p w14:paraId="5A8C6046" w14:textId="77777777" w:rsidR="00A311B1" w:rsidRDefault="00A311B1" w:rsidP="00A311B1"/>
        </w:tc>
        <w:tc>
          <w:tcPr>
            <w:tcW w:w="1215" w:type="dxa"/>
            <w:gridSpan w:val="2"/>
          </w:tcPr>
          <w:p w14:paraId="56563F36" w14:textId="77777777" w:rsidR="00A311B1" w:rsidRDefault="00A311B1" w:rsidP="00A311B1"/>
        </w:tc>
        <w:tc>
          <w:tcPr>
            <w:tcW w:w="5785" w:type="dxa"/>
          </w:tcPr>
          <w:p w14:paraId="45C3D608" w14:textId="77777777" w:rsidR="00A311B1" w:rsidRDefault="00A311B1" w:rsidP="00A311B1"/>
        </w:tc>
      </w:tr>
      <w:tr w:rsidR="00A311B1" w14:paraId="2159E564" w14:textId="77777777" w:rsidTr="005E2113">
        <w:trPr>
          <w:trHeight w:val="224"/>
        </w:trPr>
        <w:tc>
          <w:tcPr>
            <w:tcW w:w="817" w:type="dxa"/>
          </w:tcPr>
          <w:p w14:paraId="08826D72" w14:textId="77777777" w:rsidR="00A311B1" w:rsidRDefault="00A311B1" w:rsidP="00A311B1"/>
        </w:tc>
        <w:tc>
          <w:tcPr>
            <w:tcW w:w="815" w:type="dxa"/>
          </w:tcPr>
          <w:p w14:paraId="0EAD5E26" w14:textId="77777777" w:rsidR="00A311B1" w:rsidRDefault="00A311B1" w:rsidP="00A311B1"/>
        </w:tc>
        <w:tc>
          <w:tcPr>
            <w:tcW w:w="974" w:type="dxa"/>
          </w:tcPr>
          <w:p w14:paraId="2C017FF8" w14:textId="77777777" w:rsidR="00A311B1" w:rsidRDefault="00A311B1" w:rsidP="00A311B1"/>
        </w:tc>
        <w:tc>
          <w:tcPr>
            <w:tcW w:w="1215" w:type="dxa"/>
            <w:gridSpan w:val="2"/>
          </w:tcPr>
          <w:p w14:paraId="50970E5B" w14:textId="77777777" w:rsidR="00A311B1" w:rsidRDefault="00A311B1" w:rsidP="00A311B1"/>
        </w:tc>
        <w:tc>
          <w:tcPr>
            <w:tcW w:w="5785" w:type="dxa"/>
          </w:tcPr>
          <w:p w14:paraId="4E0E9AEA" w14:textId="77777777" w:rsidR="00A311B1" w:rsidRDefault="00A311B1" w:rsidP="00A311B1"/>
        </w:tc>
      </w:tr>
      <w:tr w:rsidR="00A311B1" w14:paraId="45914ED4" w14:textId="77777777" w:rsidTr="005E2113">
        <w:trPr>
          <w:trHeight w:val="224"/>
        </w:trPr>
        <w:tc>
          <w:tcPr>
            <w:tcW w:w="817" w:type="dxa"/>
          </w:tcPr>
          <w:p w14:paraId="10C1F3C4" w14:textId="77777777" w:rsidR="00A311B1" w:rsidRDefault="00A311B1" w:rsidP="00A311B1"/>
        </w:tc>
        <w:tc>
          <w:tcPr>
            <w:tcW w:w="815" w:type="dxa"/>
          </w:tcPr>
          <w:p w14:paraId="7BB14FC9" w14:textId="77777777" w:rsidR="00A311B1" w:rsidRDefault="00A311B1" w:rsidP="00A311B1"/>
        </w:tc>
        <w:tc>
          <w:tcPr>
            <w:tcW w:w="974" w:type="dxa"/>
          </w:tcPr>
          <w:p w14:paraId="5C4ECAF4" w14:textId="77777777" w:rsidR="00A311B1" w:rsidRDefault="00A311B1" w:rsidP="00A311B1"/>
        </w:tc>
        <w:tc>
          <w:tcPr>
            <w:tcW w:w="1215" w:type="dxa"/>
            <w:gridSpan w:val="2"/>
          </w:tcPr>
          <w:p w14:paraId="55CCD313" w14:textId="77777777" w:rsidR="00A311B1" w:rsidRDefault="00A311B1" w:rsidP="00A311B1"/>
        </w:tc>
        <w:tc>
          <w:tcPr>
            <w:tcW w:w="5785" w:type="dxa"/>
          </w:tcPr>
          <w:p w14:paraId="2DCA50FA" w14:textId="77777777" w:rsidR="00A311B1" w:rsidRDefault="00A311B1" w:rsidP="00A311B1"/>
        </w:tc>
      </w:tr>
      <w:tr w:rsidR="00A311B1" w14:paraId="0F5D7432" w14:textId="77777777" w:rsidTr="005E2113">
        <w:trPr>
          <w:trHeight w:val="224"/>
        </w:trPr>
        <w:tc>
          <w:tcPr>
            <w:tcW w:w="817" w:type="dxa"/>
          </w:tcPr>
          <w:p w14:paraId="7289E3D8" w14:textId="77777777" w:rsidR="00A311B1" w:rsidRDefault="00A311B1" w:rsidP="00A311B1"/>
        </w:tc>
        <w:tc>
          <w:tcPr>
            <w:tcW w:w="815" w:type="dxa"/>
          </w:tcPr>
          <w:p w14:paraId="2EF6C497" w14:textId="77777777" w:rsidR="00A311B1" w:rsidRDefault="00A311B1" w:rsidP="00A311B1"/>
        </w:tc>
        <w:tc>
          <w:tcPr>
            <w:tcW w:w="974" w:type="dxa"/>
          </w:tcPr>
          <w:p w14:paraId="4BE096B8" w14:textId="77777777" w:rsidR="00A311B1" w:rsidRDefault="00A311B1" w:rsidP="00A311B1"/>
        </w:tc>
        <w:tc>
          <w:tcPr>
            <w:tcW w:w="1215" w:type="dxa"/>
            <w:gridSpan w:val="2"/>
          </w:tcPr>
          <w:p w14:paraId="0202DDB9" w14:textId="77777777" w:rsidR="00A311B1" w:rsidRDefault="00A311B1" w:rsidP="00A311B1"/>
        </w:tc>
        <w:tc>
          <w:tcPr>
            <w:tcW w:w="5785" w:type="dxa"/>
          </w:tcPr>
          <w:p w14:paraId="4300C39F" w14:textId="77777777" w:rsidR="00A311B1" w:rsidRDefault="00A311B1" w:rsidP="00A311B1"/>
        </w:tc>
      </w:tr>
      <w:tr w:rsidR="00A311B1" w14:paraId="4B95F5BC" w14:textId="77777777" w:rsidTr="005E2113">
        <w:trPr>
          <w:trHeight w:val="224"/>
        </w:trPr>
        <w:tc>
          <w:tcPr>
            <w:tcW w:w="817" w:type="dxa"/>
          </w:tcPr>
          <w:p w14:paraId="0F3F6CF2" w14:textId="77777777" w:rsidR="00A311B1" w:rsidRDefault="00A311B1" w:rsidP="00A311B1"/>
        </w:tc>
        <w:tc>
          <w:tcPr>
            <w:tcW w:w="815" w:type="dxa"/>
          </w:tcPr>
          <w:p w14:paraId="0F433E08" w14:textId="77777777" w:rsidR="00A311B1" w:rsidRDefault="00A311B1" w:rsidP="00A311B1"/>
        </w:tc>
        <w:tc>
          <w:tcPr>
            <w:tcW w:w="974" w:type="dxa"/>
          </w:tcPr>
          <w:p w14:paraId="21AF82A3" w14:textId="77777777" w:rsidR="00A311B1" w:rsidRDefault="00A311B1" w:rsidP="00A311B1"/>
        </w:tc>
        <w:tc>
          <w:tcPr>
            <w:tcW w:w="1215" w:type="dxa"/>
            <w:gridSpan w:val="2"/>
          </w:tcPr>
          <w:p w14:paraId="653376DD" w14:textId="77777777" w:rsidR="00A311B1" w:rsidRDefault="00A311B1" w:rsidP="00A311B1"/>
        </w:tc>
        <w:tc>
          <w:tcPr>
            <w:tcW w:w="5785" w:type="dxa"/>
          </w:tcPr>
          <w:p w14:paraId="0263D95A" w14:textId="77777777" w:rsidR="00A311B1" w:rsidRDefault="00A311B1" w:rsidP="00A311B1"/>
        </w:tc>
      </w:tr>
      <w:tr w:rsidR="00A311B1" w14:paraId="07FF59E6" w14:textId="77777777" w:rsidTr="005E2113">
        <w:trPr>
          <w:trHeight w:val="224"/>
        </w:trPr>
        <w:tc>
          <w:tcPr>
            <w:tcW w:w="817" w:type="dxa"/>
          </w:tcPr>
          <w:p w14:paraId="5301154D" w14:textId="77777777" w:rsidR="00A311B1" w:rsidRDefault="00A311B1" w:rsidP="00A311B1"/>
        </w:tc>
        <w:tc>
          <w:tcPr>
            <w:tcW w:w="815" w:type="dxa"/>
          </w:tcPr>
          <w:p w14:paraId="6B9AF9F2" w14:textId="77777777" w:rsidR="00A311B1" w:rsidRDefault="00A311B1" w:rsidP="00A311B1"/>
        </w:tc>
        <w:tc>
          <w:tcPr>
            <w:tcW w:w="974" w:type="dxa"/>
          </w:tcPr>
          <w:p w14:paraId="3373A3FD" w14:textId="77777777" w:rsidR="00A311B1" w:rsidRDefault="00A311B1" w:rsidP="00A311B1"/>
        </w:tc>
        <w:tc>
          <w:tcPr>
            <w:tcW w:w="1215" w:type="dxa"/>
            <w:gridSpan w:val="2"/>
          </w:tcPr>
          <w:p w14:paraId="7666EA1D" w14:textId="77777777" w:rsidR="00A311B1" w:rsidRDefault="00A311B1" w:rsidP="00A311B1"/>
        </w:tc>
        <w:tc>
          <w:tcPr>
            <w:tcW w:w="5785" w:type="dxa"/>
          </w:tcPr>
          <w:p w14:paraId="65304621" w14:textId="77777777" w:rsidR="00A311B1" w:rsidRDefault="00A311B1" w:rsidP="00A311B1"/>
        </w:tc>
      </w:tr>
      <w:tr w:rsidR="00A311B1" w14:paraId="14913B99" w14:textId="77777777" w:rsidTr="005E2113">
        <w:trPr>
          <w:trHeight w:val="224"/>
        </w:trPr>
        <w:tc>
          <w:tcPr>
            <w:tcW w:w="817" w:type="dxa"/>
          </w:tcPr>
          <w:p w14:paraId="6A289455" w14:textId="77777777" w:rsidR="00A311B1" w:rsidRDefault="00A311B1" w:rsidP="00A311B1"/>
        </w:tc>
        <w:tc>
          <w:tcPr>
            <w:tcW w:w="815" w:type="dxa"/>
          </w:tcPr>
          <w:p w14:paraId="31CF8188" w14:textId="77777777" w:rsidR="00A311B1" w:rsidRDefault="00A311B1" w:rsidP="00A311B1"/>
        </w:tc>
        <w:tc>
          <w:tcPr>
            <w:tcW w:w="974" w:type="dxa"/>
          </w:tcPr>
          <w:p w14:paraId="00A91387" w14:textId="77777777" w:rsidR="00A311B1" w:rsidRDefault="00A311B1" w:rsidP="00A311B1"/>
        </w:tc>
        <w:tc>
          <w:tcPr>
            <w:tcW w:w="1215" w:type="dxa"/>
            <w:gridSpan w:val="2"/>
          </w:tcPr>
          <w:p w14:paraId="715EE2B4" w14:textId="77777777" w:rsidR="00A311B1" w:rsidRDefault="00A311B1" w:rsidP="00A311B1"/>
        </w:tc>
        <w:tc>
          <w:tcPr>
            <w:tcW w:w="5785" w:type="dxa"/>
          </w:tcPr>
          <w:p w14:paraId="602C0A3A" w14:textId="77777777" w:rsidR="00A311B1" w:rsidRDefault="00A311B1" w:rsidP="00A311B1"/>
        </w:tc>
      </w:tr>
      <w:tr w:rsidR="00A311B1" w14:paraId="5F6DD945" w14:textId="77777777" w:rsidTr="005E2113">
        <w:trPr>
          <w:trHeight w:val="224"/>
        </w:trPr>
        <w:tc>
          <w:tcPr>
            <w:tcW w:w="817" w:type="dxa"/>
          </w:tcPr>
          <w:p w14:paraId="22A81EF8" w14:textId="77777777" w:rsidR="00A311B1" w:rsidRDefault="00A311B1" w:rsidP="00A311B1"/>
        </w:tc>
        <w:tc>
          <w:tcPr>
            <w:tcW w:w="815" w:type="dxa"/>
          </w:tcPr>
          <w:p w14:paraId="26B8E763" w14:textId="77777777" w:rsidR="00A311B1" w:rsidRDefault="00A311B1" w:rsidP="00A311B1"/>
        </w:tc>
        <w:tc>
          <w:tcPr>
            <w:tcW w:w="974" w:type="dxa"/>
          </w:tcPr>
          <w:p w14:paraId="1E918BE5" w14:textId="77777777" w:rsidR="00A311B1" w:rsidRDefault="00A311B1" w:rsidP="00A311B1"/>
        </w:tc>
        <w:tc>
          <w:tcPr>
            <w:tcW w:w="1215" w:type="dxa"/>
            <w:gridSpan w:val="2"/>
          </w:tcPr>
          <w:p w14:paraId="50B09C3E" w14:textId="77777777" w:rsidR="00A311B1" w:rsidRDefault="00A311B1" w:rsidP="00A311B1"/>
        </w:tc>
        <w:tc>
          <w:tcPr>
            <w:tcW w:w="5785" w:type="dxa"/>
          </w:tcPr>
          <w:p w14:paraId="2266DE60" w14:textId="77777777" w:rsidR="00A311B1" w:rsidRDefault="00A311B1" w:rsidP="00A311B1"/>
        </w:tc>
      </w:tr>
      <w:tr w:rsidR="00A311B1" w14:paraId="4E9F48A8" w14:textId="77777777" w:rsidTr="005E2113">
        <w:trPr>
          <w:trHeight w:val="224"/>
        </w:trPr>
        <w:tc>
          <w:tcPr>
            <w:tcW w:w="817" w:type="dxa"/>
          </w:tcPr>
          <w:p w14:paraId="14352873" w14:textId="77777777" w:rsidR="00A311B1" w:rsidRDefault="00A311B1" w:rsidP="00A311B1"/>
        </w:tc>
        <w:tc>
          <w:tcPr>
            <w:tcW w:w="815" w:type="dxa"/>
          </w:tcPr>
          <w:p w14:paraId="565D8B55" w14:textId="77777777" w:rsidR="00A311B1" w:rsidRDefault="00A311B1" w:rsidP="00A311B1"/>
        </w:tc>
        <w:tc>
          <w:tcPr>
            <w:tcW w:w="974" w:type="dxa"/>
          </w:tcPr>
          <w:p w14:paraId="5DB727A0" w14:textId="77777777" w:rsidR="00A311B1" w:rsidRDefault="00A311B1" w:rsidP="00A311B1"/>
        </w:tc>
        <w:tc>
          <w:tcPr>
            <w:tcW w:w="1215" w:type="dxa"/>
            <w:gridSpan w:val="2"/>
          </w:tcPr>
          <w:p w14:paraId="5678069B" w14:textId="77777777" w:rsidR="00A311B1" w:rsidRDefault="00A311B1" w:rsidP="00A311B1"/>
        </w:tc>
        <w:tc>
          <w:tcPr>
            <w:tcW w:w="5785" w:type="dxa"/>
          </w:tcPr>
          <w:p w14:paraId="55A24E36" w14:textId="77777777" w:rsidR="00A311B1" w:rsidRDefault="00A311B1" w:rsidP="00A311B1"/>
        </w:tc>
      </w:tr>
      <w:tr w:rsidR="00A311B1" w14:paraId="5085154B" w14:textId="77777777" w:rsidTr="005E2113">
        <w:trPr>
          <w:trHeight w:val="224"/>
        </w:trPr>
        <w:tc>
          <w:tcPr>
            <w:tcW w:w="817" w:type="dxa"/>
          </w:tcPr>
          <w:p w14:paraId="4FB3231B" w14:textId="77777777" w:rsidR="00A311B1" w:rsidRDefault="00A311B1" w:rsidP="00A311B1"/>
        </w:tc>
        <w:tc>
          <w:tcPr>
            <w:tcW w:w="815" w:type="dxa"/>
          </w:tcPr>
          <w:p w14:paraId="2656A6FD" w14:textId="77777777" w:rsidR="00A311B1" w:rsidRDefault="00A311B1" w:rsidP="00A311B1"/>
        </w:tc>
        <w:tc>
          <w:tcPr>
            <w:tcW w:w="974" w:type="dxa"/>
          </w:tcPr>
          <w:p w14:paraId="65510C21" w14:textId="77777777" w:rsidR="00A311B1" w:rsidRDefault="00A311B1" w:rsidP="00A311B1"/>
        </w:tc>
        <w:tc>
          <w:tcPr>
            <w:tcW w:w="1215" w:type="dxa"/>
            <w:gridSpan w:val="2"/>
          </w:tcPr>
          <w:p w14:paraId="714B2E1E" w14:textId="77777777" w:rsidR="00A311B1" w:rsidRDefault="00A311B1" w:rsidP="00A311B1"/>
        </w:tc>
        <w:tc>
          <w:tcPr>
            <w:tcW w:w="5785" w:type="dxa"/>
          </w:tcPr>
          <w:p w14:paraId="6C3536D2" w14:textId="77777777" w:rsidR="00A311B1" w:rsidRDefault="00A311B1" w:rsidP="00A311B1"/>
        </w:tc>
      </w:tr>
      <w:tr w:rsidR="00A311B1" w14:paraId="59A8DAFC" w14:textId="77777777" w:rsidTr="005E2113">
        <w:trPr>
          <w:trHeight w:val="224"/>
        </w:trPr>
        <w:tc>
          <w:tcPr>
            <w:tcW w:w="817" w:type="dxa"/>
          </w:tcPr>
          <w:p w14:paraId="1C8EB398" w14:textId="77777777" w:rsidR="00A311B1" w:rsidRDefault="00A311B1" w:rsidP="00A311B1"/>
        </w:tc>
        <w:tc>
          <w:tcPr>
            <w:tcW w:w="815" w:type="dxa"/>
          </w:tcPr>
          <w:p w14:paraId="298C7D6D" w14:textId="77777777" w:rsidR="00A311B1" w:rsidRDefault="00A311B1" w:rsidP="00A311B1"/>
        </w:tc>
        <w:tc>
          <w:tcPr>
            <w:tcW w:w="974" w:type="dxa"/>
          </w:tcPr>
          <w:p w14:paraId="0DB482B6" w14:textId="77777777" w:rsidR="00A311B1" w:rsidRDefault="00A311B1" w:rsidP="00A311B1"/>
        </w:tc>
        <w:tc>
          <w:tcPr>
            <w:tcW w:w="1215" w:type="dxa"/>
            <w:gridSpan w:val="2"/>
          </w:tcPr>
          <w:p w14:paraId="610737DD" w14:textId="77777777" w:rsidR="00A311B1" w:rsidRDefault="00A311B1" w:rsidP="00A311B1"/>
        </w:tc>
        <w:tc>
          <w:tcPr>
            <w:tcW w:w="5785" w:type="dxa"/>
          </w:tcPr>
          <w:p w14:paraId="6CF6F884" w14:textId="77777777" w:rsidR="00A311B1" w:rsidRDefault="00A311B1" w:rsidP="00A311B1"/>
        </w:tc>
      </w:tr>
    </w:tbl>
    <w:p w14:paraId="3DE5D947" w14:textId="77777777" w:rsidR="00A32B5C" w:rsidRDefault="00A32B5C">
      <w:pPr>
        <w:pStyle w:val="Default"/>
        <w:jc w:val="center"/>
        <w:rPr>
          <w:b/>
          <w:sz w:val="22"/>
          <w:szCs w:val="22"/>
          <w:u w:val="single"/>
        </w:rPr>
      </w:pPr>
    </w:p>
    <w:p w14:paraId="35CD4991" w14:textId="24AF7F98" w:rsidR="00A32B5C" w:rsidRPr="005E2113" w:rsidRDefault="00A32B5C">
      <w:pPr>
        <w:jc w:val="both"/>
        <w:rPr>
          <w:i/>
        </w:rPr>
      </w:pPr>
      <w:r>
        <w:rPr>
          <w:i/>
          <w:sz w:val="22"/>
          <w:szCs w:val="22"/>
        </w:rPr>
        <w:t xml:space="preserve">Comments </w:t>
      </w:r>
      <w:proofErr w:type="gramStart"/>
      <w:r>
        <w:rPr>
          <w:i/>
          <w:sz w:val="22"/>
          <w:szCs w:val="22"/>
        </w:rPr>
        <w:t>should be sent</w:t>
      </w:r>
      <w:proofErr w:type="gramEnd"/>
      <w:r>
        <w:rPr>
          <w:i/>
          <w:sz w:val="22"/>
          <w:szCs w:val="22"/>
        </w:rPr>
        <w:t xml:space="preserve"> by e-mail to </w:t>
      </w:r>
      <w:hyperlink r:id="rId9" w:history="1">
        <w:r w:rsidR="00624FAA" w:rsidRPr="00624FAA">
          <w:rPr>
            <w:rStyle w:val="Hyperlink"/>
            <w:i/>
            <w:sz w:val="22"/>
            <w:szCs w:val="22"/>
          </w:rPr>
          <w:t>secretariat@cbd.int</w:t>
        </w:r>
      </w:hyperlink>
      <w:r>
        <w:rPr>
          <w:i/>
          <w:sz w:val="22"/>
          <w:szCs w:val="22"/>
        </w:rPr>
        <w:t xml:space="preserve"> </w:t>
      </w:r>
      <w:r>
        <w:rPr>
          <w:b/>
          <w:i/>
          <w:sz w:val="22"/>
          <w:szCs w:val="22"/>
        </w:rPr>
        <w:t>no later than 25 July 2020</w:t>
      </w:r>
      <w:r>
        <w:rPr>
          <w:i/>
          <w:sz w:val="22"/>
          <w:szCs w:val="22"/>
        </w:rPr>
        <w:t>.</w:t>
      </w:r>
    </w:p>
    <w:sectPr w:rsidR="00A32B5C" w:rsidRPr="005E2113" w:rsidSect="005E2113">
      <w:headerReference w:type="default" r:id="rId10"/>
      <w:footerReference w:type="default" r:id="rId11"/>
      <w:headerReference w:type="first" r:id="rId12"/>
      <w:pgSz w:w="11901" w:h="16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3C439" w14:textId="77777777" w:rsidR="00C37D74" w:rsidRDefault="00C37D74">
      <w:r>
        <w:separator/>
      </w:r>
    </w:p>
  </w:endnote>
  <w:endnote w:type="continuationSeparator" w:id="0">
    <w:p w14:paraId="62173D6F" w14:textId="77777777" w:rsidR="00C37D74" w:rsidRDefault="00C37D74">
      <w:r>
        <w:continuationSeparator/>
      </w:r>
    </w:p>
  </w:endnote>
  <w:endnote w:type="continuationNotice" w:id="1">
    <w:p w14:paraId="70586FC9" w14:textId="77777777" w:rsidR="00C37D74" w:rsidRDefault="00C37D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BD077" w14:textId="77777777" w:rsidR="00C37D74" w:rsidRDefault="00C37D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5BDB6" w14:textId="77777777" w:rsidR="00C37D74" w:rsidRDefault="00C37D74">
      <w:r>
        <w:separator/>
      </w:r>
    </w:p>
  </w:footnote>
  <w:footnote w:type="continuationSeparator" w:id="0">
    <w:p w14:paraId="4E2CB86F" w14:textId="77777777" w:rsidR="00C37D74" w:rsidRDefault="00C37D74">
      <w:r>
        <w:continuationSeparator/>
      </w:r>
    </w:p>
  </w:footnote>
  <w:footnote w:type="continuationNotice" w:id="1">
    <w:p w14:paraId="665BB12B" w14:textId="77777777" w:rsidR="00C37D74" w:rsidRDefault="00C37D7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C122D" w14:textId="77777777" w:rsidR="00A32B5C" w:rsidRDefault="00A32B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2803A" w14:textId="77777777" w:rsidR="00A32B5C" w:rsidRDefault="00A32B5C" w:rsidP="00C37D74">
    <w:pPr>
      <w:pStyle w:val="Kopfzeile"/>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656873"/>
    <w:multiLevelType w:val="hybridMultilevel"/>
    <w:tmpl w:val="7DEC24CA"/>
    <w:lvl w:ilvl="0" w:tplc="95CADAC6">
      <w:start w:val="1"/>
      <w:numFmt w:val="decimal"/>
      <w:lvlText w:val="%1."/>
      <w:lvlJc w:val="left"/>
      <w:pPr>
        <w:tabs>
          <w:tab w:val="num" w:pos="360"/>
        </w:tabs>
        <w:ind w:left="648"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1196518"/>
    <w:multiLevelType w:val="hybridMultilevel"/>
    <w:tmpl w:val="0AC0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73726"/>
    <w:multiLevelType w:val="hybridMultilevel"/>
    <w:tmpl w:val="B440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D5BF7"/>
    <w:multiLevelType w:val="hybridMultilevel"/>
    <w:tmpl w:val="A5FAFA7A"/>
    <w:lvl w:ilvl="0" w:tplc="BBECF624">
      <w:start w:val="1"/>
      <w:numFmt w:val="decimal"/>
      <w:lvlText w:val="%1."/>
      <w:lvlJc w:val="left"/>
      <w:pPr>
        <w:tabs>
          <w:tab w:val="num" w:pos="360"/>
        </w:tabs>
        <w:ind w:firstLine="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9E34F8F"/>
    <w:multiLevelType w:val="hybridMultilevel"/>
    <w:tmpl w:val="F446D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E095B87"/>
    <w:multiLevelType w:val="hybridMultilevel"/>
    <w:tmpl w:val="2B76C638"/>
    <w:lvl w:ilvl="0" w:tplc="4D1A35D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E4"/>
    <w:rsid w:val="0000434A"/>
    <w:rsid w:val="0001655B"/>
    <w:rsid w:val="00020CB7"/>
    <w:rsid w:val="0002384F"/>
    <w:rsid w:val="00024DF8"/>
    <w:rsid w:val="00042D10"/>
    <w:rsid w:val="00053583"/>
    <w:rsid w:val="00060F26"/>
    <w:rsid w:val="00082816"/>
    <w:rsid w:val="00090581"/>
    <w:rsid w:val="000968B8"/>
    <w:rsid w:val="000A1EAF"/>
    <w:rsid w:val="000B6228"/>
    <w:rsid w:val="000B7728"/>
    <w:rsid w:val="000C0B6C"/>
    <w:rsid w:val="000D6D3E"/>
    <w:rsid w:val="000E3C69"/>
    <w:rsid w:val="0011369D"/>
    <w:rsid w:val="001208DE"/>
    <w:rsid w:val="00131A78"/>
    <w:rsid w:val="00153018"/>
    <w:rsid w:val="001616E7"/>
    <w:rsid w:val="00170A3F"/>
    <w:rsid w:val="0017276B"/>
    <w:rsid w:val="001771FC"/>
    <w:rsid w:val="00196CF1"/>
    <w:rsid w:val="001A7B51"/>
    <w:rsid w:val="001B7642"/>
    <w:rsid w:val="001D3754"/>
    <w:rsid w:val="001E3E11"/>
    <w:rsid w:val="001F34E8"/>
    <w:rsid w:val="00203867"/>
    <w:rsid w:val="00211568"/>
    <w:rsid w:val="002324A3"/>
    <w:rsid w:val="002337AC"/>
    <w:rsid w:val="00244FE0"/>
    <w:rsid w:val="00247402"/>
    <w:rsid w:val="00265BE4"/>
    <w:rsid w:val="00290379"/>
    <w:rsid w:val="00290B46"/>
    <w:rsid w:val="00293F53"/>
    <w:rsid w:val="00297A07"/>
    <w:rsid w:val="002A5D51"/>
    <w:rsid w:val="002A6DA8"/>
    <w:rsid w:val="002B7CD6"/>
    <w:rsid w:val="002C7733"/>
    <w:rsid w:val="002D065D"/>
    <w:rsid w:val="002F084E"/>
    <w:rsid w:val="00305B1F"/>
    <w:rsid w:val="00312698"/>
    <w:rsid w:val="00323670"/>
    <w:rsid w:val="003249B9"/>
    <w:rsid w:val="00331076"/>
    <w:rsid w:val="00332A6E"/>
    <w:rsid w:val="00333F18"/>
    <w:rsid w:val="00335407"/>
    <w:rsid w:val="003404F7"/>
    <w:rsid w:val="00360E94"/>
    <w:rsid w:val="00384EB6"/>
    <w:rsid w:val="003B6338"/>
    <w:rsid w:val="003B78FD"/>
    <w:rsid w:val="003D6A45"/>
    <w:rsid w:val="003D6BBF"/>
    <w:rsid w:val="003E0BA2"/>
    <w:rsid w:val="003E63A9"/>
    <w:rsid w:val="003E7D4A"/>
    <w:rsid w:val="003F5EC1"/>
    <w:rsid w:val="004034A8"/>
    <w:rsid w:val="00404BD3"/>
    <w:rsid w:val="0042732F"/>
    <w:rsid w:val="0043164D"/>
    <w:rsid w:val="00433B00"/>
    <w:rsid w:val="004422E0"/>
    <w:rsid w:val="00454CE8"/>
    <w:rsid w:val="004710AE"/>
    <w:rsid w:val="00487C28"/>
    <w:rsid w:val="00495268"/>
    <w:rsid w:val="004A7E00"/>
    <w:rsid w:val="004E0928"/>
    <w:rsid w:val="004E4BCF"/>
    <w:rsid w:val="004F0B61"/>
    <w:rsid w:val="004F1EB4"/>
    <w:rsid w:val="00506FCD"/>
    <w:rsid w:val="0051470F"/>
    <w:rsid w:val="00532BBA"/>
    <w:rsid w:val="005458C0"/>
    <w:rsid w:val="005469ED"/>
    <w:rsid w:val="0055668B"/>
    <w:rsid w:val="00570FAF"/>
    <w:rsid w:val="00573EED"/>
    <w:rsid w:val="005824FC"/>
    <w:rsid w:val="00585692"/>
    <w:rsid w:val="00590627"/>
    <w:rsid w:val="005932D5"/>
    <w:rsid w:val="005B5993"/>
    <w:rsid w:val="005C3F60"/>
    <w:rsid w:val="005D2E65"/>
    <w:rsid w:val="005D5557"/>
    <w:rsid w:val="005E2113"/>
    <w:rsid w:val="005E2407"/>
    <w:rsid w:val="005F0260"/>
    <w:rsid w:val="00600804"/>
    <w:rsid w:val="00603B9A"/>
    <w:rsid w:val="006056FD"/>
    <w:rsid w:val="00611457"/>
    <w:rsid w:val="00624C82"/>
    <w:rsid w:val="00624FAA"/>
    <w:rsid w:val="00626CE8"/>
    <w:rsid w:val="00642AC0"/>
    <w:rsid w:val="006545D8"/>
    <w:rsid w:val="00661157"/>
    <w:rsid w:val="006618C3"/>
    <w:rsid w:val="00665BC7"/>
    <w:rsid w:val="0068569C"/>
    <w:rsid w:val="00690111"/>
    <w:rsid w:val="006D5291"/>
    <w:rsid w:val="006D60F9"/>
    <w:rsid w:val="006D6D0F"/>
    <w:rsid w:val="006F0E0D"/>
    <w:rsid w:val="006F40ED"/>
    <w:rsid w:val="006F4A63"/>
    <w:rsid w:val="006F4D56"/>
    <w:rsid w:val="00706377"/>
    <w:rsid w:val="007449D5"/>
    <w:rsid w:val="00750EDF"/>
    <w:rsid w:val="00757A3C"/>
    <w:rsid w:val="00770116"/>
    <w:rsid w:val="0079367D"/>
    <w:rsid w:val="00796A1A"/>
    <w:rsid w:val="007A24E9"/>
    <w:rsid w:val="007C0C1B"/>
    <w:rsid w:val="007D13B8"/>
    <w:rsid w:val="007F04C6"/>
    <w:rsid w:val="00801D1A"/>
    <w:rsid w:val="00804363"/>
    <w:rsid w:val="00832E1E"/>
    <w:rsid w:val="00840313"/>
    <w:rsid w:val="00865174"/>
    <w:rsid w:val="008911E7"/>
    <w:rsid w:val="008A2175"/>
    <w:rsid w:val="008B0624"/>
    <w:rsid w:val="008C4B6B"/>
    <w:rsid w:val="008C6214"/>
    <w:rsid w:val="008D46F4"/>
    <w:rsid w:val="008E5267"/>
    <w:rsid w:val="008E5DA6"/>
    <w:rsid w:val="00945444"/>
    <w:rsid w:val="009467DB"/>
    <w:rsid w:val="00947BAE"/>
    <w:rsid w:val="00951142"/>
    <w:rsid w:val="00985B44"/>
    <w:rsid w:val="00990C4C"/>
    <w:rsid w:val="009B53FD"/>
    <w:rsid w:val="009C0234"/>
    <w:rsid w:val="009D0254"/>
    <w:rsid w:val="009D02A0"/>
    <w:rsid w:val="009D4E4A"/>
    <w:rsid w:val="009E5F12"/>
    <w:rsid w:val="009E7EB7"/>
    <w:rsid w:val="009F28E0"/>
    <w:rsid w:val="00A068DC"/>
    <w:rsid w:val="00A1288D"/>
    <w:rsid w:val="00A2000C"/>
    <w:rsid w:val="00A311B1"/>
    <w:rsid w:val="00A312D8"/>
    <w:rsid w:val="00A32B5C"/>
    <w:rsid w:val="00A35A86"/>
    <w:rsid w:val="00A44186"/>
    <w:rsid w:val="00A526D8"/>
    <w:rsid w:val="00A57135"/>
    <w:rsid w:val="00A62047"/>
    <w:rsid w:val="00AA45C5"/>
    <w:rsid w:val="00AA726F"/>
    <w:rsid w:val="00AC73F7"/>
    <w:rsid w:val="00AD68B6"/>
    <w:rsid w:val="00AE6FEC"/>
    <w:rsid w:val="00AF6208"/>
    <w:rsid w:val="00B017F1"/>
    <w:rsid w:val="00B0290E"/>
    <w:rsid w:val="00B02B94"/>
    <w:rsid w:val="00B06B2E"/>
    <w:rsid w:val="00B411D0"/>
    <w:rsid w:val="00B65D31"/>
    <w:rsid w:val="00B76BE3"/>
    <w:rsid w:val="00B93D50"/>
    <w:rsid w:val="00BC09B3"/>
    <w:rsid w:val="00BC3D9A"/>
    <w:rsid w:val="00BE1669"/>
    <w:rsid w:val="00BE3C49"/>
    <w:rsid w:val="00C0100A"/>
    <w:rsid w:val="00C115A2"/>
    <w:rsid w:val="00C115BA"/>
    <w:rsid w:val="00C37D74"/>
    <w:rsid w:val="00C60611"/>
    <w:rsid w:val="00C65EF1"/>
    <w:rsid w:val="00C73F78"/>
    <w:rsid w:val="00C76950"/>
    <w:rsid w:val="00C813ED"/>
    <w:rsid w:val="00C9464F"/>
    <w:rsid w:val="00CA3CDA"/>
    <w:rsid w:val="00CB31A6"/>
    <w:rsid w:val="00CB6CB9"/>
    <w:rsid w:val="00CD1DCE"/>
    <w:rsid w:val="00CD6979"/>
    <w:rsid w:val="00CE00CF"/>
    <w:rsid w:val="00CF16C6"/>
    <w:rsid w:val="00CF3C4C"/>
    <w:rsid w:val="00D17C13"/>
    <w:rsid w:val="00D5253A"/>
    <w:rsid w:val="00D72549"/>
    <w:rsid w:val="00D72B8D"/>
    <w:rsid w:val="00D74E88"/>
    <w:rsid w:val="00D8033C"/>
    <w:rsid w:val="00D9146A"/>
    <w:rsid w:val="00D9467E"/>
    <w:rsid w:val="00DB71FC"/>
    <w:rsid w:val="00DC1FCD"/>
    <w:rsid w:val="00DC466F"/>
    <w:rsid w:val="00DC7317"/>
    <w:rsid w:val="00DD3897"/>
    <w:rsid w:val="00E034BA"/>
    <w:rsid w:val="00E14C4F"/>
    <w:rsid w:val="00E32CE3"/>
    <w:rsid w:val="00E47EE6"/>
    <w:rsid w:val="00E53DF0"/>
    <w:rsid w:val="00E542DB"/>
    <w:rsid w:val="00E6426D"/>
    <w:rsid w:val="00E74140"/>
    <w:rsid w:val="00E77899"/>
    <w:rsid w:val="00E77B95"/>
    <w:rsid w:val="00E80F46"/>
    <w:rsid w:val="00E86A51"/>
    <w:rsid w:val="00EA18E2"/>
    <w:rsid w:val="00EA3694"/>
    <w:rsid w:val="00EC3FCB"/>
    <w:rsid w:val="00EC787C"/>
    <w:rsid w:val="00F05FBA"/>
    <w:rsid w:val="00F07714"/>
    <w:rsid w:val="00F16439"/>
    <w:rsid w:val="00F35F42"/>
    <w:rsid w:val="00F54888"/>
    <w:rsid w:val="00F55E0E"/>
    <w:rsid w:val="00F60126"/>
    <w:rsid w:val="00F61250"/>
    <w:rsid w:val="00F67E6D"/>
    <w:rsid w:val="00F91F01"/>
    <w:rsid w:val="00F97770"/>
    <w:rsid w:val="00FB3DD8"/>
    <w:rsid w:val="00FD7120"/>
    <w:rsid w:val="00FE0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A4BEC5"/>
  <w15:chartTrackingRefBased/>
  <w15:docId w15:val="{73D09362-2F51-4ED7-AC2B-59C1DCE3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71FC"/>
    <w:rPr>
      <w:sz w:val="24"/>
      <w:szCs w:val="24"/>
    </w:rPr>
  </w:style>
  <w:style w:type="paragraph" w:styleId="berschrift2">
    <w:name w:val="heading 2"/>
    <w:basedOn w:val="Standard"/>
    <w:next w:val="Standard"/>
    <w:link w:val="berschrift2Zchn"/>
    <w:uiPriority w:val="99"/>
    <w:qFormat/>
    <w:locked/>
    <w:rsid w:val="00DB71FC"/>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cs="Times New Roman" w:hint="default"/>
    </w:rPr>
  </w:style>
  <w:style w:type="character" w:customStyle="1" w:styleId="WW8Num1z1">
    <w:name w:val="WW8Num1z1"/>
    <w:rPr>
      <w:rFonts w:cs="Times New Roman"/>
    </w:rPr>
  </w:style>
  <w:style w:type="character" w:customStyle="1" w:styleId="WW8Num2z0">
    <w:name w:val="WW8Num2z0"/>
    <w:rPr>
      <w:rFonts w:cs="Times New Roman" w:hint="default"/>
    </w:rPr>
  </w:style>
  <w:style w:type="character" w:customStyle="1" w:styleId="WW8Num2z1">
    <w:name w:val="WW8Num2z1"/>
    <w:rPr>
      <w:rFonts w:cs="Times New Roman"/>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1">
    <w:name w:val="Absatz-Standardschriftart1"/>
  </w:style>
  <w:style w:type="character" w:customStyle="1" w:styleId="berschrift2Zchn">
    <w:name w:val="Überschrift 2 Zchn"/>
    <w:link w:val="berschrift2"/>
    <w:uiPriority w:val="99"/>
    <w:rPr>
      <w:rFonts w:ascii="Arial" w:hAnsi="Arial" w:cs="Arial"/>
      <w:b/>
      <w:bCs/>
      <w:i/>
      <w:iCs/>
      <w:sz w:val="28"/>
      <w:szCs w:val="28"/>
    </w:rPr>
  </w:style>
  <w:style w:type="character" w:customStyle="1" w:styleId="KopfzeileZchn">
    <w:name w:val="Kopfzeile Zchn"/>
    <w:link w:val="Kopfzeile"/>
    <w:uiPriority w:val="99"/>
    <w:rPr>
      <w:sz w:val="24"/>
      <w:szCs w:val="24"/>
    </w:rPr>
  </w:style>
  <w:style w:type="character" w:customStyle="1" w:styleId="FuzeileZchn">
    <w:name w:val="Fußzeile Zchn"/>
    <w:link w:val="Fuzeile"/>
    <w:uiPriority w:val="99"/>
    <w:rPr>
      <w:sz w:val="24"/>
      <w:szCs w:val="24"/>
    </w:rPr>
  </w:style>
  <w:style w:type="character" w:customStyle="1" w:styleId="SprechblasentextZchn">
    <w:name w:val="Sprechblasentext Zchn"/>
    <w:link w:val="Sprechblasentext"/>
    <w:uiPriority w:val="99"/>
    <w:semiHidden/>
    <w:rPr>
      <w:sz w:val="0"/>
      <w:szCs w:val="0"/>
    </w:rPr>
  </w:style>
  <w:style w:type="character" w:styleId="Hyperlink">
    <w:name w:val="Hyperlink"/>
    <w:uiPriority w:val="99"/>
    <w:rPr>
      <w:rFonts w:cs="Times New Roman"/>
      <w:color w:val="0000FF"/>
      <w:u w:val="single"/>
    </w:rPr>
  </w:style>
  <w:style w:type="character" w:customStyle="1" w:styleId="TitelZchn">
    <w:name w:val="Titel Zchn"/>
    <w:link w:val="Titel"/>
    <w:uiPriority w:val="99"/>
    <w:rPr>
      <w:b/>
      <w:sz w:val="32"/>
      <w:lang w:val="fr-CA"/>
    </w:rPr>
  </w:style>
  <w:style w:type="character" w:customStyle="1" w:styleId="KommentartextZchn">
    <w:name w:val="Kommentartext Zchn"/>
    <w:link w:val="Kommentartext"/>
    <w:uiPriority w:val="99"/>
  </w:style>
  <w:style w:type="character" w:customStyle="1" w:styleId="KommentarthemaZchn">
    <w:name w:val="Kommentarthema Zchn"/>
    <w:link w:val="Kommentarthema"/>
    <w:uiPriority w:val="99"/>
    <w:locked/>
    <w:rsid w:val="00DB71FC"/>
    <w:rPr>
      <w:b/>
      <w:bCs/>
    </w:rPr>
  </w:style>
  <w:style w:type="character" w:customStyle="1" w:styleId="Kommentarzeichen1">
    <w:name w:val="Kommentarzeichen1"/>
    <w:rPr>
      <w:rFonts w:cs="Times New Roman"/>
      <w:sz w:val="16"/>
      <w:szCs w:val="16"/>
    </w:rPr>
  </w:style>
  <w:style w:type="character" w:styleId="Fett">
    <w:name w:val="Strong"/>
    <w:uiPriority w:val="99"/>
    <w:qFormat/>
    <w:locked/>
    <w:rsid w:val="008E5DA6"/>
    <w:rPr>
      <w:rFonts w:cs="Times New Roman"/>
      <w:b/>
      <w:bCs/>
    </w:rPr>
  </w:style>
  <w:style w:type="character" w:styleId="BesuchterLink">
    <w:name w:val="FollowedHyperlink"/>
    <w:uiPriority w:val="99"/>
    <w:rPr>
      <w:rFonts w:cs="Times New Roman"/>
      <w:color w:val="800080"/>
      <w:u w:val="single"/>
    </w:rPr>
  </w:style>
  <w:style w:type="character" w:customStyle="1" w:styleId="UnresolvedMention">
    <w:name w:val="Unresolved Mention"/>
    <w:uiPriority w:val="99"/>
    <w:semiHidden/>
    <w:unhideWhenUsed/>
    <w:rsid w:val="006F4D56"/>
    <w:rPr>
      <w:color w:val="605E5C"/>
      <w:shd w:val="clear" w:color="auto" w:fill="E1DFDD"/>
    </w:rPr>
  </w:style>
  <w:style w:type="character" w:customStyle="1" w:styleId="FunotentextZchn">
    <w:name w:val="Fußnotentext Zchn"/>
    <w:link w:val="Funotentext"/>
    <w:uiPriority w:val="99"/>
    <w:semiHidden/>
    <w:rPr>
      <w:rFonts w:ascii="Calibri" w:eastAsia="Calibri" w:hAnsi="Calibri" w:cs="Calibri"/>
    </w:rPr>
  </w:style>
  <w:style w:type="character" w:customStyle="1" w:styleId="Funotenzeichen1">
    <w:name w:val="Fußnotenzeichen1"/>
    <w:rPr>
      <w:vertAlign w:val="superscript"/>
    </w:rPr>
  </w:style>
  <w:style w:type="character" w:customStyle="1" w:styleId="ng-binding">
    <w:name w:val="ng-binding"/>
  </w:style>
  <w:style w:type="paragraph" w:customStyle="1" w:styleId="berschrift">
    <w:name w:val="Überschrift"/>
    <w:basedOn w:val="Standard"/>
    <w:next w:val="Textkrper"/>
    <w:pPr>
      <w:overflowPunct w:val="0"/>
      <w:autoSpaceDE w:val="0"/>
      <w:jc w:val="center"/>
      <w:textAlignment w:val="baseline"/>
    </w:pPr>
    <w:rPr>
      <w:b/>
      <w:sz w:val="32"/>
      <w:szCs w:val="20"/>
      <w:lang w:val="fr-CA"/>
    </w:rPr>
  </w:style>
  <w:style w:type="paragraph" w:styleId="Textkrper">
    <w:name w:val="Body Text"/>
    <w:basedOn w:val="Standard"/>
    <w:pPr>
      <w:spacing w:after="140" w:line="288"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styleId="Kopfzeile">
    <w:name w:val="header"/>
    <w:basedOn w:val="Standard"/>
    <w:link w:val="KopfzeileZchn"/>
    <w:uiPriority w:val="99"/>
    <w:rsid w:val="00840313"/>
    <w:pPr>
      <w:tabs>
        <w:tab w:val="center" w:pos="4320"/>
        <w:tab w:val="right" w:pos="8640"/>
      </w:tabs>
    </w:pPr>
  </w:style>
  <w:style w:type="paragraph" w:styleId="Fuzeile">
    <w:name w:val="footer"/>
    <w:basedOn w:val="Standard"/>
    <w:link w:val="FuzeileZchn"/>
    <w:uiPriority w:val="99"/>
    <w:rsid w:val="00840313"/>
    <w:pPr>
      <w:tabs>
        <w:tab w:val="center" w:pos="4320"/>
        <w:tab w:val="right" w:pos="8640"/>
      </w:tabs>
    </w:pPr>
  </w:style>
  <w:style w:type="paragraph" w:styleId="Sprechblasentext">
    <w:name w:val="Balloon Text"/>
    <w:basedOn w:val="Standard"/>
    <w:link w:val="SprechblasentextZchn"/>
    <w:uiPriority w:val="99"/>
    <w:semiHidden/>
    <w:rsid w:val="00840313"/>
    <w:rPr>
      <w:sz w:val="0"/>
      <w:szCs w:val="0"/>
    </w:rPr>
  </w:style>
  <w:style w:type="paragraph" w:customStyle="1" w:styleId="Default">
    <w:name w:val="Default"/>
    <w:uiPriority w:val="99"/>
    <w:rsid w:val="00DB71FC"/>
    <w:pPr>
      <w:autoSpaceDE w:val="0"/>
      <w:autoSpaceDN w:val="0"/>
      <w:adjustRightInd w:val="0"/>
    </w:pPr>
    <w:rPr>
      <w:color w:val="000000"/>
      <w:sz w:val="24"/>
      <w:szCs w:val="24"/>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link w:val="KommentarthemaZchn"/>
    <w:uiPriority w:val="99"/>
    <w:rPr>
      <w:b/>
      <w:bCs/>
    </w:rPr>
  </w:style>
  <w:style w:type="paragraph" w:customStyle="1" w:styleId="Form">
    <w:name w:val="Form"/>
    <w:basedOn w:val="Standard"/>
    <w:uiPriority w:val="99"/>
    <w:rsid w:val="00DB71FC"/>
    <w:pPr>
      <w:autoSpaceDE w:val="0"/>
      <w:autoSpaceDN w:val="0"/>
      <w:adjustRightInd w:val="0"/>
      <w:spacing w:before="60" w:after="60"/>
    </w:pPr>
    <w:rPr>
      <w:rFonts w:ascii="Arial" w:eastAsia="MS Mincho" w:hAnsi="Arial" w:cs="Arial"/>
      <w:sz w:val="16"/>
    </w:rPr>
  </w:style>
  <w:style w:type="paragraph" w:styleId="Listenabsatz">
    <w:name w:val="List Paragraph"/>
    <w:basedOn w:val="Standard"/>
    <w:uiPriority w:val="34"/>
    <w:qFormat/>
    <w:rsid w:val="00DB71FC"/>
    <w:pPr>
      <w:ind w:left="720"/>
    </w:pPr>
  </w:style>
  <w:style w:type="paragraph" w:styleId="Funotentext">
    <w:name w:val="footnote text"/>
    <w:basedOn w:val="Standard"/>
    <w:link w:val="FunotentextZchn"/>
    <w:uiPriority w:val="99"/>
    <w:semiHidden/>
    <w:unhideWhenUsed/>
    <w:rsid w:val="00750EDF"/>
    <w:rPr>
      <w:rFonts w:ascii="Calibri" w:eastAsia="Calibri" w:hAnsi="Calibri" w:cs="Calibri"/>
      <w:sz w:val="20"/>
      <w:szCs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table" w:styleId="Tabellenraster">
    <w:name w:val="Table Grid"/>
    <w:basedOn w:val="NormaleTabelle"/>
    <w:uiPriority w:val="99"/>
    <w:rsid w:val="00C37D74"/>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uiPriority w:val="99"/>
    <w:qFormat/>
    <w:locked/>
    <w:rsid w:val="0079367D"/>
    <w:pPr>
      <w:overflowPunct w:val="0"/>
      <w:autoSpaceDE w:val="0"/>
      <w:autoSpaceDN w:val="0"/>
      <w:adjustRightInd w:val="0"/>
      <w:jc w:val="center"/>
      <w:textAlignment w:val="baseline"/>
    </w:pPr>
    <w:rPr>
      <w:b/>
      <w:sz w:val="32"/>
      <w:szCs w:val="20"/>
      <w:lang w:val="fr-CA"/>
    </w:rPr>
  </w:style>
  <w:style w:type="character" w:customStyle="1" w:styleId="TitelZchn1">
    <w:name w:val="Titel Zchn1"/>
    <w:basedOn w:val="Absatz-Standardschriftart"/>
    <w:uiPriority w:val="10"/>
    <w:rsid w:val="00C37D74"/>
    <w:rPr>
      <w:rFonts w:asciiTheme="majorHAnsi" w:eastAsiaTheme="majorEastAsia" w:hAnsiTheme="majorHAnsi" w:cstheme="majorBidi"/>
      <w:spacing w:val="-10"/>
      <w:kern w:val="28"/>
      <w:sz w:val="56"/>
      <w:szCs w:val="56"/>
      <w:lang w:eastAsia="zh-CN"/>
    </w:rPr>
  </w:style>
  <w:style w:type="paragraph" w:styleId="Kommentartext">
    <w:name w:val="annotation text"/>
    <w:basedOn w:val="Standard"/>
    <w:link w:val="KommentartextZchn"/>
    <w:uiPriority w:val="99"/>
    <w:rsid w:val="00DB71FC"/>
    <w:rPr>
      <w:sz w:val="20"/>
      <w:szCs w:val="20"/>
    </w:rPr>
  </w:style>
  <w:style w:type="character" w:customStyle="1" w:styleId="KommentartextZchn1">
    <w:name w:val="Kommentartext Zchn1"/>
    <w:basedOn w:val="Absatz-Standardschriftart"/>
    <w:uiPriority w:val="99"/>
    <w:semiHidden/>
    <w:rsid w:val="00C37D74"/>
    <w:rPr>
      <w:lang w:eastAsia="zh-CN"/>
    </w:rPr>
  </w:style>
  <w:style w:type="character" w:styleId="Kommentarzeichen">
    <w:name w:val="annotation reference"/>
    <w:uiPriority w:val="99"/>
    <w:rsid w:val="00C37D74"/>
    <w:rPr>
      <w:rFonts w:cs="Times New Roman"/>
      <w:sz w:val="16"/>
      <w:szCs w:val="16"/>
    </w:rPr>
  </w:style>
  <w:style w:type="character" w:styleId="Funotenzeichen">
    <w:name w:val="footnote reference"/>
    <w:uiPriority w:val="99"/>
    <w:semiHidden/>
    <w:unhideWhenUsed/>
    <w:rsid w:val="00C37D74"/>
    <w:rPr>
      <w:vertAlign w:val="superscript"/>
    </w:rPr>
  </w:style>
  <w:style w:type="paragraph" w:styleId="berarbeitung">
    <w:name w:val="Revision"/>
    <w:hidden/>
    <w:uiPriority w:val="99"/>
    <w:semiHidden/>
    <w:rsid w:val="00F05FBA"/>
    <w:rPr>
      <w:sz w:val="24"/>
      <w:szCs w:val="24"/>
    </w:rPr>
  </w:style>
  <w:style w:type="paragraph" w:customStyle="1" w:styleId="xmsonormal">
    <w:name w:val="x_msonormal"/>
    <w:basedOn w:val="Standard"/>
    <w:rsid w:val="0068569C"/>
    <w:pPr>
      <w:spacing w:before="100" w:beforeAutospacing="1" w:after="100" w:afterAutospacing="1"/>
    </w:pPr>
  </w:style>
  <w:style w:type="paragraph" w:styleId="HTMLVorformatiert">
    <w:name w:val="HTML Preformatted"/>
    <w:basedOn w:val="Standard"/>
    <w:link w:val="HTMLVorformatiertZchn"/>
    <w:uiPriority w:val="99"/>
    <w:semiHidden/>
    <w:unhideWhenUsed/>
    <w:rsid w:val="00CE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E00C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424360">
      <w:bodyDiv w:val="1"/>
      <w:marLeft w:val="0"/>
      <w:marRight w:val="0"/>
      <w:marTop w:val="0"/>
      <w:marBottom w:val="0"/>
      <w:divBdr>
        <w:top w:val="none" w:sz="0" w:space="0" w:color="auto"/>
        <w:left w:val="none" w:sz="0" w:space="0" w:color="auto"/>
        <w:bottom w:val="none" w:sz="0" w:space="0" w:color="auto"/>
        <w:right w:val="none" w:sz="0" w:space="0" w:color="auto"/>
      </w:divBdr>
    </w:div>
    <w:div w:id="1362322966">
      <w:bodyDiv w:val="1"/>
      <w:marLeft w:val="0"/>
      <w:marRight w:val="0"/>
      <w:marTop w:val="0"/>
      <w:marBottom w:val="0"/>
      <w:divBdr>
        <w:top w:val="none" w:sz="0" w:space="0" w:color="auto"/>
        <w:left w:val="none" w:sz="0" w:space="0" w:color="auto"/>
        <w:bottom w:val="none" w:sz="0" w:space="0" w:color="auto"/>
        <w:right w:val="none" w:sz="0" w:space="0" w:color="auto"/>
      </w:divBdr>
    </w:div>
    <w:div w:id="1781534163">
      <w:bodyDiv w:val="1"/>
      <w:marLeft w:val="0"/>
      <w:marRight w:val="0"/>
      <w:marTop w:val="0"/>
      <w:marBottom w:val="0"/>
      <w:divBdr>
        <w:top w:val="none" w:sz="0" w:space="0" w:color="auto"/>
        <w:left w:val="none" w:sz="0" w:space="0" w:color="auto"/>
        <w:bottom w:val="none" w:sz="0" w:space="0" w:color="auto"/>
        <w:right w:val="none" w:sz="0" w:space="0" w:color="auto"/>
      </w:divBdr>
    </w:div>
    <w:div w:id="214102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ber.h.scholz@dsmz.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iat@cbd.in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g\Documents\Templates\2011-2020_COP11%20logo\templates\en\letter-en-undb-cop11-colou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FF55C-2BB4-4859-9E15-D42B092CD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letter-en-undb-cop11-colour.dot</Template>
  <TotalTime>0</TotalTime>
  <Pages>6</Pages>
  <Words>1943</Words>
  <Characters>11079</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Guidelines for the review of the technical background documents</vt:lpstr>
    </vt:vector>
  </TitlesOfParts>
  <Company/>
  <LinksUpToDate>false</LinksUpToDate>
  <CharactersWithSpaces>12997</CharactersWithSpaces>
  <SharedDoc>false</SharedDoc>
  <HLinks>
    <vt:vector size="6" baseType="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review of the technical background documents</dc:title>
  <dc:subject/>
  <dc:creator>Häuser, Christoph</dc:creator>
  <cp:keywords/>
  <dc:description/>
  <cp:lastModifiedBy>Amber H. Scholz</cp:lastModifiedBy>
  <cp:revision>14</cp:revision>
  <cp:lastPrinted>1899-12-31T23:00:00Z</cp:lastPrinted>
  <dcterms:created xsi:type="dcterms:W3CDTF">2020-07-15T15:10:00Z</dcterms:created>
  <dcterms:modified xsi:type="dcterms:W3CDTF">2020-08-15T19:13:00Z</dcterms:modified>
</cp:coreProperties>
</file>