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2"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3"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5"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 xml:space="preserve">other than the CBD (e.g. </w:t>
      </w:r>
      <w:proofErr w:type="spellStart"/>
      <w:r w:rsidR="007B5ECC" w:rsidRPr="00AD6B56">
        <w:rPr>
          <w:rFonts w:ascii="Times New Roman" w:hAnsi="Times New Roman" w:cs="Times New Roman"/>
        </w:rPr>
        <w:t>Ramsar</w:t>
      </w:r>
      <w:proofErr w:type="spellEnd"/>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6"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7"/>
          <w:footerReference w:type="default" r:id="rId18"/>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spellStart"/>
            <w:r w:rsidRPr="004F7374">
              <w:rPr>
                <w:rFonts w:ascii="Arial" w:hAnsi="Arial" w:cs="Arial"/>
                <w:b/>
                <w:sz w:val="16"/>
                <w:szCs w:val="16"/>
              </w:rPr>
              <w:t>Ramsar</w:t>
            </w:r>
            <w:proofErr w:type="spellEnd"/>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193"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134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1166"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966"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1787"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193"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640"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34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166"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966"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794"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 xml:space="preserve">CMS, </w:t>
            </w:r>
            <w:proofErr w:type="spellStart"/>
            <w:r w:rsidRPr="00292092">
              <w:rPr>
                <w:rFonts w:ascii="Arial" w:eastAsia="Arial" w:hAnsi="Arial" w:cs="Arial"/>
                <w:i/>
                <w:iCs/>
                <w:sz w:val="18"/>
                <w:szCs w:val="18"/>
              </w:rPr>
              <w:t>Ramsar</w:t>
            </w:r>
            <w:proofErr w:type="spellEnd"/>
            <w:r w:rsidRPr="00292092">
              <w:rPr>
                <w:rFonts w:ascii="Arial" w:eastAsia="Arial" w:hAnsi="Arial" w:cs="Arial"/>
                <w:i/>
                <w:iCs/>
                <w:sz w:val="18"/>
                <w:szCs w:val="18"/>
              </w:rPr>
              <w:t>, IPBES</w:t>
            </w: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2"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spellStart"/>
            <w:r w:rsidRPr="004F7374">
              <w:rPr>
                <w:rFonts w:ascii="Arial" w:hAnsi="Arial" w:cs="Arial"/>
                <w:b/>
                <w:sz w:val="16"/>
                <w:szCs w:val="16"/>
              </w:rPr>
              <w:t>Ramsar</w:t>
            </w:r>
            <w:proofErr w:type="spellEnd"/>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019B717B" w14:textId="0913CC9D" w:rsidR="00FD0318" w:rsidRPr="007D6F80" w:rsidRDefault="00955F05" w:rsidP="00FD0318">
            <w:pPr>
              <w:rPr>
                <w:rFonts w:ascii="Arial" w:hAnsi="Arial" w:cs="Arial"/>
                <w:i/>
                <w:iCs/>
                <w:sz w:val="18"/>
                <w:szCs w:val="18"/>
              </w:rPr>
            </w:pPr>
            <w:r w:rsidRPr="007D6F80">
              <w:rPr>
                <w:rFonts w:ascii="Arial" w:eastAsia="Arial" w:hAnsi="Arial" w:cs="Arial"/>
                <w:i/>
                <w:iCs/>
                <w:sz w:val="18"/>
                <w:szCs w:val="18"/>
              </w:rPr>
              <w:t>T4.1. Harvest is legal, sustainable and safe for human health and biodiversity</w:t>
            </w:r>
          </w:p>
        </w:tc>
        <w:tc>
          <w:tcPr>
            <w:tcW w:w="1936" w:type="dxa"/>
            <w:shd w:val="clear" w:color="auto" w:fill="FFE599" w:themeFill="accent4" w:themeFillTint="66"/>
          </w:tcPr>
          <w:p w14:paraId="435D2472" w14:textId="7A0E8242" w:rsidR="00FD0318" w:rsidRPr="007D6F80" w:rsidRDefault="007D6F80" w:rsidP="00FD0318">
            <w:pPr>
              <w:rPr>
                <w:rFonts w:ascii="Arial" w:hAnsi="Arial" w:cs="Arial"/>
                <w:i/>
                <w:iCs/>
                <w:sz w:val="18"/>
                <w:szCs w:val="18"/>
              </w:rPr>
            </w:pPr>
            <w:r w:rsidRPr="007D6F80">
              <w:rPr>
                <w:rFonts w:ascii="Arial" w:eastAsia="Arial" w:hAnsi="Arial" w:cs="Arial"/>
                <w:i/>
                <w:iCs/>
                <w:sz w:val="18"/>
                <w:szCs w:val="18"/>
              </w:rPr>
              <w:t>Trends in proportion of biological resources harvested legally</w:t>
            </w:r>
          </w:p>
        </w:tc>
        <w:tc>
          <w:tcPr>
            <w:tcW w:w="1787" w:type="dxa"/>
            <w:shd w:val="clear" w:color="auto" w:fill="auto"/>
          </w:tcPr>
          <w:p w14:paraId="52D0B6E8"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 xml:space="preserve">Red List Index </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 xml:space="preserve">IUCN &amp; </w:t>
            </w:r>
            <w:proofErr w:type="spellStart"/>
            <w:r w:rsidRPr="007D6F80">
              <w:rPr>
                <w:rFonts w:ascii="Arial" w:eastAsia="Arial" w:hAnsi="Arial" w:cs="Arial"/>
                <w:i/>
                <w:iCs/>
                <w:color w:val="000000"/>
                <w:sz w:val="18"/>
                <w:szCs w:val="18"/>
              </w:rPr>
              <w:t>BirdLife</w:t>
            </w:r>
            <w:proofErr w:type="spellEnd"/>
            <w:r w:rsidRPr="007D6F80">
              <w:rPr>
                <w:rFonts w:ascii="Arial" w:eastAsia="Arial" w:hAnsi="Arial" w:cs="Arial"/>
                <w:i/>
                <w:iCs/>
                <w:color w:val="000000"/>
                <w:sz w:val="18"/>
                <w:szCs w:val="18"/>
              </w:rPr>
              <w:t xml:space="preserve"> International</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6098DEC7" w:rsidR="00FD0318" w:rsidRPr="007D6F80" w:rsidRDefault="00FD0318" w:rsidP="00FD0318">
            <w:pPr>
              <w:jc w:val="center"/>
              <w:rPr>
                <w:rFonts w:ascii="Arial" w:hAnsi="Arial" w:cs="Arial"/>
                <w:i/>
                <w:iCs/>
                <w:sz w:val="18"/>
                <w:szCs w:val="18"/>
              </w:rPr>
            </w:pPr>
            <w:bookmarkStart w:id="1" w:name="_GoBack"/>
            <w:bookmarkEnd w:id="1"/>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098E3F11" w:rsidR="00FD0318" w:rsidRPr="007D6F80" w:rsidRDefault="00FD0318" w:rsidP="14E12F90">
            <w:pPr>
              <w:jc w:val="center"/>
              <w:rPr>
                <w:rFonts w:ascii="Arial" w:hAnsi="Arial" w:cs="Arial"/>
                <w:i/>
                <w:iCs/>
                <w:sz w:val="18"/>
                <w:szCs w:val="18"/>
              </w:rPr>
            </w:pPr>
            <w:r w:rsidRPr="14E12F90">
              <w:rPr>
                <w:rFonts w:ascii="Arial" w:eastAsia="Arial" w:hAnsi="Arial" w:cs="Arial"/>
                <w:i/>
                <w:iCs/>
                <w:sz w:val="18"/>
                <w:szCs w:val="18"/>
              </w:rPr>
              <w:t>1993</w:t>
            </w:r>
            <w:r w:rsidR="4342986A" w:rsidRPr="14E12F90">
              <w:rPr>
                <w:rFonts w:ascii="Arial" w:eastAsia="Arial" w:hAnsi="Arial" w:cs="Arial"/>
                <w:i/>
                <w:iCs/>
                <w:sz w:val="18"/>
                <w:szCs w:val="18"/>
              </w:rPr>
              <w:t>-2020</w:t>
            </w:r>
            <w:r w:rsidRPr="14E12F90">
              <w:rPr>
                <w:rFonts w:ascii="Arial" w:eastAsia="Arial" w:hAnsi="Arial" w:cs="Arial"/>
                <w:i/>
                <w:iCs/>
                <w:sz w:val="18"/>
                <w:szCs w:val="18"/>
              </w:rPr>
              <w:t>, updated annually</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258AEAC8"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15.5.1</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1E26DBF8" w:rsidR="00FD0318" w:rsidRPr="007D6F80" w:rsidRDefault="004B55FA" w:rsidP="007D6F80">
            <w:pPr>
              <w:jc w:val="center"/>
              <w:rPr>
                <w:rFonts w:ascii="Arial" w:hAnsi="Arial" w:cs="Arial"/>
                <w:i/>
                <w:iCs/>
                <w:sz w:val="18"/>
                <w:szCs w:val="18"/>
              </w:rPr>
            </w:pPr>
            <w:r w:rsidRPr="007D6F80">
              <w:rPr>
                <w:rFonts w:ascii="Arial" w:eastAsia="Arial" w:hAnsi="Arial" w:cs="Arial"/>
                <w:i/>
                <w:iCs/>
                <w:sz w:val="18"/>
                <w:szCs w:val="18"/>
              </w:rPr>
              <w:t xml:space="preserve">CMS, IPBES, </w:t>
            </w:r>
            <w:proofErr w:type="spellStart"/>
            <w:r w:rsidRPr="007D6F80">
              <w:rPr>
                <w:rFonts w:ascii="Arial" w:eastAsia="Arial" w:hAnsi="Arial" w:cs="Arial"/>
                <w:i/>
                <w:iCs/>
                <w:sz w:val="18"/>
                <w:szCs w:val="18"/>
              </w:rPr>
              <w:t>Ramsar</w:t>
            </w:r>
            <w:proofErr w:type="spellEnd"/>
          </w:p>
        </w:tc>
        <w:tc>
          <w:tcPr>
            <w:tcW w:w="1794" w:type="dxa"/>
          </w:tcPr>
          <w:p w14:paraId="7652B788" w14:textId="77777777" w:rsidR="00FD0318" w:rsidRPr="00292092" w:rsidRDefault="00FD0318" w:rsidP="00FD0318">
            <w:pPr>
              <w:jc w:val="center"/>
              <w:rPr>
                <w:rFonts w:ascii="Arial" w:hAnsi="Arial" w:cs="Arial"/>
                <w:i/>
                <w:iCs/>
                <w:sz w:val="18"/>
                <w:szCs w:val="18"/>
              </w:rPr>
            </w:pPr>
          </w:p>
        </w:tc>
      </w:tr>
      <w:tr w:rsidR="00B346BD" w:rsidRPr="004F7374" w14:paraId="5CAFE9CB" w14:textId="77777777" w:rsidTr="007A15AD">
        <w:trPr>
          <w:trHeight w:val="236"/>
        </w:trPr>
        <w:tc>
          <w:tcPr>
            <w:tcW w:w="1781" w:type="dxa"/>
            <w:shd w:val="clear" w:color="auto" w:fill="FFE599" w:themeFill="accent4" w:themeFillTint="66"/>
          </w:tcPr>
          <w:p w14:paraId="6D242E11" w14:textId="3C18AF8E"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T6.4. Reduction of pollution from other sources</w:t>
            </w:r>
          </w:p>
        </w:tc>
        <w:tc>
          <w:tcPr>
            <w:tcW w:w="1936" w:type="dxa"/>
            <w:shd w:val="clear" w:color="auto" w:fill="FFE599" w:themeFill="accent4" w:themeFillTint="66"/>
          </w:tcPr>
          <w:p w14:paraId="20083737" w14:textId="76F2CC8B"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Trends in levels of pollution from sediments</w:t>
            </w:r>
          </w:p>
        </w:tc>
        <w:tc>
          <w:tcPr>
            <w:tcW w:w="1787" w:type="dxa"/>
            <w:shd w:val="clear" w:color="auto" w:fill="auto"/>
          </w:tcPr>
          <w:p w14:paraId="51BB6611" w14:textId="1CC1ABAA"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Index of Coastal Eutrophication</w:t>
            </w:r>
          </w:p>
        </w:tc>
        <w:tc>
          <w:tcPr>
            <w:tcW w:w="1489" w:type="dxa"/>
            <w:shd w:val="clear" w:color="auto" w:fill="auto"/>
          </w:tcPr>
          <w:p w14:paraId="59688D0E" w14:textId="5F51978C"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UNEP / IOC-UNESCO</w:t>
            </w:r>
          </w:p>
        </w:tc>
        <w:tc>
          <w:tcPr>
            <w:tcW w:w="1194" w:type="dxa"/>
            <w:shd w:val="clear" w:color="auto" w:fill="auto"/>
          </w:tcPr>
          <w:p w14:paraId="1AF83645" w14:textId="582FB1F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Y</w:t>
            </w:r>
          </w:p>
        </w:tc>
        <w:tc>
          <w:tcPr>
            <w:tcW w:w="1341" w:type="dxa"/>
            <w:shd w:val="clear" w:color="auto" w:fill="auto"/>
          </w:tcPr>
          <w:p w14:paraId="3F46A2EC" w14:textId="38CA73D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2021</w:t>
            </w:r>
          </w:p>
        </w:tc>
        <w:tc>
          <w:tcPr>
            <w:tcW w:w="1042" w:type="dxa"/>
            <w:shd w:val="clear" w:color="auto" w:fill="auto"/>
          </w:tcPr>
          <w:p w14:paraId="13E517DF" w14:textId="393BED3E" w:rsidR="00B346BD" w:rsidRPr="00292092" w:rsidRDefault="00B346BD" w:rsidP="00B346BD">
            <w:pPr>
              <w:jc w:val="center"/>
              <w:rPr>
                <w:rFonts w:ascii="Arial" w:hAnsi="Arial" w:cs="Arial"/>
                <w:i/>
                <w:iCs/>
                <w:kern w:val="22"/>
                <w:sz w:val="18"/>
                <w:szCs w:val="18"/>
              </w:rPr>
            </w:pPr>
          </w:p>
        </w:tc>
        <w:tc>
          <w:tcPr>
            <w:tcW w:w="1193" w:type="dxa"/>
            <w:shd w:val="clear" w:color="auto" w:fill="auto"/>
          </w:tcPr>
          <w:p w14:paraId="56D17B36" w14:textId="49CA1023"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Every 5 years</w:t>
            </w:r>
          </w:p>
        </w:tc>
        <w:tc>
          <w:tcPr>
            <w:tcW w:w="1340" w:type="dxa"/>
            <w:shd w:val="clear" w:color="auto" w:fill="auto"/>
          </w:tcPr>
          <w:p w14:paraId="3D709F1C" w14:textId="20E5D3D3" w:rsidR="00B346BD" w:rsidRPr="00292092" w:rsidRDefault="00B346BD" w:rsidP="00B346BD">
            <w:pPr>
              <w:jc w:val="center"/>
              <w:rPr>
                <w:rFonts w:ascii="Arial" w:hAnsi="Arial" w:cs="Arial"/>
                <w:i/>
                <w:iCs/>
                <w:kern w:val="22"/>
                <w:sz w:val="18"/>
                <w:szCs w:val="18"/>
              </w:rPr>
            </w:pPr>
          </w:p>
        </w:tc>
        <w:tc>
          <w:tcPr>
            <w:tcW w:w="1640" w:type="dxa"/>
            <w:shd w:val="clear" w:color="auto" w:fill="auto"/>
          </w:tcPr>
          <w:p w14:paraId="2494BC81" w14:textId="05EE4550" w:rsidR="00B346BD" w:rsidRPr="00292092" w:rsidRDefault="00B346BD" w:rsidP="00B346BD">
            <w:pPr>
              <w:jc w:val="center"/>
              <w:rPr>
                <w:rFonts w:ascii="Arial" w:hAnsi="Arial" w:cs="Arial"/>
                <w:i/>
                <w:iCs/>
                <w:kern w:val="22"/>
                <w:sz w:val="18"/>
                <w:szCs w:val="18"/>
              </w:rPr>
            </w:pPr>
          </w:p>
        </w:tc>
        <w:tc>
          <w:tcPr>
            <w:tcW w:w="1340" w:type="dxa"/>
            <w:shd w:val="clear" w:color="auto" w:fill="auto"/>
          </w:tcPr>
          <w:p w14:paraId="791077B4" w14:textId="767BC981" w:rsidR="00B346BD" w:rsidRPr="00292092" w:rsidRDefault="00B346BD" w:rsidP="00B346BD">
            <w:pPr>
              <w:jc w:val="center"/>
              <w:rPr>
                <w:rFonts w:ascii="Arial" w:hAnsi="Arial" w:cs="Arial"/>
                <w:i/>
                <w:iCs/>
                <w:kern w:val="22"/>
                <w:sz w:val="18"/>
                <w:szCs w:val="18"/>
              </w:rPr>
            </w:pPr>
          </w:p>
        </w:tc>
        <w:tc>
          <w:tcPr>
            <w:tcW w:w="1166" w:type="dxa"/>
            <w:shd w:val="clear" w:color="auto" w:fill="auto"/>
          </w:tcPr>
          <w:p w14:paraId="07CD223D" w14:textId="495411CE" w:rsidR="00B346BD" w:rsidRPr="00292092" w:rsidRDefault="00B346BD" w:rsidP="00B346BD">
            <w:pPr>
              <w:jc w:val="center"/>
              <w:rPr>
                <w:rFonts w:ascii="Arial" w:hAnsi="Arial" w:cs="Arial"/>
                <w:i/>
                <w:iCs/>
                <w:kern w:val="22"/>
                <w:sz w:val="18"/>
                <w:szCs w:val="18"/>
              </w:rPr>
            </w:pPr>
          </w:p>
        </w:tc>
        <w:tc>
          <w:tcPr>
            <w:tcW w:w="966" w:type="dxa"/>
            <w:shd w:val="clear" w:color="auto" w:fill="auto"/>
          </w:tcPr>
          <w:p w14:paraId="67D9E82D" w14:textId="77777777" w:rsidR="00B346BD" w:rsidRPr="00292092" w:rsidRDefault="00B346BD" w:rsidP="00B346BD">
            <w:pPr>
              <w:jc w:val="center"/>
              <w:rPr>
                <w:rFonts w:ascii="Arial" w:eastAsia="Arial" w:hAnsi="Arial" w:cs="Arial"/>
                <w:i/>
                <w:iCs/>
                <w:sz w:val="18"/>
                <w:szCs w:val="18"/>
              </w:rPr>
            </w:pPr>
            <w:r w:rsidRPr="00292092">
              <w:rPr>
                <w:rFonts w:ascii="Arial" w:eastAsia="Arial" w:hAnsi="Arial" w:cs="Arial"/>
                <w:i/>
                <w:iCs/>
                <w:sz w:val="18"/>
                <w:szCs w:val="18"/>
              </w:rPr>
              <w:t>Y</w:t>
            </w:r>
          </w:p>
          <w:p w14:paraId="63A73CB9" w14:textId="2DAD01E8"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SDG indicator 14.1.1a</w:t>
            </w:r>
          </w:p>
        </w:tc>
        <w:tc>
          <w:tcPr>
            <w:tcW w:w="1794" w:type="dxa"/>
            <w:shd w:val="clear" w:color="auto" w:fill="auto"/>
          </w:tcPr>
          <w:p w14:paraId="21D178C0" w14:textId="23ABD413" w:rsidR="00B346BD" w:rsidRPr="00292092" w:rsidRDefault="00B346BD" w:rsidP="00B346BD">
            <w:pPr>
              <w:jc w:val="center"/>
              <w:rPr>
                <w:rFonts w:ascii="Arial" w:hAnsi="Arial" w:cs="Arial"/>
                <w:i/>
                <w:iCs/>
                <w:kern w:val="22"/>
                <w:sz w:val="18"/>
                <w:szCs w:val="18"/>
              </w:rPr>
            </w:pPr>
          </w:p>
        </w:tc>
        <w:tc>
          <w:tcPr>
            <w:tcW w:w="1794" w:type="dxa"/>
          </w:tcPr>
          <w:p w14:paraId="7C1214AB" w14:textId="77777777" w:rsidR="00B346BD" w:rsidRPr="00292092" w:rsidRDefault="00B346BD" w:rsidP="00B346BD">
            <w:pPr>
              <w:jc w:val="center"/>
              <w:rPr>
                <w:rFonts w:ascii="Arial" w:hAnsi="Arial" w:cs="Arial"/>
                <w:i/>
                <w:iCs/>
                <w:kern w:val="22"/>
                <w:sz w:val="18"/>
                <w:szCs w:val="18"/>
              </w:rPr>
            </w:pPr>
          </w:p>
        </w:tc>
      </w:tr>
      <w:tr w:rsidR="00B346BD" w:rsidRPr="004F7374" w14:paraId="5BF826B7" w14:textId="77777777" w:rsidTr="007A15AD">
        <w:trPr>
          <w:trHeight w:val="236"/>
        </w:trPr>
        <w:tc>
          <w:tcPr>
            <w:tcW w:w="1781" w:type="dxa"/>
            <w:shd w:val="clear" w:color="auto" w:fill="FFE599" w:themeFill="accent4" w:themeFillTint="66"/>
          </w:tcPr>
          <w:p w14:paraId="63A8EC62" w14:textId="13DD6A35" w:rsidR="00B346BD" w:rsidRDefault="00B346BD" w:rsidP="00B346BD">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62814B0F" w14:textId="77777777" w:rsidR="00B346BD" w:rsidRDefault="00B346BD" w:rsidP="00B346BD">
            <w:pPr>
              <w:rPr>
                <w:rFonts w:ascii="Arial" w:eastAsia="Arial" w:hAnsi="Arial" w:cs="Arial"/>
                <w:sz w:val="18"/>
                <w:szCs w:val="18"/>
              </w:rPr>
            </w:pPr>
          </w:p>
        </w:tc>
        <w:tc>
          <w:tcPr>
            <w:tcW w:w="1787" w:type="dxa"/>
            <w:shd w:val="clear" w:color="auto" w:fill="auto"/>
          </w:tcPr>
          <w:p w14:paraId="15296807"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Default="00B346BD" w:rsidP="00B346BD">
            <w:pPr>
              <w:jc w:val="center"/>
              <w:rPr>
                <w:rFonts w:ascii="Arial" w:eastAsia="Arial" w:hAnsi="Arial" w:cs="Arial"/>
                <w:sz w:val="18"/>
                <w:szCs w:val="18"/>
              </w:rPr>
            </w:pP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77777777" w:rsidR="007861DC" w:rsidRPr="000C0B6C" w:rsidRDefault="007861DC" w:rsidP="00A71694">
            <w:r w:rsidRPr="000C0B6C">
              <w:t>0</w:t>
            </w:r>
          </w:p>
        </w:tc>
        <w:tc>
          <w:tcPr>
            <w:tcW w:w="17480" w:type="dxa"/>
          </w:tcPr>
          <w:p w14:paraId="128D6896" w14:textId="77777777" w:rsidR="00AF26F5" w:rsidRDefault="00AF26F5" w:rsidP="00AF26F5">
            <w:pPr>
              <w:rPr>
                <w:bCs/>
                <w:sz w:val="26"/>
                <w:szCs w:val="26"/>
              </w:rPr>
            </w:pPr>
            <w:r>
              <w:rPr>
                <w:bCs/>
                <w:sz w:val="26"/>
                <w:szCs w:val="26"/>
              </w:rPr>
              <w:t>Following to our official statement delivered in text format at the s</w:t>
            </w:r>
            <w:r w:rsidRPr="00274CB8">
              <w:rPr>
                <w:bCs/>
                <w:sz w:val="26"/>
                <w:szCs w:val="26"/>
              </w:rPr>
              <w:t xml:space="preserve">econd meeting of the </w:t>
            </w:r>
            <w:r>
              <w:rPr>
                <w:bCs/>
                <w:sz w:val="26"/>
                <w:szCs w:val="26"/>
              </w:rPr>
              <w:t>o</w:t>
            </w:r>
            <w:r w:rsidRPr="00274CB8">
              <w:rPr>
                <w:bCs/>
                <w:sz w:val="26"/>
                <w:szCs w:val="26"/>
              </w:rPr>
              <w:t xml:space="preserve">pen-ended </w:t>
            </w:r>
            <w:r>
              <w:rPr>
                <w:bCs/>
                <w:sz w:val="26"/>
                <w:szCs w:val="26"/>
              </w:rPr>
              <w:t>w</w:t>
            </w:r>
            <w:r w:rsidRPr="00274CB8">
              <w:rPr>
                <w:bCs/>
                <w:sz w:val="26"/>
                <w:szCs w:val="26"/>
              </w:rPr>
              <w:t xml:space="preserve">orking </w:t>
            </w:r>
            <w:r>
              <w:rPr>
                <w:bCs/>
                <w:sz w:val="26"/>
                <w:szCs w:val="26"/>
              </w:rPr>
              <w:t>g</w:t>
            </w:r>
            <w:r w:rsidRPr="00274CB8">
              <w:rPr>
                <w:bCs/>
                <w:sz w:val="26"/>
                <w:szCs w:val="26"/>
              </w:rPr>
              <w:t xml:space="preserve">roup on the </w:t>
            </w:r>
            <w:r>
              <w:rPr>
                <w:bCs/>
                <w:sz w:val="26"/>
                <w:szCs w:val="26"/>
              </w:rPr>
              <w:t>p</w:t>
            </w:r>
            <w:r w:rsidRPr="00274CB8">
              <w:rPr>
                <w:bCs/>
                <w:sz w:val="26"/>
                <w:szCs w:val="26"/>
              </w:rPr>
              <w:t xml:space="preserve">ost-2020 </w:t>
            </w:r>
            <w:r>
              <w:rPr>
                <w:bCs/>
                <w:sz w:val="26"/>
                <w:szCs w:val="26"/>
              </w:rPr>
              <w:t>g</w:t>
            </w:r>
            <w:r w:rsidRPr="00274CB8">
              <w:rPr>
                <w:bCs/>
                <w:sz w:val="26"/>
                <w:szCs w:val="26"/>
              </w:rPr>
              <w:t>loba</w:t>
            </w:r>
            <w:r>
              <w:rPr>
                <w:bCs/>
                <w:sz w:val="26"/>
                <w:szCs w:val="26"/>
              </w:rPr>
              <w:t xml:space="preserve">l biodiversity framework, as it is reflected under paragraph 8 of the “text suggestions” part of the page 41 of the </w:t>
            </w:r>
            <w:r w:rsidRPr="00274CB8">
              <w:rPr>
                <w:bCs/>
                <w:sz w:val="26"/>
                <w:szCs w:val="26"/>
              </w:rPr>
              <w:t>report of that meeting (CBD/WG2020/2/4 and CBD/WG2020/REC/2/1)</w:t>
            </w:r>
            <w:r>
              <w:rPr>
                <w:bCs/>
                <w:sz w:val="26"/>
                <w:szCs w:val="26"/>
              </w:rPr>
              <w:t xml:space="preserve">, in line with many other Parties insisting on the inclusion of the measures to ensure the access of all Parties in particular developing countries and </w:t>
            </w:r>
            <w:r w:rsidRPr="000E7367">
              <w:rPr>
                <w:rFonts w:ascii="Times New Roman" w:hAnsi="Times New Roman" w:cs="Times New Roman"/>
                <w:bCs/>
                <w:sz w:val="26"/>
                <w:szCs w:val="26"/>
              </w:rPr>
              <w:t>Parties with economies in</w:t>
            </w:r>
            <w:r>
              <w:rPr>
                <w:bCs/>
                <w:sz w:val="26"/>
                <w:szCs w:val="26"/>
              </w:rPr>
              <w:t xml:space="preserve"> </w:t>
            </w:r>
            <w:r w:rsidRPr="000E7367">
              <w:rPr>
                <w:rFonts w:ascii="Times New Roman" w:hAnsi="Times New Roman" w:cs="Times New Roman"/>
                <w:bCs/>
                <w:sz w:val="26"/>
                <w:szCs w:val="26"/>
              </w:rPr>
              <w:t>transition</w:t>
            </w:r>
            <w:r>
              <w:rPr>
                <w:bCs/>
                <w:sz w:val="26"/>
                <w:szCs w:val="26"/>
              </w:rPr>
              <w:t xml:space="preserve"> to biotechnology and its benefits, we wish to reiterate that the target 16 of the zero draft of post-2020 global biodiversity framework should be deleted entirely. Our suggestion is the replacement of the following statement for target 16: “Establish and implement measures in all countries by 2030 to make necessary arrangements to ensure access to biotechnology and its benefits and to set out appropriate procedure to handle the </w:t>
            </w:r>
            <w:r>
              <w:rPr>
                <w:bCs/>
                <w:sz w:val="26"/>
                <w:szCs w:val="26"/>
              </w:rPr>
              <w:lastRenderedPageBreak/>
              <w:t>impacts of biotechnology on biodiversity.”</w:t>
            </w:r>
          </w:p>
          <w:p w14:paraId="55F1EF86" w14:textId="77777777" w:rsidR="00AF26F5" w:rsidRDefault="00AF26F5" w:rsidP="00AF26F5">
            <w:pPr>
              <w:rPr>
                <w:bCs/>
                <w:sz w:val="26"/>
                <w:szCs w:val="26"/>
              </w:rPr>
            </w:pPr>
            <w:r>
              <w:rPr>
                <w:bCs/>
                <w:sz w:val="26"/>
                <w:szCs w:val="26"/>
              </w:rPr>
              <w:t xml:space="preserve">Since the target 16 of the zero draft of post-2020 global biodiversity framework at its current form is obviously and clearly in contrast with articles 16 and 19 on the convention on biological diversity (CBD) text itself, we wish to officially object its maintenance and further elaboration and work conducted for preparation of the 3 annexes to the notification number 2020-053 (“draft </w:t>
            </w:r>
            <w:hyperlink r:id="rId23" w:tgtFrame="_blank" w:history="1">
              <w:r w:rsidRPr="0007698F">
                <w:rPr>
                  <w:rFonts w:ascii="Times New Roman" w:hAnsi="Times New Roman" w:cs="Times New Roman"/>
                  <w:bCs/>
                  <w:sz w:val="26"/>
                  <w:szCs w:val="26"/>
                </w:rPr>
                <w:t>Monitoring framework for the post-2020 global biodiversity framework</w:t>
              </w:r>
            </w:hyperlink>
            <w:r>
              <w:rPr>
                <w:bCs/>
                <w:sz w:val="26"/>
                <w:szCs w:val="26"/>
              </w:rPr>
              <w:t xml:space="preserve">”, “draft </w:t>
            </w:r>
            <w:hyperlink r:id="rId24" w:tgtFrame="_blank" w:history="1">
              <w:r w:rsidRPr="0007698F">
                <w:rPr>
                  <w:rFonts w:ascii="Times New Roman" w:hAnsi="Times New Roman" w:cs="Times New Roman"/>
                  <w:bCs/>
                  <w:sz w:val="26"/>
                  <w:szCs w:val="26"/>
                </w:rPr>
                <w:t xml:space="preserve">Linkages between the post-2020 global </w:t>
              </w:r>
              <w:r w:rsidRPr="0007698F">
                <w:rPr>
                  <w:bCs/>
                  <w:sz w:val="26"/>
                  <w:szCs w:val="26"/>
                </w:rPr>
                <w:t>biodiversity</w:t>
              </w:r>
              <w:r w:rsidRPr="0007698F">
                <w:rPr>
                  <w:rFonts w:ascii="Times New Roman" w:hAnsi="Times New Roman" w:cs="Times New Roman"/>
                  <w:bCs/>
                  <w:sz w:val="26"/>
                  <w:szCs w:val="26"/>
                </w:rPr>
                <w:t xml:space="preserve"> framework and 2030 agenda for sustainable development</w:t>
              </w:r>
            </w:hyperlink>
            <w:r>
              <w:rPr>
                <w:bCs/>
                <w:sz w:val="26"/>
                <w:szCs w:val="26"/>
              </w:rPr>
              <w:t xml:space="preserve">” and “draft </w:t>
            </w:r>
            <w:hyperlink r:id="rId25" w:tgtFrame="_blank" w:history="1">
              <w:r w:rsidRPr="0007698F">
                <w:rPr>
                  <w:rFonts w:ascii="Times New Roman" w:hAnsi="Times New Roman" w:cs="Times New Roman"/>
                  <w:bCs/>
                  <w:sz w:val="26"/>
                  <w:szCs w:val="26"/>
                </w:rPr>
                <w:t>Indicators for the post-2020 global biodiversity framework</w:t>
              </w:r>
            </w:hyperlink>
            <w:r>
              <w:rPr>
                <w:bCs/>
                <w:sz w:val="26"/>
                <w:szCs w:val="26"/>
              </w:rPr>
              <w:t xml:space="preserve">”) without paying proper attention to the contributions and statements mentioned by Parties as is reflected in pages 40 to 42 of the </w:t>
            </w:r>
            <w:r w:rsidRPr="00274CB8">
              <w:rPr>
                <w:bCs/>
                <w:sz w:val="26"/>
                <w:szCs w:val="26"/>
              </w:rPr>
              <w:t>report of that meeting (CBD/WG2020/2/4 and CBD/WG2020/REC/2/1)</w:t>
            </w:r>
            <w:r>
              <w:rPr>
                <w:bCs/>
                <w:sz w:val="26"/>
                <w:szCs w:val="26"/>
              </w:rPr>
              <w:t>. It is clear that the convention should not and cannot be contradicted by decisions made during meetings.</w:t>
            </w:r>
          </w:p>
          <w:p w14:paraId="3D7EC7E3" w14:textId="77777777" w:rsidR="00AF26F5" w:rsidRDefault="00AF26F5" w:rsidP="00AF26F5">
            <w:pPr>
              <w:rPr>
                <w:bCs/>
                <w:sz w:val="26"/>
                <w:szCs w:val="26"/>
              </w:rPr>
            </w:pPr>
            <w:r>
              <w:rPr>
                <w:bCs/>
                <w:sz w:val="26"/>
                <w:szCs w:val="26"/>
              </w:rPr>
              <w:t>Finally, Iran is prepared to accept the following compromised text.</w:t>
            </w:r>
          </w:p>
          <w:p w14:paraId="1D58C544" w14:textId="43C731FF" w:rsidR="007861DC" w:rsidRPr="000C0B6C" w:rsidRDefault="00AF26F5" w:rsidP="00AF26F5">
            <w:r>
              <w:rPr>
                <w:bCs/>
                <w:sz w:val="26"/>
                <w:szCs w:val="26"/>
              </w:rPr>
              <w:t xml:space="preserve">“Establish and implement measures in all Parties by 2030 to make necessary arrangements to ensure access to biotechnology and its benefits and to set out appropriate procedure to handle the impacts of biotechnology on biodiversity taking into account </w:t>
            </w:r>
            <w:r w:rsidRPr="00A05EEC">
              <w:rPr>
                <w:rFonts w:ascii="Times New Roman" w:hAnsi="Times New Roman" w:cs="Times New Roman"/>
                <w:bCs/>
                <w:sz w:val="26"/>
                <w:szCs w:val="26"/>
              </w:rPr>
              <w:t>considering measures in the field of the safe transfer, handling and use of any living modified organism resulting from biotechnology.</w:t>
            </w:r>
            <w:r>
              <w:rPr>
                <w:bCs/>
                <w:sz w:val="26"/>
                <w:szCs w:val="26"/>
              </w:rPr>
              <w:t>”</w:t>
            </w:r>
          </w:p>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614F9D65" w:rsidR="007861DC" w:rsidRPr="000C0B6C" w:rsidRDefault="007861DC" w:rsidP="00A71694"/>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230E8C80" w:rsidR="007861DC" w:rsidRPr="000C0B6C" w:rsidRDefault="007861DC" w:rsidP="00A71694"/>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EF7D1B">
      <w:pgSz w:w="23811" w:h="16838" w:orient="landscape" w:code="8"/>
      <w:pgMar w:top="720" w:right="720" w:bottom="720" w:left="72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39D6" w14:textId="77777777" w:rsidR="00D509A0" w:rsidRDefault="00D509A0" w:rsidP="00371075">
      <w:pPr>
        <w:spacing w:after="0" w:line="240" w:lineRule="auto"/>
      </w:pPr>
      <w:r>
        <w:separator/>
      </w:r>
    </w:p>
  </w:endnote>
  <w:endnote w:type="continuationSeparator" w:id="0">
    <w:p w14:paraId="7405F2DC" w14:textId="77777777" w:rsidR="00D509A0" w:rsidRDefault="00D509A0" w:rsidP="00371075">
      <w:pPr>
        <w:spacing w:after="0" w:line="240" w:lineRule="auto"/>
      </w:pPr>
      <w:r>
        <w:continuationSeparator/>
      </w:r>
    </w:p>
  </w:endnote>
  <w:endnote w:type="continuationNotice" w:id="1">
    <w:p w14:paraId="56FB2208" w14:textId="77777777" w:rsidR="00D509A0" w:rsidRDefault="00D50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0E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305865">
          <w:rPr>
            <w:noProof/>
          </w:rPr>
          <w:t>3</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BF1A" w14:textId="77777777" w:rsidR="00D509A0" w:rsidRDefault="00D509A0" w:rsidP="00371075">
      <w:pPr>
        <w:spacing w:after="0" w:line="240" w:lineRule="auto"/>
      </w:pPr>
      <w:r>
        <w:separator/>
      </w:r>
    </w:p>
  </w:footnote>
  <w:footnote w:type="continuationSeparator" w:id="0">
    <w:p w14:paraId="58F1A005" w14:textId="77777777" w:rsidR="00D509A0" w:rsidRDefault="00D509A0" w:rsidP="00371075">
      <w:pPr>
        <w:spacing w:after="0" w:line="240" w:lineRule="auto"/>
      </w:pPr>
      <w:r>
        <w:continuationSeparator/>
      </w:r>
    </w:p>
  </w:footnote>
  <w:footnote w:type="continuationNotice" w:id="1">
    <w:p w14:paraId="0BA35F37" w14:textId="77777777" w:rsidR="00D509A0" w:rsidRDefault="00D509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014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5865"/>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26F5"/>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44404"/>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1886"/>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09A0"/>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5202"/>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EF7D1B"/>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sbstta/sbstta-24/post2020-monitoring-en.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microsoft.com/office/2007/relationships/stylesWithEffects" Target="stylesWithEffects.xml"/><Relationship Id="rId12" Type="http://schemas.openxmlformats.org/officeDocument/2006/relationships/hyperlink" Target="https://www.cbd.int/sbstta/sbstta-24/post2020-monitoring-en.pdf" TargetMode="External"/><Relationship Id="rId17" Type="http://schemas.openxmlformats.org/officeDocument/2006/relationships/header" Target="header1.xml"/><Relationship Id="rId25" Type="http://schemas.openxmlformats.org/officeDocument/2006/relationships/hyperlink" Target="https://www.cbd.int/sbstta/sbstta-24/post2020-indicators-en.pdf" TargetMode="Externa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bd.int/sbstta/sbstta-24/post-2020-sdg-linkages-en.pdf" TargetMode="External"/><Relationship Id="rId5" Type="http://schemas.openxmlformats.org/officeDocument/2006/relationships/numbering" Target="numbering.xml"/><Relationship Id="rId15" Type="http://schemas.openxmlformats.org/officeDocument/2006/relationships/hyperlink" Target="https://www.cbd.int/sbstta/sbstta-24/post2020-monitoring-en.pdf" TargetMode="External"/><Relationship Id="rId23" Type="http://schemas.openxmlformats.org/officeDocument/2006/relationships/hyperlink" Target="https://www.cbd.int/sbstta/sbstta-24/post2020-monitoring-en.pdf" TargetMode="Externa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cbd.int/sbstta/sbstta-24/post2020-monitoring-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0F01DD7E-DB33-4972-B100-BE194404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Shestakov</dc:creator>
  <cp:lastModifiedBy>Pourkazemi@hotmail.com</cp:lastModifiedBy>
  <cp:revision>2</cp:revision>
  <cp:lastPrinted>2020-08-05T06:11:00Z</cp:lastPrinted>
  <dcterms:created xsi:type="dcterms:W3CDTF">2020-08-14T18:25:00Z</dcterms:created>
  <dcterms:modified xsi:type="dcterms:W3CDTF">2020-08-14T18:25:00Z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