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3D085" w14:textId="77777777" w:rsidR="00AA726F" w:rsidRDefault="00AA726F" w:rsidP="00E034BA">
      <w:pPr>
        <w:ind w:right="44"/>
        <w:jc w:val="both"/>
        <w:rPr>
          <w:sz w:val="22"/>
          <w:szCs w:val="22"/>
          <w:lang w:val="fr-FR"/>
        </w:rPr>
      </w:pPr>
    </w:p>
    <w:p w14:paraId="62235DC6" w14:textId="77777777" w:rsidR="00AA726F" w:rsidRPr="00293F53" w:rsidRDefault="00AA726F" w:rsidP="00F61250">
      <w:pPr>
        <w:jc w:val="center"/>
        <w:rPr>
          <w:b/>
          <w:sz w:val="22"/>
          <w:szCs w:val="22"/>
        </w:rPr>
      </w:pPr>
      <w:r w:rsidRPr="00293F53">
        <w:rPr>
          <w:b/>
          <w:sz w:val="22"/>
          <w:szCs w:val="22"/>
        </w:rPr>
        <w:t>Guidelines</w:t>
      </w:r>
      <w:r w:rsidR="00624FAA">
        <w:rPr>
          <w:b/>
          <w:sz w:val="22"/>
          <w:szCs w:val="22"/>
        </w:rPr>
        <w:t xml:space="preserve"> and template</w:t>
      </w:r>
      <w:r w:rsidRPr="00293F53">
        <w:rPr>
          <w:b/>
          <w:sz w:val="22"/>
          <w:szCs w:val="22"/>
        </w:rPr>
        <w:t xml:space="preserve"> for the review of the </w:t>
      </w:r>
      <w:r w:rsidR="00F61250">
        <w:rPr>
          <w:b/>
          <w:sz w:val="22"/>
          <w:szCs w:val="22"/>
        </w:rPr>
        <w:t xml:space="preserve">draft </w:t>
      </w:r>
      <w:r w:rsidR="00750EDF">
        <w:rPr>
          <w:b/>
          <w:sz w:val="22"/>
          <w:szCs w:val="22"/>
        </w:rPr>
        <w:t>monitoring framework for the post-2020 global biodiversity framework</w:t>
      </w:r>
    </w:p>
    <w:p w14:paraId="01D15E82" w14:textId="77777777" w:rsidR="00AA726F" w:rsidRDefault="00AA726F" w:rsidP="00DB71FC">
      <w:pPr>
        <w:ind w:left="360"/>
        <w:jc w:val="both"/>
        <w:rPr>
          <w:sz w:val="22"/>
          <w:szCs w:val="22"/>
        </w:rPr>
      </w:pPr>
    </w:p>
    <w:p w14:paraId="58235214" w14:textId="77777777" w:rsidR="00AA726F" w:rsidRDefault="00AA726F" w:rsidP="00750EDF">
      <w:pPr>
        <w:pStyle w:val="Overskrift2"/>
        <w:numPr>
          <w:ilvl w:val="0"/>
          <w:numId w:val="3"/>
        </w:numPr>
        <w:jc w:val="center"/>
        <w:rPr>
          <w:rFonts w:ascii="Times New Roman" w:hAnsi="Times New Roman" w:cs="Times New Roman"/>
          <w:sz w:val="22"/>
          <w:szCs w:val="22"/>
        </w:rPr>
      </w:pPr>
      <w:bookmarkStart w:id="0" w:name="_Hlk43493158"/>
      <w:r w:rsidRPr="004F1EB4">
        <w:rPr>
          <w:rFonts w:ascii="Times New Roman" w:hAnsi="Times New Roman" w:cs="Times New Roman"/>
          <w:sz w:val="22"/>
          <w:szCs w:val="22"/>
        </w:rPr>
        <w:t>Background</w:t>
      </w:r>
    </w:p>
    <w:bookmarkEnd w:id="0"/>
    <w:p w14:paraId="5E10B397" w14:textId="77777777" w:rsidR="00750EDF" w:rsidRDefault="00750EDF" w:rsidP="00750EDF"/>
    <w:p w14:paraId="41C68F08" w14:textId="77777777" w:rsidR="00750EDF" w:rsidRPr="008449F3" w:rsidRDefault="00750EDF" w:rsidP="00750EDF">
      <w:pPr>
        <w:pStyle w:val="Listeavsnitt"/>
        <w:numPr>
          <w:ilvl w:val="0"/>
          <w:numId w:val="4"/>
        </w:numPr>
        <w:spacing w:after="160" w:line="259" w:lineRule="auto"/>
        <w:ind w:left="0" w:firstLine="0"/>
        <w:contextualSpacing/>
        <w:rPr>
          <w:sz w:val="22"/>
          <w:szCs w:val="22"/>
        </w:rPr>
      </w:pPr>
      <w:r w:rsidRPr="008449F3">
        <w:rPr>
          <w:sz w:val="22"/>
          <w:szCs w:val="22"/>
        </w:rPr>
        <w:t>The second meeting of the Open-ended Working Group</w:t>
      </w:r>
      <w:r w:rsidRPr="008449F3">
        <w:rPr>
          <w:rStyle w:val="Fotnotereferanse"/>
          <w:sz w:val="22"/>
          <w:szCs w:val="22"/>
        </w:rPr>
        <w:footnoteReference w:id="1"/>
      </w:r>
      <w:r w:rsidRPr="008449F3">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796A0450" w14:textId="77777777" w:rsidR="00750EDF" w:rsidRPr="00750EDF" w:rsidRDefault="00750EDF" w:rsidP="00750EDF">
      <w:pPr>
        <w:pStyle w:val="Listeavsnitt"/>
        <w:numPr>
          <w:ilvl w:val="0"/>
          <w:numId w:val="4"/>
        </w:numPr>
        <w:spacing w:after="160" w:line="259" w:lineRule="auto"/>
        <w:ind w:left="0" w:firstLine="0"/>
        <w:contextualSpacing/>
        <w:rPr>
          <w:sz w:val="22"/>
          <w:szCs w:val="22"/>
        </w:rPr>
      </w:pPr>
      <w:r>
        <w:rPr>
          <w:sz w:val="22"/>
          <w:szCs w:val="22"/>
        </w:rPr>
        <w:t>T</w:t>
      </w:r>
      <w:r w:rsidRPr="008449F3">
        <w:rPr>
          <w:sz w:val="22"/>
          <w:szCs w:val="22"/>
        </w:rPr>
        <w:t xml:space="preserve">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6545D8">
        <w:rPr>
          <w:sz w:val="22"/>
          <w:szCs w:val="22"/>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8449F3">
        <w:rPr>
          <w:sz w:val="22"/>
          <w:szCs w:val="22"/>
        </w:rPr>
        <w:t xml:space="preserve">. </w:t>
      </w:r>
    </w:p>
    <w:p w14:paraId="73346C2B" w14:textId="77777777" w:rsidR="00A2000C" w:rsidRPr="00A2000C" w:rsidRDefault="00AA726F" w:rsidP="00A2000C">
      <w:pPr>
        <w:pStyle w:val="Overskrift2"/>
        <w:jc w:val="center"/>
      </w:pPr>
      <w:r w:rsidRPr="00293F53">
        <w:rPr>
          <w:rFonts w:ascii="Times New Roman" w:hAnsi="Times New Roman" w:cs="Times New Roman"/>
          <w:sz w:val="22"/>
          <w:szCs w:val="22"/>
        </w:rPr>
        <w:t>II. Submitting Comments</w:t>
      </w:r>
    </w:p>
    <w:p w14:paraId="3D26983F" w14:textId="77777777" w:rsidR="00A2000C" w:rsidRDefault="00A2000C" w:rsidP="00CB6CB9">
      <w:pPr>
        <w:tabs>
          <w:tab w:val="left" w:pos="720"/>
        </w:tabs>
        <w:ind w:left="360"/>
        <w:jc w:val="both"/>
        <w:rPr>
          <w:sz w:val="22"/>
          <w:szCs w:val="22"/>
        </w:rPr>
      </w:pPr>
    </w:p>
    <w:p w14:paraId="0CAB6EA6" w14:textId="77777777" w:rsidR="00AA726F" w:rsidRDefault="00AA726F" w:rsidP="00DB71FC">
      <w:pPr>
        <w:numPr>
          <w:ilvl w:val="0"/>
          <w:numId w:val="2"/>
        </w:numPr>
        <w:tabs>
          <w:tab w:val="left" w:pos="720"/>
        </w:tabs>
        <w:ind w:left="360" w:firstLine="0"/>
        <w:jc w:val="both"/>
        <w:rPr>
          <w:sz w:val="22"/>
          <w:szCs w:val="22"/>
        </w:rPr>
      </w:pPr>
      <w:bookmarkStart w:id="1" w:name="_Hlk24923981"/>
      <w:r w:rsidRPr="00293F53">
        <w:rPr>
          <w:sz w:val="22"/>
          <w:szCs w:val="22"/>
        </w:rPr>
        <w:t>To ensure that your comments are given due consideration</w:t>
      </w:r>
      <w:r>
        <w:rPr>
          <w:sz w:val="22"/>
          <w:szCs w:val="22"/>
        </w:rPr>
        <w:t>,</w:t>
      </w:r>
      <w:r w:rsidRPr="00293F53">
        <w:rPr>
          <w:sz w:val="22"/>
          <w:szCs w:val="22"/>
        </w:rPr>
        <w:t xml:space="preserve"> please send them </w:t>
      </w:r>
      <w:r w:rsidRPr="00312698">
        <w:rPr>
          <w:sz w:val="22"/>
          <w:szCs w:val="22"/>
        </w:rPr>
        <w:t>by e</w:t>
      </w:r>
      <w:r>
        <w:rPr>
          <w:sz w:val="22"/>
          <w:szCs w:val="22"/>
        </w:rPr>
        <w:t>-</w:t>
      </w:r>
      <w:r w:rsidRPr="00312698">
        <w:rPr>
          <w:sz w:val="22"/>
          <w:szCs w:val="22"/>
        </w:rPr>
        <w:t xml:space="preserve">mail </w:t>
      </w:r>
      <w:r>
        <w:rPr>
          <w:sz w:val="22"/>
          <w:szCs w:val="22"/>
        </w:rPr>
        <w:t>to</w:t>
      </w:r>
      <w:r w:rsidRPr="00312698">
        <w:rPr>
          <w:sz w:val="22"/>
          <w:szCs w:val="22"/>
        </w:rPr>
        <w:t xml:space="preserve"> </w:t>
      </w:r>
      <w:hyperlink r:id="rId11" w:history="1">
        <w:r w:rsidRPr="00312698">
          <w:rPr>
            <w:rStyle w:val="Hyperkobling"/>
            <w:sz w:val="22"/>
            <w:szCs w:val="22"/>
          </w:rPr>
          <w:t>secretariat@cbd.int</w:t>
        </w:r>
      </w:hyperlink>
      <w:r>
        <w:rPr>
          <w:sz w:val="22"/>
          <w:szCs w:val="22"/>
        </w:rPr>
        <w:t xml:space="preserve">, at your earliest </w:t>
      </w:r>
      <w:r w:rsidRPr="002337AC">
        <w:rPr>
          <w:sz w:val="22"/>
          <w:szCs w:val="22"/>
        </w:rPr>
        <w:t xml:space="preserve">convenience but </w:t>
      </w:r>
      <w:r w:rsidRPr="002337AC">
        <w:rPr>
          <w:b/>
          <w:sz w:val="22"/>
          <w:szCs w:val="22"/>
        </w:rPr>
        <w:t xml:space="preserve">no later than </w:t>
      </w:r>
      <w:r w:rsidR="002337AC" w:rsidRPr="002337AC">
        <w:rPr>
          <w:b/>
          <w:sz w:val="22"/>
          <w:szCs w:val="22"/>
        </w:rPr>
        <w:t>25 July 2020</w:t>
      </w:r>
    </w:p>
    <w:bookmarkEnd w:id="1"/>
    <w:p w14:paraId="27C08DE7" w14:textId="77777777" w:rsidR="00AA726F" w:rsidRDefault="00AA726F" w:rsidP="00DD3897">
      <w:pPr>
        <w:tabs>
          <w:tab w:val="left" w:pos="720"/>
        </w:tabs>
        <w:ind w:left="360"/>
        <w:jc w:val="both"/>
        <w:rPr>
          <w:sz w:val="22"/>
          <w:szCs w:val="22"/>
        </w:rPr>
      </w:pPr>
    </w:p>
    <w:p w14:paraId="2110A838" w14:textId="77777777" w:rsidR="00AA726F" w:rsidRPr="00293F53" w:rsidRDefault="00AA726F" w:rsidP="00DB71FC">
      <w:pPr>
        <w:numPr>
          <w:ilvl w:val="0"/>
          <w:numId w:val="2"/>
        </w:numPr>
        <w:tabs>
          <w:tab w:val="left" w:pos="720"/>
        </w:tabs>
        <w:ind w:left="360" w:firstLine="0"/>
        <w:jc w:val="both"/>
        <w:rPr>
          <w:sz w:val="22"/>
          <w:szCs w:val="22"/>
        </w:rPr>
      </w:pPr>
      <w:r w:rsidRPr="00293F53">
        <w:rPr>
          <w:sz w:val="22"/>
          <w:szCs w:val="22"/>
        </w:rPr>
        <w:t xml:space="preserve">  When submitting comments</w:t>
      </w:r>
      <w:r>
        <w:rPr>
          <w:sz w:val="22"/>
          <w:szCs w:val="22"/>
        </w:rPr>
        <w:t>,</w:t>
      </w:r>
      <w:r w:rsidRPr="00293F53">
        <w:rPr>
          <w:sz w:val="22"/>
          <w:szCs w:val="22"/>
        </w:rPr>
        <w:t xml:space="preserve"> please adhere to the following guidelines as much as possible:</w:t>
      </w:r>
    </w:p>
    <w:p w14:paraId="171222E5" w14:textId="77777777" w:rsidR="00AA726F" w:rsidRPr="00293F53" w:rsidRDefault="00AA726F" w:rsidP="00DB71FC">
      <w:pPr>
        <w:ind w:left="1080"/>
        <w:jc w:val="both"/>
        <w:rPr>
          <w:sz w:val="22"/>
          <w:szCs w:val="22"/>
        </w:rPr>
      </w:pPr>
    </w:p>
    <w:p w14:paraId="2DD167A9" w14:textId="77777777" w:rsidR="00AA726F" w:rsidRPr="00293F53" w:rsidRDefault="00AA726F" w:rsidP="00DB71FC">
      <w:pPr>
        <w:numPr>
          <w:ilvl w:val="1"/>
          <w:numId w:val="2"/>
        </w:numPr>
        <w:jc w:val="both"/>
        <w:rPr>
          <w:sz w:val="22"/>
          <w:szCs w:val="22"/>
        </w:rPr>
      </w:pPr>
      <w:r w:rsidRPr="00293F53">
        <w:rPr>
          <w:sz w:val="22"/>
          <w:szCs w:val="22"/>
        </w:rPr>
        <w:t xml:space="preserve">Please provide all comments in writing and in an MS Word or similar document format using the table provided below. </w:t>
      </w:r>
    </w:p>
    <w:p w14:paraId="55828846" w14:textId="77777777" w:rsidR="00AA726F" w:rsidRPr="00293F53" w:rsidRDefault="00AA726F" w:rsidP="00DB71FC">
      <w:pPr>
        <w:ind w:left="1080"/>
        <w:jc w:val="both"/>
        <w:rPr>
          <w:sz w:val="22"/>
          <w:szCs w:val="22"/>
        </w:rPr>
      </w:pPr>
    </w:p>
    <w:p w14:paraId="0BB2C305" w14:textId="77777777" w:rsidR="00AA726F" w:rsidRPr="00293F53" w:rsidRDefault="00AA726F" w:rsidP="00DB71FC">
      <w:pPr>
        <w:numPr>
          <w:ilvl w:val="1"/>
          <w:numId w:val="2"/>
        </w:numPr>
        <w:jc w:val="both"/>
        <w:rPr>
          <w:sz w:val="22"/>
          <w:szCs w:val="22"/>
        </w:rPr>
      </w:pPr>
      <w:r w:rsidRPr="00293F53">
        <w:rPr>
          <w:sz w:val="22"/>
          <w:szCs w:val="22"/>
        </w:rPr>
        <w:t xml:space="preserve">Please provide full contact </w:t>
      </w:r>
      <w:r>
        <w:rPr>
          <w:sz w:val="22"/>
          <w:szCs w:val="22"/>
        </w:rPr>
        <w:t>information for the individual/G</w:t>
      </w:r>
      <w:r w:rsidRPr="00293F53">
        <w:rPr>
          <w:sz w:val="22"/>
          <w:szCs w:val="22"/>
        </w:rPr>
        <w:t>overnment</w:t>
      </w:r>
      <w:r>
        <w:rPr>
          <w:sz w:val="22"/>
          <w:szCs w:val="22"/>
        </w:rPr>
        <w:t>/organization</w:t>
      </w:r>
      <w:r w:rsidRPr="00293F53">
        <w:rPr>
          <w:sz w:val="22"/>
          <w:szCs w:val="22"/>
        </w:rPr>
        <w:t xml:space="preserve"> submitting the comments. </w:t>
      </w:r>
    </w:p>
    <w:p w14:paraId="63F04545" w14:textId="77777777" w:rsidR="00AA726F" w:rsidRPr="00293F53" w:rsidRDefault="00AA726F" w:rsidP="00DB71FC">
      <w:pPr>
        <w:jc w:val="both"/>
        <w:rPr>
          <w:sz w:val="22"/>
          <w:szCs w:val="22"/>
        </w:rPr>
      </w:pPr>
    </w:p>
    <w:p w14:paraId="139E5996" w14:textId="77777777" w:rsidR="00AA726F" w:rsidRPr="00293F53" w:rsidRDefault="00AA726F" w:rsidP="00DB71FC">
      <w:pPr>
        <w:numPr>
          <w:ilvl w:val="1"/>
          <w:numId w:val="2"/>
        </w:numPr>
        <w:jc w:val="both"/>
        <w:rPr>
          <w:sz w:val="22"/>
          <w:szCs w:val="22"/>
        </w:rPr>
      </w:pPr>
      <w:r w:rsidRPr="00293F53">
        <w:rPr>
          <w:sz w:val="22"/>
          <w:szCs w:val="22"/>
        </w:rPr>
        <w:t xml:space="preserve">Please avoid commenting on issues related to grammar, spelling, or punctuation, unless it affects the overall meaning of the text, as the document will be edited as the final draft is prepared. </w:t>
      </w:r>
    </w:p>
    <w:p w14:paraId="3CDF8A16" w14:textId="77777777" w:rsidR="00AA726F" w:rsidRPr="00293F53" w:rsidRDefault="00AA726F" w:rsidP="00DB71FC">
      <w:pPr>
        <w:jc w:val="both"/>
        <w:rPr>
          <w:sz w:val="22"/>
          <w:szCs w:val="22"/>
        </w:rPr>
      </w:pPr>
    </w:p>
    <w:p w14:paraId="66C1497A" w14:textId="77777777" w:rsidR="00AA726F" w:rsidRPr="00293F53" w:rsidRDefault="00AA726F" w:rsidP="00DB71FC">
      <w:pPr>
        <w:numPr>
          <w:ilvl w:val="1"/>
          <w:numId w:val="2"/>
        </w:numPr>
        <w:jc w:val="both"/>
        <w:rPr>
          <w:sz w:val="22"/>
          <w:szCs w:val="22"/>
        </w:rPr>
      </w:pPr>
      <w:r w:rsidRPr="00293F53">
        <w:rPr>
          <w:sz w:val="22"/>
          <w:szCs w:val="22"/>
        </w:rPr>
        <w:t>To facilitate the revision process please be as specific as possible in your comments</w:t>
      </w:r>
      <w:r>
        <w:rPr>
          <w:sz w:val="22"/>
          <w:szCs w:val="22"/>
        </w:rPr>
        <w:t>.</w:t>
      </w:r>
      <w:r w:rsidRPr="00293F53">
        <w:rPr>
          <w:sz w:val="22"/>
          <w:szCs w:val="22"/>
        </w:rPr>
        <w:t xml:space="preserve"> In areas where you feel additional or alternative text or information is required</w:t>
      </w:r>
      <w:r>
        <w:rPr>
          <w:sz w:val="22"/>
          <w:szCs w:val="22"/>
        </w:rPr>
        <w:t>,</w:t>
      </w:r>
      <w:r w:rsidRPr="00293F53">
        <w:rPr>
          <w:sz w:val="22"/>
          <w:szCs w:val="22"/>
        </w:rPr>
        <w:t xml:space="preserve"> please suggest, if possible, what this text may look like or what should be included.</w:t>
      </w:r>
    </w:p>
    <w:p w14:paraId="202CC535" w14:textId="77777777" w:rsidR="00AA726F" w:rsidRPr="00293F53" w:rsidRDefault="00AA726F" w:rsidP="00DB71FC">
      <w:pPr>
        <w:jc w:val="both"/>
        <w:rPr>
          <w:sz w:val="22"/>
          <w:szCs w:val="22"/>
        </w:rPr>
      </w:pPr>
    </w:p>
    <w:p w14:paraId="70964DB4" w14:textId="77777777" w:rsidR="00AA726F" w:rsidRPr="00293F53" w:rsidRDefault="00AA726F" w:rsidP="00DB71FC">
      <w:pPr>
        <w:numPr>
          <w:ilvl w:val="1"/>
          <w:numId w:val="2"/>
        </w:numPr>
        <w:jc w:val="both"/>
        <w:rPr>
          <w:sz w:val="22"/>
          <w:szCs w:val="22"/>
        </w:rPr>
      </w:pPr>
      <w:r w:rsidRPr="00293F53">
        <w:rPr>
          <w:sz w:val="22"/>
          <w:szCs w:val="22"/>
        </w:rPr>
        <w:t>If you refer to additional sources of information</w:t>
      </w:r>
      <w:r>
        <w:rPr>
          <w:sz w:val="22"/>
          <w:szCs w:val="22"/>
        </w:rPr>
        <w:t>,</w:t>
      </w:r>
      <w:r w:rsidRPr="00293F53">
        <w:rPr>
          <w:sz w:val="22"/>
          <w:szCs w:val="22"/>
        </w:rPr>
        <w:t xml:space="preserve"> please include these with your comments when possible or provide a complete reference or hyperlink.  </w:t>
      </w:r>
    </w:p>
    <w:p w14:paraId="512FEF38" w14:textId="77777777" w:rsidR="00AA726F" w:rsidRPr="00293F53" w:rsidRDefault="00AA726F" w:rsidP="00DB71FC">
      <w:pPr>
        <w:jc w:val="both"/>
        <w:rPr>
          <w:sz w:val="22"/>
          <w:szCs w:val="22"/>
        </w:rPr>
      </w:pPr>
    </w:p>
    <w:p w14:paraId="36F928DC" w14:textId="77777777" w:rsidR="00750EDF" w:rsidRPr="0035529C" w:rsidRDefault="00750EDF" w:rsidP="0035529C">
      <w:pPr>
        <w:numPr>
          <w:ilvl w:val="1"/>
          <w:numId w:val="2"/>
        </w:numPr>
        <w:jc w:val="both"/>
        <w:rPr>
          <w:sz w:val="22"/>
          <w:szCs w:val="22"/>
        </w:rPr>
      </w:pPr>
      <w:r>
        <w:rPr>
          <w:sz w:val="22"/>
          <w:szCs w:val="22"/>
        </w:rPr>
        <w:t xml:space="preserve">Please focus your comments on columns </w:t>
      </w:r>
      <w:r w:rsidR="0035529C" w:rsidRPr="0035529C">
        <w:rPr>
          <w:sz w:val="22"/>
          <w:szCs w:val="22"/>
        </w:rPr>
        <w:t>A (components the draft goals and targets), B</w:t>
      </w:r>
      <w:r w:rsidRPr="0035529C">
        <w:rPr>
          <w:sz w:val="22"/>
          <w:szCs w:val="22"/>
        </w:rPr>
        <w:t xml:space="preserve"> (monitoring elements), </w:t>
      </w:r>
      <w:r w:rsidR="0035529C" w:rsidRPr="0035529C">
        <w:rPr>
          <w:sz w:val="22"/>
          <w:szCs w:val="22"/>
        </w:rPr>
        <w:t>C</w:t>
      </w:r>
      <w:r w:rsidRPr="0035529C">
        <w:rPr>
          <w:sz w:val="22"/>
          <w:szCs w:val="22"/>
        </w:rPr>
        <w:t xml:space="preserve"> (indicators)</w:t>
      </w:r>
      <w:r w:rsidR="0035529C" w:rsidRPr="0035529C">
        <w:rPr>
          <w:sz w:val="22"/>
          <w:szCs w:val="22"/>
        </w:rPr>
        <w:t xml:space="preserve"> and D</w:t>
      </w:r>
      <w:r w:rsidRPr="0035529C">
        <w:rPr>
          <w:sz w:val="22"/>
          <w:szCs w:val="22"/>
        </w:rPr>
        <w:t xml:space="preserve"> (</w:t>
      </w:r>
      <w:r w:rsidR="0035529C">
        <w:rPr>
          <w:sz w:val="22"/>
          <w:szCs w:val="22"/>
        </w:rPr>
        <w:t>i</w:t>
      </w:r>
      <w:r w:rsidRPr="0035529C">
        <w:rPr>
          <w:sz w:val="22"/>
          <w:szCs w:val="22"/>
        </w:rPr>
        <w:t xml:space="preserve">ndicator baseline year and frequency of updates) of tables 1 and 2. </w:t>
      </w:r>
    </w:p>
    <w:p w14:paraId="0FA160E2" w14:textId="77777777" w:rsidR="00750EDF" w:rsidRDefault="00750EDF" w:rsidP="00750EDF">
      <w:pPr>
        <w:pStyle w:val="Listeavsnitt"/>
        <w:rPr>
          <w:sz w:val="22"/>
          <w:szCs w:val="22"/>
        </w:rPr>
      </w:pPr>
    </w:p>
    <w:p w14:paraId="3D0E733A" w14:textId="77777777" w:rsidR="00AA726F" w:rsidRDefault="00AA726F" w:rsidP="00DB71FC">
      <w:pPr>
        <w:numPr>
          <w:ilvl w:val="1"/>
          <w:numId w:val="2"/>
        </w:numPr>
        <w:jc w:val="both"/>
        <w:rPr>
          <w:sz w:val="22"/>
          <w:szCs w:val="22"/>
        </w:rPr>
      </w:pPr>
      <w:r w:rsidRPr="00293F53">
        <w:rPr>
          <w:sz w:val="22"/>
          <w:szCs w:val="22"/>
        </w:rPr>
        <w:lastRenderedPageBreak/>
        <w:t xml:space="preserve">If you </w:t>
      </w:r>
      <w:r w:rsidR="00750EDF">
        <w:rPr>
          <w:sz w:val="22"/>
          <w:szCs w:val="22"/>
        </w:rPr>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293F53">
        <w:rPr>
          <w:sz w:val="22"/>
          <w:szCs w:val="22"/>
        </w:rPr>
        <w:t xml:space="preserve">. </w:t>
      </w:r>
    </w:p>
    <w:p w14:paraId="6E674997" w14:textId="77777777" w:rsidR="00750EDF" w:rsidRDefault="00750EDF" w:rsidP="00750EDF">
      <w:pPr>
        <w:pStyle w:val="Listeavsnitt"/>
        <w:rPr>
          <w:sz w:val="22"/>
          <w:szCs w:val="22"/>
        </w:rPr>
      </w:pPr>
    </w:p>
    <w:p w14:paraId="0B7F17AD" w14:textId="77777777" w:rsidR="00750EDF" w:rsidRPr="00293F53" w:rsidRDefault="00750EDF" w:rsidP="00DB71FC">
      <w:pPr>
        <w:numPr>
          <w:ilvl w:val="1"/>
          <w:numId w:val="2"/>
        </w:numPr>
        <w:jc w:val="both"/>
        <w:rPr>
          <w:sz w:val="22"/>
          <w:szCs w:val="22"/>
        </w:rPr>
      </w:pPr>
      <w:r>
        <w:rPr>
          <w:sz w:val="22"/>
          <w:szCs w:val="22"/>
        </w:rPr>
        <w:t>All review comments will be posted on the webpage</w:t>
      </w:r>
      <w:r>
        <w:rPr>
          <w:rStyle w:val="Fotnotereferanse"/>
          <w:sz w:val="22"/>
          <w:szCs w:val="22"/>
        </w:rPr>
        <w:footnoteReference w:id="2"/>
      </w:r>
      <w:r>
        <w:rPr>
          <w:sz w:val="22"/>
          <w:szCs w:val="22"/>
        </w:rPr>
        <w:t xml:space="preserve"> for the post-2020 global biodiversity framework in the interests of transparency</w:t>
      </w:r>
    </w:p>
    <w:p w14:paraId="25BBF807" w14:textId="77777777" w:rsidR="00AA726F" w:rsidRPr="00293F53" w:rsidRDefault="00AA726F" w:rsidP="00DB71FC">
      <w:pPr>
        <w:ind w:left="360"/>
        <w:jc w:val="both"/>
        <w:rPr>
          <w:sz w:val="22"/>
          <w:szCs w:val="22"/>
        </w:rPr>
      </w:pPr>
    </w:p>
    <w:p w14:paraId="3726F684" w14:textId="77777777" w:rsidR="00AA726F" w:rsidRPr="00293F53" w:rsidRDefault="00AA726F" w:rsidP="00DB71FC">
      <w:pPr>
        <w:numPr>
          <w:ilvl w:val="0"/>
          <w:numId w:val="2"/>
        </w:numPr>
        <w:ind w:left="360" w:firstLine="0"/>
        <w:jc w:val="both"/>
        <w:rPr>
          <w:sz w:val="22"/>
          <w:szCs w:val="22"/>
        </w:rPr>
      </w:pPr>
      <w:r w:rsidRPr="00293F53">
        <w:rPr>
          <w:sz w:val="22"/>
          <w:szCs w:val="22"/>
        </w:rPr>
        <w:t>Should you have any questions regarding the review process</w:t>
      </w:r>
      <w:r>
        <w:rPr>
          <w:sz w:val="22"/>
          <w:szCs w:val="22"/>
        </w:rPr>
        <w:t>,</w:t>
      </w:r>
      <w:r w:rsidRPr="00293F53">
        <w:rPr>
          <w:sz w:val="22"/>
          <w:szCs w:val="22"/>
        </w:rPr>
        <w:t xml:space="preserve"> please contact </w:t>
      </w:r>
      <w:hyperlink r:id="rId12" w:history="1">
        <w:r w:rsidR="00642AC0" w:rsidRPr="00F76DDF">
          <w:rPr>
            <w:rStyle w:val="Hyperkobling"/>
          </w:rPr>
          <w:t>secretariat@cbd.int</w:t>
        </w:r>
      </w:hyperlink>
      <w:r w:rsidR="00642AC0">
        <w:t xml:space="preserve">. </w:t>
      </w:r>
      <w:r w:rsidRPr="00293F53">
        <w:rPr>
          <w:sz w:val="22"/>
          <w:szCs w:val="22"/>
        </w:rPr>
        <w:t xml:space="preserve"> </w:t>
      </w:r>
    </w:p>
    <w:p w14:paraId="6CCBF4DA" w14:textId="77777777" w:rsidR="00AA726F" w:rsidRPr="00293F53" w:rsidRDefault="00AA726F" w:rsidP="00DB71FC">
      <w:pPr>
        <w:pStyle w:val="Default"/>
        <w:ind w:left="360"/>
        <w:jc w:val="center"/>
        <w:rPr>
          <w:b/>
          <w:i/>
          <w:sz w:val="22"/>
          <w:szCs w:val="22"/>
          <w:u w:val="single"/>
        </w:rPr>
      </w:pPr>
    </w:p>
    <w:p w14:paraId="677D334C" w14:textId="77777777" w:rsidR="00A2000C" w:rsidRDefault="00A2000C" w:rsidP="00A2000C">
      <w:pPr>
        <w:pStyle w:val="Default"/>
        <w:ind w:left="360"/>
        <w:jc w:val="center"/>
        <w:rPr>
          <w:b/>
          <w:i/>
          <w:sz w:val="22"/>
          <w:szCs w:val="22"/>
          <w:u w:val="single"/>
        </w:rPr>
      </w:pPr>
    </w:p>
    <w:p w14:paraId="4925DE39" w14:textId="77777777" w:rsidR="00AA726F" w:rsidRPr="00293F53" w:rsidRDefault="00AA726F" w:rsidP="00A2000C">
      <w:pPr>
        <w:pStyle w:val="Default"/>
        <w:ind w:left="360"/>
        <w:jc w:val="center"/>
        <w:rPr>
          <w:b/>
          <w:sz w:val="22"/>
          <w:szCs w:val="22"/>
          <w:u w:val="single"/>
        </w:rPr>
      </w:pPr>
      <w:r w:rsidRPr="00293F53">
        <w:rPr>
          <w:b/>
          <w:i/>
          <w:sz w:val="22"/>
          <w:szCs w:val="22"/>
          <w:u w:val="single"/>
        </w:rPr>
        <w:t>III. Template for Comments</w:t>
      </w:r>
    </w:p>
    <w:p w14:paraId="4CCB14F6" w14:textId="77777777" w:rsidR="00A2000C" w:rsidRDefault="00A2000C" w:rsidP="00A2000C">
      <w:pPr>
        <w:pStyle w:val="Default"/>
        <w:ind w:left="360"/>
        <w:jc w:val="both"/>
        <w:rPr>
          <w:sz w:val="22"/>
          <w:szCs w:val="22"/>
        </w:rPr>
      </w:pPr>
    </w:p>
    <w:p w14:paraId="25EFFC8F" w14:textId="77777777" w:rsidR="00AA726F" w:rsidRPr="00293F53" w:rsidRDefault="00AA726F" w:rsidP="00DB71FC">
      <w:pPr>
        <w:pStyle w:val="Default"/>
        <w:numPr>
          <w:ilvl w:val="0"/>
          <w:numId w:val="2"/>
        </w:numPr>
        <w:ind w:left="360" w:firstLine="0"/>
        <w:jc w:val="both"/>
        <w:rPr>
          <w:sz w:val="22"/>
          <w:szCs w:val="22"/>
        </w:rPr>
      </w:pPr>
      <w:r w:rsidRPr="00293F53">
        <w:rPr>
          <w:sz w:val="22"/>
          <w:szCs w:val="22"/>
        </w:rPr>
        <w:t xml:space="preserve">Please use the </w:t>
      </w:r>
      <w:r w:rsidR="00EC787C">
        <w:rPr>
          <w:sz w:val="22"/>
          <w:szCs w:val="22"/>
        </w:rPr>
        <w:t xml:space="preserve">review </w:t>
      </w:r>
      <w:r w:rsidRPr="00293F53">
        <w:rPr>
          <w:sz w:val="22"/>
          <w:szCs w:val="22"/>
        </w:rPr>
        <w:t>template</w:t>
      </w:r>
      <w:r w:rsidR="00EC787C">
        <w:rPr>
          <w:sz w:val="22"/>
          <w:szCs w:val="22"/>
        </w:rPr>
        <w:t xml:space="preserve"> below</w:t>
      </w:r>
      <w:r w:rsidRPr="00293F53">
        <w:rPr>
          <w:sz w:val="22"/>
          <w:szCs w:val="22"/>
        </w:rPr>
        <w:t xml:space="preserve"> when providing comments</w:t>
      </w:r>
      <w:r>
        <w:rPr>
          <w:sz w:val="22"/>
          <w:szCs w:val="22"/>
        </w:rPr>
        <w:t>.</w:t>
      </w:r>
      <w:r w:rsidR="00EC787C" w:rsidRPr="00EC787C">
        <w:rPr>
          <w:sz w:val="22"/>
          <w:szCs w:val="22"/>
        </w:rPr>
        <w:t xml:space="preserve"> </w:t>
      </w:r>
    </w:p>
    <w:p w14:paraId="02B8AF9A" w14:textId="77777777" w:rsidR="00AA726F" w:rsidRPr="00293F53" w:rsidRDefault="00AA726F" w:rsidP="00DB71FC">
      <w:pPr>
        <w:jc w:val="both"/>
        <w:rPr>
          <w:sz w:val="22"/>
          <w:szCs w:val="22"/>
        </w:rPr>
      </w:pPr>
    </w:p>
    <w:p w14:paraId="02355C86" w14:textId="77777777" w:rsidR="00AA726F" w:rsidRPr="00642AC0" w:rsidRDefault="00AA726F" w:rsidP="00642AC0">
      <w:pPr>
        <w:pStyle w:val="Default"/>
        <w:numPr>
          <w:ilvl w:val="0"/>
          <w:numId w:val="2"/>
        </w:numPr>
        <w:ind w:left="360" w:firstLine="0"/>
        <w:jc w:val="both"/>
        <w:rPr>
          <w:sz w:val="22"/>
          <w:szCs w:val="22"/>
        </w:rPr>
      </w:pPr>
      <w:r w:rsidRPr="00A2000C">
        <w:rPr>
          <w:sz w:val="22"/>
          <w:szCs w:val="22"/>
        </w:rPr>
        <w:t xml:space="preserve">The </w:t>
      </w:r>
      <w:r w:rsidR="00EC787C">
        <w:rPr>
          <w:sz w:val="22"/>
          <w:szCs w:val="22"/>
        </w:rPr>
        <w:t xml:space="preserve">complete draft of </w:t>
      </w:r>
      <w:r w:rsidR="00750EDF">
        <w:rPr>
          <w:sz w:val="22"/>
          <w:szCs w:val="22"/>
        </w:rPr>
        <w:t>the monitoring framework</w:t>
      </w:r>
      <w:r w:rsidR="00642AC0">
        <w:rPr>
          <w:sz w:val="22"/>
          <w:szCs w:val="22"/>
        </w:rPr>
        <w:t xml:space="preserve"> has</w:t>
      </w:r>
      <w:r w:rsidRPr="00A2000C">
        <w:rPr>
          <w:sz w:val="22"/>
          <w:szCs w:val="22"/>
        </w:rPr>
        <w:t xml:space="preserve"> been released in a portable document format (PDF). </w:t>
      </w:r>
      <w:r w:rsidR="00750EDF">
        <w:rPr>
          <w:sz w:val="22"/>
          <w:szCs w:val="22"/>
        </w:rPr>
        <w:t>For tables 1, 2 and 3 column letters and row numbers have been provided as well as page numbers. P</w:t>
      </w:r>
      <w:r w:rsidRPr="00A2000C">
        <w:rPr>
          <w:sz w:val="22"/>
          <w:szCs w:val="22"/>
        </w:rPr>
        <w:t>lease use these as a reference as i</w:t>
      </w:r>
      <w:r w:rsidR="00EC787C">
        <w:rPr>
          <w:sz w:val="22"/>
          <w:szCs w:val="22"/>
        </w:rPr>
        <w:t xml:space="preserve">llustrated in the table below. </w:t>
      </w:r>
      <w:r w:rsidRPr="00642AC0">
        <w:rPr>
          <w:sz w:val="22"/>
          <w:szCs w:val="22"/>
        </w:rPr>
        <w:t>General comments can be included in the table by referring to Page 0 and Line 0.</w:t>
      </w:r>
    </w:p>
    <w:p w14:paraId="542B2F49" w14:textId="77777777" w:rsidR="00EC787C" w:rsidRDefault="00EC787C" w:rsidP="00EC787C">
      <w:pPr>
        <w:pStyle w:val="Listeavsnitt"/>
        <w:rPr>
          <w:sz w:val="22"/>
          <w:szCs w:val="22"/>
        </w:rPr>
      </w:pPr>
    </w:p>
    <w:p w14:paraId="17C1F39C" w14:textId="77777777" w:rsidR="00624FAA" w:rsidRDefault="00624FAA" w:rsidP="005D2E65">
      <w:pPr>
        <w:pStyle w:val="Default"/>
        <w:jc w:val="center"/>
        <w:rPr>
          <w:b/>
          <w:sz w:val="22"/>
          <w:szCs w:val="22"/>
          <w:u w:val="single"/>
        </w:rPr>
      </w:pPr>
      <w:r>
        <w:rPr>
          <w:b/>
          <w:sz w:val="22"/>
          <w:szCs w:val="22"/>
          <w:u w:val="single"/>
        </w:rPr>
        <w:t>TEMPLATE FOR COMMENTS</w:t>
      </w:r>
    </w:p>
    <w:p w14:paraId="06AB6FAF" w14:textId="77777777"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972"/>
        <w:gridCol w:w="1374"/>
        <w:gridCol w:w="380"/>
        <w:gridCol w:w="836"/>
        <w:gridCol w:w="4748"/>
      </w:tblGrid>
      <w:tr w:rsidR="005D2E65" w:rsidRPr="000C0B6C" w14:paraId="5B6181C0" w14:textId="77777777" w:rsidTr="005D2E65">
        <w:trPr>
          <w:trHeight w:val="242"/>
        </w:trPr>
        <w:tc>
          <w:tcPr>
            <w:tcW w:w="9606" w:type="dxa"/>
            <w:gridSpan w:val="6"/>
          </w:tcPr>
          <w:p w14:paraId="79E82F0A" w14:textId="77777777" w:rsidR="005D2E65" w:rsidRPr="000C0B6C" w:rsidRDefault="005D2E65" w:rsidP="00642AC0">
            <w:pPr>
              <w:jc w:val="center"/>
              <w:rPr>
                <w:b/>
              </w:rPr>
            </w:pPr>
            <w:r>
              <w:rPr>
                <w:b/>
              </w:rPr>
              <w:t>Review comments on the draft monitoring framework for the post-2020 global biodiversity framework</w:t>
            </w:r>
          </w:p>
        </w:tc>
      </w:tr>
      <w:tr w:rsidR="005D2E65" w:rsidRPr="000C0B6C" w14:paraId="23CF65B3" w14:textId="77777777" w:rsidTr="005D2E65">
        <w:trPr>
          <w:trHeight w:val="233"/>
        </w:trPr>
        <w:tc>
          <w:tcPr>
            <w:tcW w:w="9606" w:type="dxa"/>
            <w:gridSpan w:val="6"/>
            <w:shd w:val="clear" w:color="auto" w:fill="C0C0C0"/>
          </w:tcPr>
          <w:p w14:paraId="46BB8AFA" w14:textId="77777777" w:rsidR="005D2E65" w:rsidRPr="000C0B6C" w:rsidRDefault="005D2E65" w:rsidP="00690111">
            <w:pPr>
              <w:jc w:val="center"/>
              <w:rPr>
                <w:i/>
              </w:rPr>
            </w:pPr>
            <w:r w:rsidRPr="000C0B6C">
              <w:rPr>
                <w:i/>
              </w:rPr>
              <w:t>Contact information</w:t>
            </w:r>
          </w:p>
        </w:tc>
      </w:tr>
      <w:tr w:rsidR="005D2E65" w:rsidRPr="000C0B6C" w14:paraId="4D874DD2" w14:textId="77777777" w:rsidTr="00DC686F">
        <w:trPr>
          <w:trHeight w:val="270"/>
        </w:trPr>
        <w:tc>
          <w:tcPr>
            <w:tcW w:w="4022" w:type="dxa"/>
            <w:gridSpan w:val="4"/>
          </w:tcPr>
          <w:p w14:paraId="667D4570"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584" w:type="dxa"/>
            <w:gridSpan w:val="2"/>
          </w:tcPr>
          <w:p w14:paraId="6EDDC97A" w14:textId="77777777" w:rsidR="005D2E65" w:rsidRPr="000C0B6C" w:rsidRDefault="00E74BA5" w:rsidP="00E74BA5">
            <w:r>
              <w:t>Hofsvang</w:t>
            </w:r>
          </w:p>
        </w:tc>
      </w:tr>
      <w:tr w:rsidR="005D2E65" w:rsidRPr="000C0B6C" w14:paraId="374C19EB" w14:textId="77777777" w:rsidTr="00DC686F">
        <w:trPr>
          <w:trHeight w:val="270"/>
        </w:trPr>
        <w:tc>
          <w:tcPr>
            <w:tcW w:w="4022" w:type="dxa"/>
            <w:gridSpan w:val="4"/>
          </w:tcPr>
          <w:p w14:paraId="5AC15EE8"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584" w:type="dxa"/>
            <w:gridSpan w:val="2"/>
          </w:tcPr>
          <w:p w14:paraId="4762E085" w14:textId="77777777" w:rsidR="005D2E65" w:rsidRPr="000C0B6C" w:rsidRDefault="00E74BA5" w:rsidP="00690111">
            <w:r>
              <w:t>Ellen</w:t>
            </w:r>
          </w:p>
        </w:tc>
      </w:tr>
      <w:tr w:rsidR="005D2E65" w:rsidRPr="000C0B6C" w14:paraId="705DBDEE" w14:textId="77777777" w:rsidTr="00DC686F">
        <w:trPr>
          <w:trHeight w:val="280"/>
        </w:trPr>
        <w:tc>
          <w:tcPr>
            <w:tcW w:w="4022" w:type="dxa"/>
            <w:gridSpan w:val="4"/>
          </w:tcPr>
          <w:p w14:paraId="7D8B30C6"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584" w:type="dxa"/>
            <w:gridSpan w:val="2"/>
          </w:tcPr>
          <w:p w14:paraId="5FDB050D" w14:textId="77777777" w:rsidR="005D2E65" w:rsidRPr="000C0B6C" w:rsidRDefault="005D2E65" w:rsidP="00690111"/>
        </w:tc>
      </w:tr>
      <w:tr w:rsidR="005D2E65" w:rsidRPr="000C0B6C" w14:paraId="5996E6BF" w14:textId="77777777" w:rsidTr="00DC686F">
        <w:trPr>
          <w:trHeight w:val="270"/>
        </w:trPr>
        <w:tc>
          <w:tcPr>
            <w:tcW w:w="4022" w:type="dxa"/>
            <w:gridSpan w:val="4"/>
          </w:tcPr>
          <w:p w14:paraId="574C371D"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584" w:type="dxa"/>
            <w:gridSpan w:val="2"/>
          </w:tcPr>
          <w:p w14:paraId="21EB43DB" w14:textId="77777777" w:rsidR="005D2E65" w:rsidRPr="000C0B6C" w:rsidRDefault="00E74BA5" w:rsidP="00690111">
            <w:r>
              <w:t>Rainforest Foundation Norway</w:t>
            </w:r>
          </w:p>
        </w:tc>
      </w:tr>
      <w:tr w:rsidR="005D2E65" w:rsidRPr="000C0B6C" w14:paraId="11125CC6" w14:textId="77777777" w:rsidTr="00DC686F">
        <w:trPr>
          <w:trHeight w:val="280"/>
        </w:trPr>
        <w:tc>
          <w:tcPr>
            <w:tcW w:w="4022" w:type="dxa"/>
            <w:gridSpan w:val="4"/>
          </w:tcPr>
          <w:p w14:paraId="0D1F2474"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584" w:type="dxa"/>
            <w:gridSpan w:val="2"/>
          </w:tcPr>
          <w:p w14:paraId="7EC61B4D" w14:textId="77777777" w:rsidR="005D2E65" w:rsidRPr="000C0B6C" w:rsidRDefault="00E74BA5" w:rsidP="00690111">
            <w:proofErr w:type="spellStart"/>
            <w:r>
              <w:t>Mariboesgate</w:t>
            </w:r>
            <w:proofErr w:type="spellEnd"/>
            <w:r>
              <w:t xml:space="preserve"> 8</w:t>
            </w:r>
          </w:p>
        </w:tc>
      </w:tr>
      <w:tr w:rsidR="005D2E65" w:rsidRPr="000C0B6C" w14:paraId="29E0951B" w14:textId="77777777" w:rsidTr="00DC686F">
        <w:trPr>
          <w:trHeight w:val="270"/>
        </w:trPr>
        <w:tc>
          <w:tcPr>
            <w:tcW w:w="4022" w:type="dxa"/>
            <w:gridSpan w:val="4"/>
          </w:tcPr>
          <w:p w14:paraId="087DDEE4"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584" w:type="dxa"/>
            <w:gridSpan w:val="2"/>
          </w:tcPr>
          <w:p w14:paraId="5FDC84D4" w14:textId="77777777" w:rsidR="005D2E65" w:rsidRPr="000C0B6C" w:rsidRDefault="00E74BA5" w:rsidP="00690111">
            <w:r>
              <w:t>0183 Oslo</w:t>
            </w:r>
          </w:p>
        </w:tc>
      </w:tr>
      <w:tr w:rsidR="005D2E65" w:rsidRPr="000C0B6C" w14:paraId="4BBD97F6" w14:textId="77777777" w:rsidTr="00DC686F">
        <w:trPr>
          <w:trHeight w:val="280"/>
        </w:trPr>
        <w:tc>
          <w:tcPr>
            <w:tcW w:w="4022" w:type="dxa"/>
            <w:gridSpan w:val="4"/>
          </w:tcPr>
          <w:p w14:paraId="27C4E95A"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584" w:type="dxa"/>
            <w:gridSpan w:val="2"/>
          </w:tcPr>
          <w:p w14:paraId="4838F28B" w14:textId="77777777" w:rsidR="005D2E65" w:rsidRPr="000C0B6C" w:rsidRDefault="00E74BA5" w:rsidP="00E74BA5">
            <w:pPr>
              <w:tabs>
                <w:tab w:val="left" w:pos="960"/>
              </w:tabs>
              <w:jc w:val="both"/>
            </w:pPr>
            <w:r>
              <w:t>Norway</w:t>
            </w:r>
          </w:p>
        </w:tc>
      </w:tr>
      <w:tr w:rsidR="005D2E65" w:rsidRPr="000C0B6C" w14:paraId="7648D443" w14:textId="77777777" w:rsidTr="00DC686F">
        <w:trPr>
          <w:trHeight w:val="233"/>
        </w:trPr>
        <w:tc>
          <w:tcPr>
            <w:tcW w:w="4022" w:type="dxa"/>
            <w:gridSpan w:val="4"/>
          </w:tcPr>
          <w:p w14:paraId="437B8D90" w14:textId="77777777" w:rsidR="005D2E65" w:rsidRPr="000C0B6C" w:rsidRDefault="005D2E65" w:rsidP="00690111">
            <w:pPr>
              <w:pStyle w:val="Kommentaremne"/>
              <w:rPr>
                <w:sz w:val="22"/>
                <w:szCs w:val="22"/>
              </w:rPr>
            </w:pPr>
            <w:r w:rsidRPr="000C0B6C">
              <w:rPr>
                <w:sz w:val="22"/>
                <w:szCs w:val="22"/>
              </w:rPr>
              <w:t>E-mail:</w:t>
            </w:r>
          </w:p>
        </w:tc>
        <w:tc>
          <w:tcPr>
            <w:tcW w:w="5584" w:type="dxa"/>
            <w:gridSpan w:val="2"/>
          </w:tcPr>
          <w:p w14:paraId="75F294F1" w14:textId="14F8B1E1" w:rsidR="005D2E65" w:rsidRPr="000C0B6C" w:rsidRDefault="000C2C13" w:rsidP="00690111">
            <w:hyperlink r:id="rId13" w:history="1">
              <w:r w:rsidR="009C2CD9" w:rsidRPr="00CF77B3">
                <w:rPr>
                  <w:rStyle w:val="Hyperkobling"/>
                </w:rPr>
                <w:t>ellen@rainforest.no</w:t>
              </w:r>
            </w:hyperlink>
          </w:p>
        </w:tc>
      </w:tr>
      <w:tr w:rsidR="004F0B61" w:rsidRPr="000C0B6C" w14:paraId="2E38B609" w14:textId="77777777" w:rsidTr="00796A1A">
        <w:trPr>
          <w:trHeight w:val="224"/>
        </w:trPr>
        <w:tc>
          <w:tcPr>
            <w:tcW w:w="9606" w:type="dxa"/>
            <w:gridSpan w:val="6"/>
            <w:shd w:val="clear" w:color="auto" w:fill="C0C0C0"/>
          </w:tcPr>
          <w:p w14:paraId="63041223" w14:textId="77777777" w:rsidR="004F0B61" w:rsidRPr="000C0B6C" w:rsidRDefault="004F0B61" w:rsidP="00690111">
            <w:pPr>
              <w:jc w:val="center"/>
              <w:rPr>
                <w:b/>
                <w:i/>
              </w:rPr>
            </w:pPr>
            <w:r>
              <w:rPr>
                <w:b/>
                <w:i/>
                <w:highlight w:val="lightGray"/>
              </w:rPr>
              <w:t xml:space="preserve">General </w:t>
            </w:r>
            <w:r w:rsidRPr="000C0B6C">
              <w:rPr>
                <w:b/>
                <w:i/>
                <w:highlight w:val="lightGray"/>
              </w:rPr>
              <w:t>Comments</w:t>
            </w:r>
          </w:p>
        </w:tc>
      </w:tr>
      <w:tr w:rsidR="004F0B61" w:rsidRPr="000C0B6C" w14:paraId="7DC48FEF" w14:textId="77777777" w:rsidTr="00796A1A">
        <w:trPr>
          <w:trHeight w:val="224"/>
        </w:trPr>
        <w:tc>
          <w:tcPr>
            <w:tcW w:w="9606" w:type="dxa"/>
            <w:gridSpan w:val="6"/>
          </w:tcPr>
          <w:p w14:paraId="50AC51A2" w14:textId="776DCD5A" w:rsidR="004F0B61" w:rsidRPr="008C4B6B" w:rsidRDefault="004F0B61" w:rsidP="00690111">
            <w:pPr>
              <w:rPr>
                <w:bCs/>
                <w:sz w:val="22"/>
                <w:szCs w:val="22"/>
              </w:rPr>
            </w:pPr>
          </w:p>
        </w:tc>
      </w:tr>
      <w:tr w:rsidR="004F0B61" w:rsidRPr="000C0B6C" w14:paraId="4A12E291" w14:textId="77777777" w:rsidTr="00796A1A">
        <w:trPr>
          <w:trHeight w:val="224"/>
        </w:trPr>
        <w:tc>
          <w:tcPr>
            <w:tcW w:w="9606" w:type="dxa"/>
            <w:gridSpan w:val="6"/>
          </w:tcPr>
          <w:p w14:paraId="78D2CD17" w14:textId="77777777" w:rsidR="004F0B61" w:rsidRPr="00A660B0" w:rsidRDefault="004F0B61" w:rsidP="00690111">
            <w:pPr>
              <w:rPr>
                <w:bCs/>
                <w:sz w:val="22"/>
                <w:szCs w:val="22"/>
              </w:rPr>
            </w:pPr>
          </w:p>
        </w:tc>
      </w:tr>
      <w:tr w:rsidR="004F0B61" w:rsidRPr="000C0B6C" w14:paraId="504A5024" w14:textId="77777777" w:rsidTr="00796A1A">
        <w:trPr>
          <w:trHeight w:val="224"/>
        </w:trPr>
        <w:tc>
          <w:tcPr>
            <w:tcW w:w="9606" w:type="dxa"/>
            <w:gridSpan w:val="6"/>
          </w:tcPr>
          <w:p w14:paraId="69C299D6" w14:textId="366262D8" w:rsidR="00803553" w:rsidRDefault="0099113B" w:rsidP="00690111">
            <w:pPr>
              <w:rPr>
                <w:bCs/>
                <w:sz w:val="22"/>
                <w:szCs w:val="22"/>
              </w:rPr>
            </w:pPr>
            <w:r>
              <w:rPr>
                <w:bCs/>
                <w:sz w:val="22"/>
                <w:szCs w:val="22"/>
              </w:rPr>
              <w:t xml:space="preserve">1. </w:t>
            </w:r>
            <w:r w:rsidR="00FB02F5">
              <w:rPr>
                <w:b/>
                <w:sz w:val="22"/>
                <w:szCs w:val="22"/>
              </w:rPr>
              <w:t>Ne</w:t>
            </w:r>
            <w:r w:rsidR="00B66479" w:rsidRPr="00FB02F5">
              <w:rPr>
                <w:b/>
                <w:sz w:val="22"/>
                <w:szCs w:val="22"/>
              </w:rPr>
              <w:t>ed to strengthen emphasis on the quality and type of forest ecosystems</w:t>
            </w:r>
            <w:r w:rsidR="00EF540B" w:rsidRPr="00FB02F5">
              <w:rPr>
                <w:b/>
                <w:sz w:val="22"/>
                <w:szCs w:val="22"/>
              </w:rPr>
              <w:t xml:space="preserve"> in the framework: </w:t>
            </w:r>
            <w:r w:rsidR="00A566E0" w:rsidRPr="00A660B0">
              <w:rPr>
                <w:bCs/>
                <w:sz w:val="22"/>
                <w:szCs w:val="22"/>
              </w:rPr>
              <w:t xml:space="preserve">Tropical rainforests are </w:t>
            </w:r>
            <w:r w:rsidR="00A660B0">
              <w:rPr>
                <w:bCs/>
                <w:sz w:val="22"/>
                <w:szCs w:val="22"/>
              </w:rPr>
              <w:t xml:space="preserve">key ecosystems both with regard to </w:t>
            </w:r>
            <w:r w:rsidR="004F7DE7">
              <w:rPr>
                <w:bCs/>
                <w:sz w:val="22"/>
                <w:szCs w:val="22"/>
              </w:rPr>
              <w:t>halting the loss of biodiversity</w:t>
            </w:r>
            <w:r w:rsidR="008E7B3F">
              <w:rPr>
                <w:bCs/>
                <w:sz w:val="22"/>
                <w:szCs w:val="22"/>
              </w:rPr>
              <w:t xml:space="preserve">, </w:t>
            </w:r>
            <w:r w:rsidR="004F7DE7">
              <w:rPr>
                <w:bCs/>
                <w:sz w:val="22"/>
                <w:szCs w:val="22"/>
              </w:rPr>
              <w:t xml:space="preserve">buffering against </w:t>
            </w:r>
            <w:r w:rsidR="0094208E">
              <w:rPr>
                <w:bCs/>
                <w:sz w:val="22"/>
                <w:szCs w:val="22"/>
              </w:rPr>
              <w:t>climate change</w:t>
            </w:r>
            <w:r w:rsidR="008E7B3F">
              <w:rPr>
                <w:bCs/>
                <w:sz w:val="22"/>
                <w:szCs w:val="22"/>
              </w:rPr>
              <w:t xml:space="preserve"> and upholding water and rainfall patterns </w:t>
            </w:r>
            <w:r w:rsidR="00A92060">
              <w:rPr>
                <w:bCs/>
                <w:sz w:val="22"/>
                <w:szCs w:val="22"/>
              </w:rPr>
              <w:t xml:space="preserve">on which </w:t>
            </w:r>
            <w:r w:rsidR="00D307C5">
              <w:rPr>
                <w:bCs/>
                <w:sz w:val="22"/>
                <w:szCs w:val="22"/>
              </w:rPr>
              <w:t>large areas of food production</w:t>
            </w:r>
            <w:r w:rsidR="00A92060">
              <w:rPr>
                <w:bCs/>
                <w:sz w:val="22"/>
                <w:szCs w:val="22"/>
              </w:rPr>
              <w:t xml:space="preserve"> depend</w:t>
            </w:r>
            <w:r w:rsidR="00D307C5">
              <w:rPr>
                <w:bCs/>
                <w:sz w:val="22"/>
                <w:szCs w:val="22"/>
              </w:rPr>
              <w:t xml:space="preserve">. The </w:t>
            </w:r>
            <w:r w:rsidR="00A0755D">
              <w:rPr>
                <w:bCs/>
                <w:sz w:val="22"/>
                <w:szCs w:val="22"/>
              </w:rPr>
              <w:t>monitoring framework</w:t>
            </w:r>
            <w:r w:rsidR="00BE12A6">
              <w:rPr>
                <w:bCs/>
                <w:sz w:val="22"/>
                <w:szCs w:val="22"/>
              </w:rPr>
              <w:t xml:space="preserve"> </w:t>
            </w:r>
            <w:r w:rsidR="009B0AF6">
              <w:rPr>
                <w:bCs/>
                <w:sz w:val="22"/>
                <w:szCs w:val="22"/>
              </w:rPr>
              <w:t xml:space="preserve">needs to be improved in order to provide incentives and monitoring tools necessary </w:t>
            </w:r>
            <w:r w:rsidR="00F26BB7">
              <w:rPr>
                <w:bCs/>
                <w:sz w:val="22"/>
                <w:szCs w:val="22"/>
              </w:rPr>
              <w:t xml:space="preserve">to protect </w:t>
            </w:r>
            <w:r w:rsidR="000E00E7">
              <w:rPr>
                <w:bCs/>
                <w:sz w:val="22"/>
                <w:szCs w:val="22"/>
              </w:rPr>
              <w:t xml:space="preserve">the remaining large areas of contiguous </w:t>
            </w:r>
            <w:r w:rsidR="00B5575B">
              <w:rPr>
                <w:bCs/>
                <w:sz w:val="22"/>
                <w:szCs w:val="22"/>
              </w:rPr>
              <w:t xml:space="preserve">tropical rainforests, with a specific </w:t>
            </w:r>
            <w:r w:rsidR="00D3021A">
              <w:rPr>
                <w:bCs/>
                <w:sz w:val="22"/>
                <w:szCs w:val="22"/>
              </w:rPr>
              <w:t>focus on the intact or leas</w:t>
            </w:r>
            <w:r w:rsidR="00783B2D">
              <w:rPr>
                <w:bCs/>
                <w:sz w:val="22"/>
                <w:szCs w:val="22"/>
              </w:rPr>
              <w:t xml:space="preserve">t disturbed forests, as these are cornerstones in the global effort to </w:t>
            </w:r>
            <w:r w:rsidR="00DC4DD9">
              <w:rPr>
                <w:bCs/>
                <w:sz w:val="22"/>
                <w:szCs w:val="22"/>
              </w:rPr>
              <w:t>h</w:t>
            </w:r>
            <w:r w:rsidR="001E4825">
              <w:rPr>
                <w:bCs/>
                <w:sz w:val="22"/>
                <w:szCs w:val="22"/>
              </w:rPr>
              <w:t>a</w:t>
            </w:r>
            <w:r w:rsidR="00DC4DD9">
              <w:rPr>
                <w:bCs/>
                <w:sz w:val="22"/>
                <w:szCs w:val="22"/>
              </w:rPr>
              <w:t xml:space="preserve">lt the loss of </w:t>
            </w:r>
            <w:r w:rsidR="001E4825">
              <w:rPr>
                <w:bCs/>
                <w:sz w:val="22"/>
                <w:szCs w:val="22"/>
              </w:rPr>
              <w:t>terrestrial biodiversity</w:t>
            </w:r>
            <w:r w:rsidR="00491967">
              <w:rPr>
                <w:bCs/>
                <w:sz w:val="22"/>
                <w:szCs w:val="22"/>
              </w:rPr>
              <w:t xml:space="preserve">. </w:t>
            </w:r>
            <w:r w:rsidR="00F26BB7">
              <w:rPr>
                <w:bCs/>
                <w:sz w:val="22"/>
                <w:szCs w:val="22"/>
              </w:rPr>
              <w:t>The framework</w:t>
            </w:r>
            <w:r>
              <w:rPr>
                <w:bCs/>
                <w:sz w:val="22"/>
                <w:szCs w:val="22"/>
              </w:rPr>
              <w:t xml:space="preserve"> </w:t>
            </w:r>
            <w:r w:rsidR="00F26BB7">
              <w:rPr>
                <w:bCs/>
                <w:sz w:val="22"/>
                <w:szCs w:val="22"/>
              </w:rPr>
              <w:t>need</w:t>
            </w:r>
            <w:r>
              <w:rPr>
                <w:bCs/>
                <w:sz w:val="22"/>
                <w:szCs w:val="22"/>
              </w:rPr>
              <w:t>s</w:t>
            </w:r>
            <w:r w:rsidR="00F26BB7">
              <w:rPr>
                <w:bCs/>
                <w:sz w:val="22"/>
                <w:szCs w:val="22"/>
              </w:rPr>
              <w:t xml:space="preserve"> to be more specific on </w:t>
            </w:r>
            <w:r>
              <w:rPr>
                <w:bCs/>
                <w:sz w:val="22"/>
                <w:szCs w:val="22"/>
              </w:rPr>
              <w:t>types and quality of forests</w:t>
            </w:r>
            <w:r w:rsidR="009671FE">
              <w:rPr>
                <w:bCs/>
                <w:sz w:val="22"/>
                <w:szCs w:val="22"/>
              </w:rPr>
              <w:t xml:space="preserve"> ecosystems to be monitored, to avoid </w:t>
            </w:r>
            <w:r w:rsidR="008521E5">
              <w:rPr>
                <w:bCs/>
                <w:sz w:val="22"/>
                <w:szCs w:val="22"/>
              </w:rPr>
              <w:t xml:space="preserve">covering up a conversion of biodiversity rich natural forest ecosystem with less complex planted forests or even monoculture plantations. The </w:t>
            </w:r>
            <w:r w:rsidR="00F24E57">
              <w:rPr>
                <w:bCs/>
                <w:sz w:val="22"/>
                <w:szCs w:val="22"/>
              </w:rPr>
              <w:t>indica</w:t>
            </w:r>
            <w:r w:rsidR="00C439C4">
              <w:rPr>
                <w:bCs/>
                <w:sz w:val="22"/>
                <w:szCs w:val="22"/>
              </w:rPr>
              <w:t xml:space="preserve">tor “forest area as a percentage of </w:t>
            </w:r>
            <w:r w:rsidR="008521E5">
              <w:rPr>
                <w:bCs/>
                <w:sz w:val="22"/>
                <w:szCs w:val="22"/>
              </w:rPr>
              <w:t xml:space="preserve">definition of </w:t>
            </w:r>
            <w:r w:rsidR="00C439C4">
              <w:rPr>
                <w:bCs/>
                <w:sz w:val="22"/>
                <w:szCs w:val="22"/>
              </w:rPr>
              <w:t xml:space="preserve">total area” may be a </w:t>
            </w:r>
            <w:r w:rsidR="000349D3">
              <w:rPr>
                <w:bCs/>
                <w:sz w:val="22"/>
                <w:szCs w:val="22"/>
              </w:rPr>
              <w:t xml:space="preserve">useful indicator for the SDG (depending on the definition of forest used and supplementary </w:t>
            </w:r>
            <w:r w:rsidR="006662EC">
              <w:rPr>
                <w:bCs/>
                <w:sz w:val="22"/>
                <w:szCs w:val="22"/>
              </w:rPr>
              <w:t xml:space="preserve">indicators), but it is not a </w:t>
            </w:r>
            <w:r w:rsidR="00803553">
              <w:rPr>
                <w:bCs/>
                <w:sz w:val="22"/>
                <w:szCs w:val="22"/>
              </w:rPr>
              <w:t xml:space="preserve">good </w:t>
            </w:r>
            <w:r w:rsidR="006662EC">
              <w:rPr>
                <w:bCs/>
                <w:sz w:val="22"/>
                <w:szCs w:val="22"/>
              </w:rPr>
              <w:t xml:space="preserve">indicator </w:t>
            </w:r>
            <w:r w:rsidR="006D1A8D">
              <w:rPr>
                <w:bCs/>
                <w:sz w:val="22"/>
                <w:szCs w:val="22"/>
              </w:rPr>
              <w:t xml:space="preserve">to monitor trends </w:t>
            </w:r>
            <w:r w:rsidR="00166697">
              <w:rPr>
                <w:bCs/>
                <w:sz w:val="22"/>
                <w:szCs w:val="22"/>
              </w:rPr>
              <w:t xml:space="preserve">for </w:t>
            </w:r>
            <w:r w:rsidR="00166697">
              <w:rPr>
                <w:bCs/>
                <w:sz w:val="22"/>
                <w:szCs w:val="22"/>
              </w:rPr>
              <w:lastRenderedPageBreak/>
              <w:t xml:space="preserve">forest ecosystems </w:t>
            </w:r>
            <w:r w:rsidR="00803553">
              <w:rPr>
                <w:bCs/>
                <w:sz w:val="22"/>
                <w:szCs w:val="22"/>
              </w:rPr>
              <w:t xml:space="preserve">and generate the information needed for policy </w:t>
            </w:r>
            <w:r w:rsidR="00CB7646">
              <w:rPr>
                <w:bCs/>
                <w:sz w:val="22"/>
                <w:szCs w:val="22"/>
              </w:rPr>
              <w:t xml:space="preserve">measures </w:t>
            </w:r>
            <w:r w:rsidR="00803553">
              <w:rPr>
                <w:bCs/>
                <w:sz w:val="22"/>
                <w:szCs w:val="22"/>
              </w:rPr>
              <w:t xml:space="preserve">within </w:t>
            </w:r>
            <w:r w:rsidR="00166697">
              <w:rPr>
                <w:bCs/>
                <w:sz w:val="22"/>
                <w:szCs w:val="22"/>
              </w:rPr>
              <w:t>in a biodiversity framework.</w:t>
            </w:r>
            <w:r w:rsidR="00803553">
              <w:rPr>
                <w:bCs/>
                <w:sz w:val="22"/>
                <w:szCs w:val="22"/>
              </w:rPr>
              <w:t xml:space="preserve"> </w:t>
            </w:r>
            <w:r w:rsidR="002B7819">
              <w:rPr>
                <w:bCs/>
                <w:sz w:val="22"/>
                <w:szCs w:val="22"/>
              </w:rPr>
              <w:t xml:space="preserve">The combined pressure </w:t>
            </w:r>
            <w:r w:rsidR="00CC194B">
              <w:rPr>
                <w:bCs/>
                <w:sz w:val="22"/>
                <w:szCs w:val="22"/>
              </w:rPr>
              <w:t xml:space="preserve">from deforestation, degradation, fragmentation and increasing </w:t>
            </w:r>
            <w:r w:rsidR="00080C1C">
              <w:rPr>
                <w:bCs/>
                <w:sz w:val="22"/>
                <w:szCs w:val="22"/>
              </w:rPr>
              <w:t>temperatures because of climate change requires special attention from the international community to the remaining tropical rainforest regions.</w:t>
            </w:r>
            <w:r w:rsidR="00B13BED">
              <w:rPr>
                <w:bCs/>
                <w:sz w:val="22"/>
                <w:szCs w:val="22"/>
              </w:rPr>
              <w:t xml:space="preserve"> </w:t>
            </w:r>
          </w:p>
          <w:p w14:paraId="518AAE37" w14:textId="184A40CC" w:rsidR="00A759C9" w:rsidRPr="00A660B0" w:rsidRDefault="00A759C9" w:rsidP="00FB02F5">
            <w:pPr>
              <w:rPr>
                <w:bCs/>
                <w:sz w:val="22"/>
                <w:szCs w:val="22"/>
              </w:rPr>
            </w:pPr>
          </w:p>
        </w:tc>
      </w:tr>
      <w:tr w:rsidR="004F0B61" w:rsidRPr="000C0B6C" w14:paraId="3FD4835E" w14:textId="77777777" w:rsidTr="00796A1A">
        <w:trPr>
          <w:trHeight w:val="224"/>
        </w:trPr>
        <w:tc>
          <w:tcPr>
            <w:tcW w:w="9606" w:type="dxa"/>
            <w:gridSpan w:val="6"/>
          </w:tcPr>
          <w:p w14:paraId="112F376B" w14:textId="77777777" w:rsidR="00FB02F5" w:rsidRDefault="00FB02F5" w:rsidP="00FB02F5">
            <w:pPr>
              <w:rPr>
                <w:bCs/>
                <w:sz w:val="22"/>
                <w:szCs w:val="22"/>
              </w:rPr>
            </w:pPr>
            <w:r>
              <w:rPr>
                <w:bCs/>
                <w:sz w:val="22"/>
                <w:szCs w:val="22"/>
              </w:rPr>
              <w:lastRenderedPageBreak/>
              <w:t xml:space="preserve">2. </w:t>
            </w:r>
            <w:r w:rsidRPr="00D54224">
              <w:rPr>
                <w:b/>
                <w:sz w:val="22"/>
                <w:szCs w:val="22"/>
              </w:rPr>
              <w:t>The important role of indigenous peoples and local communities</w:t>
            </w:r>
            <w:r>
              <w:rPr>
                <w:bCs/>
                <w:sz w:val="22"/>
                <w:szCs w:val="22"/>
              </w:rPr>
              <w:t xml:space="preserve"> in protection and sustainable use of biodiversity is almost invisible in the goals/targets/monitoring framework. We believe that for the framework to be effective, it is necessary that knowledge generated on global level reflect local realities, approaches and solutions. Neither in the conservation goal a or the sustainable use/benefit to people goal B is the key role of IPLCs for protection of biodiversity reflected. The contributions of IPLCs to biodiversity conservation, the human rights of IPLCs to maintaining their livelihood and culture in their traditional areas and the need for the international community to intensify actions to stop the increasing violence and threats against indigenous and environmental human rights defenders should be explicit in this framework.   </w:t>
            </w:r>
          </w:p>
          <w:p w14:paraId="5B6DC3A2" w14:textId="75EC56CC" w:rsidR="00FB02F5" w:rsidRDefault="00FB02F5" w:rsidP="00FB02F5">
            <w:pPr>
              <w:rPr>
                <w:bCs/>
                <w:sz w:val="22"/>
                <w:szCs w:val="22"/>
              </w:rPr>
            </w:pPr>
            <w:r>
              <w:rPr>
                <w:bCs/>
                <w:sz w:val="22"/>
                <w:szCs w:val="22"/>
              </w:rPr>
              <w:t>Compared to earlier drafts the emphasis on the role of local and indigenous knowledge seems to be weakened. The importance of local and indigenous knowledge in the protection and sustainable use of biodiversity should be made more explicit in the draft.</w:t>
            </w:r>
          </w:p>
          <w:p w14:paraId="06CAC11B" w14:textId="3E774577" w:rsidR="00970DEE" w:rsidRDefault="00970DEE" w:rsidP="00FB02F5">
            <w:pPr>
              <w:rPr>
                <w:bCs/>
                <w:sz w:val="22"/>
                <w:szCs w:val="22"/>
              </w:rPr>
            </w:pPr>
            <w:r>
              <w:rPr>
                <w:bCs/>
                <w:sz w:val="22"/>
                <w:szCs w:val="22"/>
              </w:rPr>
              <w:t>In a post 2020</w:t>
            </w:r>
            <w:r w:rsidR="00FE3166">
              <w:rPr>
                <w:bCs/>
                <w:sz w:val="22"/>
                <w:szCs w:val="22"/>
              </w:rPr>
              <w:t xml:space="preserve">-framework, the NBSAPS (or similar </w:t>
            </w:r>
            <w:r w:rsidR="005F5B6C">
              <w:rPr>
                <w:bCs/>
                <w:sz w:val="22"/>
                <w:szCs w:val="22"/>
              </w:rPr>
              <w:t>national strategies) should be align with the global framework an</w:t>
            </w:r>
            <w:r w:rsidR="00E21B28">
              <w:rPr>
                <w:bCs/>
                <w:sz w:val="22"/>
                <w:szCs w:val="22"/>
              </w:rPr>
              <w:t>d structured around some</w:t>
            </w:r>
            <w:r w:rsidR="00626067">
              <w:rPr>
                <w:bCs/>
                <w:sz w:val="22"/>
                <w:szCs w:val="22"/>
              </w:rPr>
              <w:t xml:space="preserve"> common monitoring and reporting topics and tools. This underscores the </w:t>
            </w:r>
            <w:r w:rsidR="00296B02">
              <w:rPr>
                <w:bCs/>
                <w:sz w:val="22"/>
                <w:szCs w:val="22"/>
              </w:rPr>
              <w:t xml:space="preserve">importance of a global framework where </w:t>
            </w:r>
            <w:r w:rsidR="00022161">
              <w:rPr>
                <w:bCs/>
                <w:sz w:val="22"/>
                <w:szCs w:val="22"/>
              </w:rPr>
              <w:t>the role</w:t>
            </w:r>
            <w:r w:rsidR="009D7894">
              <w:rPr>
                <w:bCs/>
                <w:sz w:val="22"/>
                <w:szCs w:val="22"/>
              </w:rPr>
              <w:t>s</w:t>
            </w:r>
            <w:r w:rsidR="00022161">
              <w:rPr>
                <w:bCs/>
                <w:sz w:val="22"/>
                <w:szCs w:val="22"/>
              </w:rPr>
              <w:t xml:space="preserve"> of IPLCs </w:t>
            </w:r>
            <w:r w:rsidR="009D7894">
              <w:rPr>
                <w:bCs/>
                <w:sz w:val="22"/>
                <w:szCs w:val="22"/>
              </w:rPr>
              <w:t xml:space="preserve">are </w:t>
            </w:r>
            <w:r w:rsidR="00022161">
              <w:rPr>
                <w:bCs/>
                <w:sz w:val="22"/>
                <w:szCs w:val="22"/>
              </w:rPr>
              <w:t>reflected</w:t>
            </w:r>
            <w:r w:rsidR="009D7894">
              <w:rPr>
                <w:bCs/>
                <w:sz w:val="22"/>
                <w:szCs w:val="22"/>
              </w:rPr>
              <w:t>; a GBF without emphasis on IPLCs role will be an incentive for national strategies to overlook IPL</w:t>
            </w:r>
            <w:r w:rsidR="000D768F">
              <w:rPr>
                <w:bCs/>
                <w:sz w:val="22"/>
                <w:szCs w:val="22"/>
              </w:rPr>
              <w:t>Cs role, rights and contributions, while a GBF reflect</w:t>
            </w:r>
            <w:r w:rsidR="00B415D1">
              <w:rPr>
                <w:bCs/>
                <w:sz w:val="22"/>
                <w:szCs w:val="22"/>
              </w:rPr>
              <w:t xml:space="preserve">ing IPLCs role </w:t>
            </w:r>
            <w:r w:rsidR="003F747A">
              <w:rPr>
                <w:bCs/>
                <w:sz w:val="22"/>
                <w:szCs w:val="22"/>
              </w:rPr>
              <w:t xml:space="preserve">may </w:t>
            </w:r>
            <w:r w:rsidR="00B415D1">
              <w:rPr>
                <w:bCs/>
                <w:sz w:val="22"/>
                <w:szCs w:val="22"/>
              </w:rPr>
              <w:t xml:space="preserve">incentivize national government to </w:t>
            </w:r>
            <w:r w:rsidR="003F747A">
              <w:rPr>
                <w:bCs/>
                <w:sz w:val="22"/>
                <w:szCs w:val="22"/>
              </w:rPr>
              <w:t xml:space="preserve">stronger emphasis on IPLC in biodiversity </w:t>
            </w:r>
            <w:r w:rsidR="00A11DB5">
              <w:rPr>
                <w:bCs/>
                <w:sz w:val="22"/>
                <w:szCs w:val="22"/>
              </w:rPr>
              <w:t xml:space="preserve">protection and management. </w:t>
            </w:r>
            <w:r w:rsidR="00022161">
              <w:rPr>
                <w:bCs/>
                <w:sz w:val="22"/>
                <w:szCs w:val="22"/>
              </w:rPr>
              <w:t xml:space="preserve"> </w:t>
            </w:r>
            <w:r w:rsidR="00E21B28">
              <w:rPr>
                <w:bCs/>
                <w:sz w:val="22"/>
                <w:szCs w:val="22"/>
              </w:rPr>
              <w:t xml:space="preserve"> </w:t>
            </w:r>
          </w:p>
          <w:p w14:paraId="4DF15EF4" w14:textId="732A7576" w:rsidR="004F0B61" w:rsidRPr="00A660B0" w:rsidRDefault="004F0B61" w:rsidP="00690111">
            <w:pPr>
              <w:rPr>
                <w:bCs/>
                <w:sz w:val="22"/>
                <w:szCs w:val="22"/>
              </w:rPr>
            </w:pPr>
          </w:p>
        </w:tc>
      </w:tr>
      <w:tr w:rsidR="004F0B61" w:rsidRPr="000C0B6C" w14:paraId="33076995" w14:textId="77777777" w:rsidTr="00796A1A">
        <w:trPr>
          <w:trHeight w:val="224"/>
        </w:trPr>
        <w:tc>
          <w:tcPr>
            <w:tcW w:w="9606" w:type="dxa"/>
            <w:gridSpan w:val="6"/>
          </w:tcPr>
          <w:p w14:paraId="2501CD6C" w14:textId="00B0B117" w:rsidR="00FB02F5" w:rsidRDefault="00FB02F5" w:rsidP="00FB02F5">
            <w:pPr>
              <w:rPr>
                <w:bCs/>
                <w:sz w:val="22"/>
                <w:szCs w:val="22"/>
              </w:rPr>
            </w:pPr>
            <w:r>
              <w:rPr>
                <w:bCs/>
                <w:sz w:val="22"/>
                <w:szCs w:val="22"/>
              </w:rPr>
              <w:t xml:space="preserve">3. </w:t>
            </w:r>
            <w:r w:rsidRPr="00D54224">
              <w:rPr>
                <w:b/>
                <w:sz w:val="22"/>
                <w:szCs w:val="22"/>
              </w:rPr>
              <w:t>Drivers of deforestation and biodiversity loss</w:t>
            </w:r>
            <w:r>
              <w:rPr>
                <w:bCs/>
                <w:sz w:val="22"/>
                <w:szCs w:val="22"/>
              </w:rPr>
              <w:t xml:space="preserve"> is invisible in the goals section (table 1) and has a very limited space in the target section (table 2). We will not be able to halt biodiversity loss without explicit, targeted efforts to change the driving forces behind loss of biodiversity. Land degradation, including deforestation and conversion of natural ecosystems drives loss of biodiversity, and there is a huge variation in business practices within the sectors with the larges footprints on biodiversity. Change of public policies driving deforestation may to some extent ne covered under target 13 and 14, but the draft framework lacks incentives for better monitoring and practices of the major sectors driving biodiversity loss. It also lacks incentives to mobilize potential positive contribution by private sector, investment strategies and supply chain management (the formulations in target 14 are weak and general). How to tackle drivers of deforestation, including private sector drivers and both domestic and international industry and financial actors, must be specified in the GBF for it to be relevant and effective. </w:t>
            </w:r>
          </w:p>
          <w:p w14:paraId="15865E14" w14:textId="1B407A41" w:rsidR="00A11DB5" w:rsidRDefault="00A11DB5" w:rsidP="00FB02F5">
            <w:pPr>
              <w:rPr>
                <w:bCs/>
                <w:sz w:val="22"/>
                <w:szCs w:val="22"/>
              </w:rPr>
            </w:pPr>
            <w:r>
              <w:rPr>
                <w:bCs/>
                <w:sz w:val="22"/>
                <w:szCs w:val="22"/>
              </w:rPr>
              <w:t xml:space="preserve">The </w:t>
            </w:r>
            <w:r w:rsidR="000E3797">
              <w:rPr>
                <w:bCs/>
                <w:sz w:val="22"/>
                <w:szCs w:val="22"/>
              </w:rPr>
              <w:t>goals, componen</w:t>
            </w:r>
            <w:r w:rsidR="00D42725">
              <w:rPr>
                <w:bCs/>
                <w:sz w:val="22"/>
                <w:szCs w:val="22"/>
              </w:rPr>
              <w:t>ts</w:t>
            </w:r>
            <w:r w:rsidR="000E3797">
              <w:rPr>
                <w:bCs/>
                <w:sz w:val="22"/>
                <w:szCs w:val="22"/>
              </w:rPr>
              <w:t xml:space="preserve"> and indicators on drivers of biodiversity loss </w:t>
            </w:r>
            <w:r w:rsidR="00D42725">
              <w:rPr>
                <w:bCs/>
                <w:sz w:val="22"/>
                <w:szCs w:val="22"/>
              </w:rPr>
              <w:t xml:space="preserve">in the GBF </w:t>
            </w:r>
            <w:r w:rsidR="000E3797">
              <w:rPr>
                <w:bCs/>
                <w:sz w:val="22"/>
                <w:szCs w:val="22"/>
              </w:rPr>
              <w:t>should be formulated in a way wh</w:t>
            </w:r>
            <w:r w:rsidR="00D42725">
              <w:rPr>
                <w:bCs/>
                <w:sz w:val="22"/>
                <w:szCs w:val="22"/>
              </w:rPr>
              <w:t xml:space="preserve">ich </w:t>
            </w:r>
            <w:r w:rsidR="00297E42">
              <w:rPr>
                <w:bCs/>
                <w:sz w:val="22"/>
                <w:szCs w:val="22"/>
              </w:rPr>
              <w:t xml:space="preserve">requires/incentivize reporting on drivers in national </w:t>
            </w:r>
            <w:r w:rsidR="00D54224">
              <w:rPr>
                <w:bCs/>
                <w:sz w:val="22"/>
                <w:szCs w:val="22"/>
              </w:rPr>
              <w:t xml:space="preserve">biodiversity plans and reporting (NBSAPs, national reports </w:t>
            </w:r>
            <w:proofErr w:type="spellStart"/>
            <w:r w:rsidR="00D54224">
              <w:rPr>
                <w:bCs/>
                <w:sz w:val="22"/>
                <w:szCs w:val="22"/>
              </w:rPr>
              <w:t>etc</w:t>
            </w:r>
            <w:proofErr w:type="spellEnd"/>
            <w:r w:rsidR="00D54224">
              <w:rPr>
                <w:bCs/>
                <w:sz w:val="22"/>
                <w:szCs w:val="22"/>
              </w:rPr>
              <w:t xml:space="preserve">). </w:t>
            </w:r>
            <w:r w:rsidR="000E3797">
              <w:rPr>
                <w:bCs/>
                <w:sz w:val="22"/>
                <w:szCs w:val="22"/>
              </w:rPr>
              <w:t xml:space="preserve"> </w:t>
            </w:r>
          </w:p>
          <w:p w14:paraId="56C086FD" w14:textId="73337632" w:rsidR="004F0B61" w:rsidRPr="00A660B0" w:rsidRDefault="004F0B61" w:rsidP="002923B2">
            <w:pPr>
              <w:tabs>
                <w:tab w:val="left" w:pos="7007"/>
              </w:tabs>
              <w:rPr>
                <w:bCs/>
                <w:sz w:val="22"/>
                <w:szCs w:val="22"/>
              </w:rPr>
            </w:pPr>
          </w:p>
        </w:tc>
      </w:tr>
      <w:tr w:rsidR="004F0B61" w:rsidRPr="000C0B6C" w14:paraId="0FEC868B" w14:textId="77777777" w:rsidTr="00796A1A">
        <w:trPr>
          <w:trHeight w:val="224"/>
        </w:trPr>
        <w:tc>
          <w:tcPr>
            <w:tcW w:w="9606" w:type="dxa"/>
            <w:gridSpan w:val="6"/>
          </w:tcPr>
          <w:p w14:paraId="36351AF3" w14:textId="62088E84" w:rsidR="00FB02F5" w:rsidRDefault="00FB02F5" w:rsidP="00FB02F5">
            <w:pPr>
              <w:rPr>
                <w:bCs/>
                <w:sz w:val="22"/>
                <w:szCs w:val="22"/>
              </w:rPr>
            </w:pPr>
            <w:r>
              <w:rPr>
                <w:bCs/>
                <w:sz w:val="22"/>
                <w:szCs w:val="22"/>
              </w:rPr>
              <w:t xml:space="preserve">4. </w:t>
            </w:r>
            <w:r w:rsidR="001B4C52">
              <w:rPr>
                <w:bCs/>
                <w:sz w:val="22"/>
                <w:szCs w:val="22"/>
              </w:rPr>
              <w:t>T</w:t>
            </w:r>
            <w:r w:rsidRPr="00D54224">
              <w:rPr>
                <w:b/>
                <w:sz w:val="22"/>
                <w:szCs w:val="22"/>
              </w:rPr>
              <w:t xml:space="preserve">he </w:t>
            </w:r>
            <w:r w:rsidR="001B4C52">
              <w:rPr>
                <w:b/>
                <w:sz w:val="22"/>
                <w:szCs w:val="22"/>
              </w:rPr>
              <w:t xml:space="preserve">current post 2020 </w:t>
            </w:r>
            <w:r w:rsidR="00B40E6C">
              <w:rPr>
                <w:b/>
                <w:sz w:val="22"/>
                <w:szCs w:val="22"/>
              </w:rPr>
              <w:t>preparat</w:t>
            </w:r>
            <w:r w:rsidR="001B4C52">
              <w:rPr>
                <w:b/>
                <w:sz w:val="22"/>
                <w:szCs w:val="22"/>
              </w:rPr>
              <w:t>i</w:t>
            </w:r>
            <w:r w:rsidR="00B40E6C">
              <w:rPr>
                <w:b/>
                <w:sz w:val="22"/>
                <w:szCs w:val="22"/>
              </w:rPr>
              <w:t xml:space="preserve">on </w:t>
            </w:r>
            <w:r w:rsidR="001B4C52">
              <w:rPr>
                <w:b/>
                <w:sz w:val="22"/>
                <w:szCs w:val="22"/>
              </w:rPr>
              <w:t xml:space="preserve">and </w:t>
            </w:r>
            <w:r w:rsidRPr="00D54224">
              <w:rPr>
                <w:b/>
                <w:sz w:val="22"/>
                <w:szCs w:val="22"/>
              </w:rPr>
              <w:t xml:space="preserve">review process: </w:t>
            </w:r>
            <w:r>
              <w:rPr>
                <w:bCs/>
                <w:sz w:val="22"/>
                <w:szCs w:val="22"/>
              </w:rPr>
              <w:t xml:space="preserve">RFN acknowledge the efforts to include a broad range of actors in in the preparation of the post 2020 GBF, despite the difficult circumstances created by CIVID19, including webinars for various interest-groups. However, there has been serious shortcomings especially regarding the availability of documents in other languages than English, making the process less accessible for many indigenous and local organizations. These organizations represent people who are among the most affected by the biodiversity crisis, have valuable knowledge of biodiversity and management strategies and established international rights in decision making processed affecting their traditional lands. In the seven main rainforest countries where RFN work in partnership with indigenous and local organizations, we see how the pandemic has hit indigenous peoples extremely hard, taking all the capacity of social movements and NGOs. </w:t>
            </w:r>
            <w:proofErr w:type="gramStart"/>
            <w:r>
              <w:rPr>
                <w:bCs/>
                <w:sz w:val="22"/>
                <w:szCs w:val="22"/>
              </w:rPr>
              <w:t>In light of</w:t>
            </w:r>
            <w:proofErr w:type="gramEnd"/>
            <w:r>
              <w:rPr>
                <w:bCs/>
                <w:sz w:val="22"/>
                <w:szCs w:val="22"/>
              </w:rPr>
              <w:t xml:space="preserve"> the language- and access problems, and the severe situation in among many indigenous groups due to COVID, the SBSTTA&amp;SBI meetings should consider additional measures to ensure the necessary input from IPLCs to the GBF. To be effective, the GBF needs to be relevant to the local communities living in and depending on the ecosystems in question, and the current process has not enabled the necessary broad IPLC input. </w:t>
            </w:r>
          </w:p>
          <w:p w14:paraId="3E6A5285" w14:textId="5CAFE8F9" w:rsidR="004F0B61" w:rsidRPr="00A660B0" w:rsidRDefault="004F0B61" w:rsidP="00690111">
            <w:pPr>
              <w:rPr>
                <w:bCs/>
                <w:sz w:val="22"/>
                <w:szCs w:val="22"/>
              </w:rPr>
            </w:pPr>
          </w:p>
        </w:tc>
      </w:tr>
      <w:tr w:rsidR="004F0B61" w:rsidRPr="000C0B6C" w14:paraId="0DB0B93B" w14:textId="77777777" w:rsidTr="00796A1A">
        <w:trPr>
          <w:trHeight w:val="224"/>
        </w:trPr>
        <w:tc>
          <w:tcPr>
            <w:tcW w:w="9606" w:type="dxa"/>
            <w:gridSpan w:val="6"/>
          </w:tcPr>
          <w:p w14:paraId="64E170C2" w14:textId="77777777" w:rsidR="00FB02F5" w:rsidRPr="004225B0" w:rsidRDefault="00FB02F5" w:rsidP="00FB02F5">
            <w:pPr>
              <w:rPr>
                <w:bCs/>
                <w:sz w:val="22"/>
                <w:szCs w:val="22"/>
              </w:rPr>
            </w:pPr>
            <w:r w:rsidRPr="004225B0">
              <w:rPr>
                <w:bCs/>
                <w:sz w:val="22"/>
                <w:szCs w:val="22"/>
              </w:rPr>
              <w:lastRenderedPageBreak/>
              <w:t xml:space="preserve">5. </w:t>
            </w:r>
            <w:r w:rsidRPr="004225B0">
              <w:rPr>
                <w:b/>
                <w:sz w:val="22"/>
                <w:szCs w:val="22"/>
              </w:rPr>
              <w:t xml:space="preserve">The review-process for this monitoring document:  </w:t>
            </w:r>
            <w:r w:rsidRPr="004225B0">
              <w:rPr>
                <w:b/>
                <w:sz w:val="22"/>
                <w:szCs w:val="22"/>
              </w:rPr>
              <w:br/>
            </w:r>
            <w:r w:rsidRPr="004225B0">
              <w:rPr>
                <w:bCs/>
                <w:sz w:val="22"/>
                <w:szCs w:val="22"/>
              </w:rPr>
              <w:t xml:space="preserve">While we appreciate the opportunity to review the document at this stage, and that goals and targets should be discussed at OEWG3, the draft nature of the goals/targets creates limitations to the possibility to give relevant input on monitoring elements and indicators. Monitoring elements and many indicators/ indicator data sources will have to be revised as the goals are revised. Goal B and its components (as well as related targets relevant for “benefits to people from biodiversity”) is a particularly problematic part. The goal and components need to be revised in order to reflect the ambition to uphold natures capacity and ability to provide regulatory, material and other services to people, not the benefit at resource use as such. The development aspect of biodiversity management is key to efficient conservation policies, but the goal formulation does not incentivize sustainable management. </w:t>
            </w:r>
            <w:r w:rsidRPr="004225B0">
              <w:rPr>
                <w:bCs/>
                <w:sz w:val="22"/>
                <w:szCs w:val="22"/>
              </w:rPr>
              <w:br/>
              <w:t xml:space="preserve">The strong interconnection between biodiversity and climate, and the importance of halting land degradation and conversion in order to uphold natures capacity to deliver ecosystem services to people, must be clearly formulated in goal B. The extremely important role of nature for disaster risk reduction, and the need to work closely with the humanitarian sector should be explicit, and the reference to the Sendai framework included (ref earlier GFB drafts). We will also emphasize that goals and targets do not need to be formulated as a in order to be SMART or measurable. Conclusion: The possibility of formulating the monitoring elements and indicators for B is limited, and </w:t>
            </w:r>
            <w:proofErr w:type="gramStart"/>
            <w:r w:rsidRPr="004225B0">
              <w:rPr>
                <w:bCs/>
                <w:sz w:val="22"/>
                <w:szCs w:val="22"/>
              </w:rPr>
              <w:t>particular effort</w:t>
            </w:r>
            <w:proofErr w:type="gramEnd"/>
            <w:r w:rsidRPr="004225B0">
              <w:rPr>
                <w:bCs/>
                <w:sz w:val="22"/>
                <w:szCs w:val="22"/>
              </w:rPr>
              <w:t xml:space="preserve"> should be made by SBI /SBSSTA to suggest possible improvements to be reviewed by OEWG3 and preparatory processes. </w:t>
            </w:r>
          </w:p>
          <w:p w14:paraId="7FF24E3F" w14:textId="77777777" w:rsidR="004F0B61" w:rsidRPr="004225B0" w:rsidRDefault="004F0B61" w:rsidP="00690111">
            <w:pPr>
              <w:rPr>
                <w:bCs/>
                <w:sz w:val="22"/>
                <w:szCs w:val="22"/>
              </w:rPr>
            </w:pPr>
          </w:p>
        </w:tc>
      </w:tr>
      <w:tr w:rsidR="004F0B61" w:rsidRPr="000C0B6C" w14:paraId="407E169E" w14:textId="77777777" w:rsidTr="00796A1A">
        <w:trPr>
          <w:trHeight w:val="224"/>
        </w:trPr>
        <w:tc>
          <w:tcPr>
            <w:tcW w:w="9606" w:type="dxa"/>
            <w:gridSpan w:val="6"/>
          </w:tcPr>
          <w:p w14:paraId="5C86F551" w14:textId="77777777" w:rsidR="004F0B61" w:rsidRPr="004225B0" w:rsidRDefault="004F0B61" w:rsidP="00690111">
            <w:pPr>
              <w:rPr>
                <w:b/>
                <w:sz w:val="22"/>
                <w:szCs w:val="22"/>
              </w:rPr>
            </w:pPr>
          </w:p>
        </w:tc>
      </w:tr>
      <w:tr w:rsidR="004F0B61" w:rsidRPr="000C0B6C" w14:paraId="5B64C97C" w14:textId="77777777" w:rsidTr="00796A1A">
        <w:trPr>
          <w:trHeight w:val="224"/>
        </w:trPr>
        <w:tc>
          <w:tcPr>
            <w:tcW w:w="9606" w:type="dxa"/>
            <w:gridSpan w:val="6"/>
            <w:shd w:val="clear" w:color="auto" w:fill="C0C0C0"/>
          </w:tcPr>
          <w:p w14:paraId="56A38CFE" w14:textId="77777777" w:rsidR="004F0B61" w:rsidRPr="004225B0" w:rsidRDefault="004F0B61" w:rsidP="00796A1A">
            <w:pPr>
              <w:jc w:val="center"/>
              <w:rPr>
                <w:b/>
                <w:i/>
              </w:rPr>
            </w:pPr>
            <w:r w:rsidRPr="004225B0">
              <w:rPr>
                <w:b/>
                <w:i/>
              </w:rPr>
              <w:t>Specific Comments</w:t>
            </w:r>
          </w:p>
        </w:tc>
      </w:tr>
      <w:tr w:rsidR="005D2E65" w:rsidRPr="000C0B6C" w14:paraId="2558B81B" w14:textId="77777777" w:rsidTr="00DC686F">
        <w:trPr>
          <w:trHeight w:val="224"/>
        </w:trPr>
        <w:tc>
          <w:tcPr>
            <w:tcW w:w="1296" w:type="dxa"/>
          </w:tcPr>
          <w:p w14:paraId="44927263" w14:textId="77777777" w:rsidR="005D2E65" w:rsidRPr="00250B49" w:rsidRDefault="005D2E65" w:rsidP="00690111">
            <w:pPr>
              <w:rPr>
                <w:b/>
                <w:sz w:val="22"/>
                <w:szCs w:val="22"/>
                <w:highlight w:val="yellow"/>
              </w:rPr>
            </w:pPr>
            <w:r w:rsidRPr="00250B49">
              <w:rPr>
                <w:b/>
                <w:sz w:val="22"/>
                <w:szCs w:val="22"/>
                <w:highlight w:val="yellow"/>
              </w:rPr>
              <w:t>Table</w:t>
            </w:r>
          </w:p>
        </w:tc>
        <w:tc>
          <w:tcPr>
            <w:tcW w:w="972" w:type="dxa"/>
          </w:tcPr>
          <w:p w14:paraId="413B1FB9" w14:textId="77777777" w:rsidR="005D2E65" w:rsidRPr="00250B49" w:rsidRDefault="005D2E65" w:rsidP="00690111">
            <w:pPr>
              <w:rPr>
                <w:b/>
                <w:sz w:val="22"/>
                <w:szCs w:val="22"/>
                <w:highlight w:val="yellow"/>
              </w:rPr>
            </w:pPr>
            <w:r w:rsidRPr="00250B49">
              <w:rPr>
                <w:b/>
                <w:sz w:val="22"/>
                <w:szCs w:val="22"/>
                <w:highlight w:val="yellow"/>
              </w:rPr>
              <w:t>Page</w:t>
            </w:r>
          </w:p>
        </w:tc>
        <w:tc>
          <w:tcPr>
            <w:tcW w:w="1374" w:type="dxa"/>
          </w:tcPr>
          <w:p w14:paraId="143CDB4B" w14:textId="77777777" w:rsidR="005D2E65" w:rsidRPr="00250B49" w:rsidRDefault="005D2E65" w:rsidP="00690111">
            <w:pPr>
              <w:rPr>
                <w:b/>
                <w:highlight w:val="yellow"/>
              </w:rPr>
            </w:pPr>
            <w:r w:rsidRPr="00250B49">
              <w:rPr>
                <w:b/>
                <w:sz w:val="22"/>
                <w:szCs w:val="22"/>
                <w:highlight w:val="yellow"/>
              </w:rPr>
              <w:t>Column letter</w:t>
            </w:r>
          </w:p>
        </w:tc>
        <w:tc>
          <w:tcPr>
            <w:tcW w:w="1216" w:type="dxa"/>
            <w:gridSpan w:val="2"/>
          </w:tcPr>
          <w:p w14:paraId="7DB592FA" w14:textId="77777777" w:rsidR="005D2E65" w:rsidRPr="004225B0" w:rsidRDefault="005D2E65" w:rsidP="00211568">
            <w:pPr>
              <w:rPr>
                <w:b/>
              </w:rPr>
            </w:pPr>
            <w:r w:rsidRPr="004225B0">
              <w:rPr>
                <w:b/>
              </w:rPr>
              <w:t>Row number</w:t>
            </w:r>
          </w:p>
        </w:tc>
        <w:tc>
          <w:tcPr>
            <w:tcW w:w="4748" w:type="dxa"/>
          </w:tcPr>
          <w:p w14:paraId="39D46CA5" w14:textId="77777777" w:rsidR="005D2E65" w:rsidRPr="000C0B6C" w:rsidRDefault="005D2E65" w:rsidP="00690111">
            <w:pPr>
              <w:rPr>
                <w:b/>
              </w:rPr>
            </w:pPr>
            <w:r w:rsidRPr="000C0B6C">
              <w:rPr>
                <w:b/>
                <w:sz w:val="22"/>
                <w:szCs w:val="22"/>
              </w:rPr>
              <w:t>Comment</w:t>
            </w:r>
          </w:p>
        </w:tc>
      </w:tr>
      <w:tr w:rsidR="005D2E65" w:rsidRPr="000C0B6C" w14:paraId="5F9CB8F8" w14:textId="77777777" w:rsidTr="00DC686F">
        <w:trPr>
          <w:trHeight w:val="224"/>
        </w:trPr>
        <w:tc>
          <w:tcPr>
            <w:tcW w:w="1296" w:type="dxa"/>
          </w:tcPr>
          <w:p w14:paraId="579BA632" w14:textId="77777777" w:rsidR="005D2E65" w:rsidRPr="00927464" w:rsidRDefault="005D2E65" w:rsidP="00690111">
            <w:pPr>
              <w:rPr>
                <w:sz w:val="22"/>
                <w:szCs w:val="22"/>
              </w:rPr>
            </w:pPr>
            <w:r w:rsidRPr="00927464">
              <w:rPr>
                <w:sz w:val="22"/>
                <w:szCs w:val="22"/>
              </w:rPr>
              <w:t>1</w:t>
            </w:r>
          </w:p>
        </w:tc>
        <w:tc>
          <w:tcPr>
            <w:tcW w:w="972" w:type="dxa"/>
          </w:tcPr>
          <w:p w14:paraId="0943A376" w14:textId="4F7DB8AB" w:rsidR="005D2E65" w:rsidRPr="00927464" w:rsidRDefault="00435FD5" w:rsidP="00690111">
            <w:pPr>
              <w:rPr>
                <w:sz w:val="22"/>
                <w:szCs w:val="22"/>
              </w:rPr>
            </w:pPr>
            <w:r w:rsidRPr="00927464">
              <w:rPr>
                <w:sz w:val="22"/>
                <w:szCs w:val="22"/>
              </w:rPr>
              <w:t>2</w:t>
            </w:r>
          </w:p>
        </w:tc>
        <w:tc>
          <w:tcPr>
            <w:tcW w:w="1374" w:type="dxa"/>
          </w:tcPr>
          <w:p w14:paraId="02E28A70" w14:textId="77777777" w:rsidR="005D2E65" w:rsidRPr="00927464" w:rsidRDefault="005D2E65" w:rsidP="00690111">
            <w:r w:rsidRPr="00927464">
              <w:rPr>
                <w:sz w:val="22"/>
                <w:szCs w:val="22"/>
              </w:rPr>
              <w:t>A</w:t>
            </w:r>
          </w:p>
        </w:tc>
        <w:tc>
          <w:tcPr>
            <w:tcW w:w="1216" w:type="dxa"/>
            <w:gridSpan w:val="2"/>
          </w:tcPr>
          <w:p w14:paraId="47E59060" w14:textId="41F5B9F3" w:rsidR="005D2E65" w:rsidRPr="00927464" w:rsidRDefault="00685866" w:rsidP="00690111">
            <w:r w:rsidRPr="00927464">
              <w:t>1-14</w:t>
            </w:r>
          </w:p>
        </w:tc>
        <w:tc>
          <w:tcPr>
            <w:tcW w:w="4748" w:type="dxa"/>
          </w:tcPr>
          <w:p w14:paraId="693CFCA4" w14:textId="0820D069" w:rsidR="00990A12" w:rsidRDefault="00FA6061" w:rsidP="00D15428">
            <w:r>
              <w:t xml:space="preserve">Components A1 and A2: We </w:t>
            </w:r>
            <w:r w:rsidR="007E12CB">
              <w:t xml:space="preserve">strongly </w:t>
            </w:r>
            <w:r w:rsidR="00584D7E">
              <w:t xml:space="preserve">support </w:t>
            </w:r>
            <w:r w:rsidR="009B190D">
              <w:t xml:space="preserve">a goal on natural ecosystems which includes </w:t>
            </w:r>
            <w:r w:rsidR="00F44564">
              <w:t>extent, integrity and connectivity as components</w:t>
            </w:r>
            <w:r w:rsidR="00D52147">
              <w:t>.</w:t>
            </w:r>
            <w:r w:rsidR="009A5D16">
              <w:t xml:space="preserve"> </w:t>
            </w:r>
            <w:r w:rsidR="009B190D">
              <w:br/>
            </w:r>
            <w:r w:rsidR="003E7441">
              <w:t xml:space="preserve">However, </w:t>
            </w:r>
            <w:r w:rsidR="005D0361">
              <w:t xml:space="preserve">we fear that </w:t>
            </w:r>
            <w:r w:rsidR="009C79A6">
              <w:t>separati</w:t>
            </w:r>
            <w:r w:rsidR="00F32836">
              <w:t xml:space="preserve">ng </w:t>
            </w:r>
            <w:r w:rsidR="00E100FD">
              <w:t>“</w:t>
            </w:r>
            <w:r w:rsidR="00F32836">
              <w:t>extent</w:t>
            </w:r>
            <w:r w:rsidR="00E100FD">
              <w:t>”</w:t>
            </w:r>
            <w:r w:rsidR="00F32836">
              <w:t xml:space="preserve"> </w:t>
            </w:r>
            <w:r w:rsidR="00E100FD">
              <w:t>(</w:t>
            </w:r>
            <w:r w:rsidR="009C79A6">
              <w:t>A1</w:t>
            </w:r>
            <w:r w:rsidR="00E100FD">
              <w:t>)</w:t>
            </w:r>
            <w:r w:rsidR="009C79A6">
              <w:t xml:space="preserve"> </w:t>
            </w:r>
            <w:r w:rsidR="00F32836">
              <w:t xml:space="preserve">with </w:t>
            </w:r>
            <w:r w:rsidR="00A73398">
              <w:t xml:space="preserve">the proposed indicators, and </w:t>
            </w:r>
            <w:r w:rsidR="00CC0B46">
              <w:t xml:space="preserve">combining “integrity” and </w:t>
            </w:r>
            <w:r w:rsidR="005D0361">
              <w:t>“</w:t>
            </w:r>
            <w:r w:rsidR="00CC0B46">
              <w:t>connectivity</w:t>
            </w:r>
            <w:r w:rsidR="005D0361">
              <w:t>” (</w:t>
            </w:r>
            <w:r w:rsidR="009C79A6">
              <w:t>A2</w:t>
            </w:r>
            <w:r w:rsidR="005D0361">
              <w:t>)</w:t>
            </w:r>
            <w:r w:rsidR="00DC4BBC">
              <w:t xml:space="preserve">, </w:t>
            </w:r>
            <w:r w:rsidR="00990A12">
              <w:t xml:space="preserve">may lead to </w:t>
            </w:r>
            <w:r w:rsidR="00E96A88">
              <w:t xml:space="preserve">bias towards “extent of forest“ </w:t>
            </w:r>
            <w:r w:rsidR="00876FC5">
              <w:t xml:space="preserve">and lack of focus on the </w:t>
            </w:r>
            <w:r w:rsidR="00D659F0">
              <w:t xml:space="preserve">quality of the forest ecosystems, their diversity and their </w:t>
            </w:r>
            <w:r w:rsidR="00891EF4">
              <w:t xml:space="preserve">resilience and ability to </w:t>
            </w:r>
            <w:r w:rsidR="00364F05">
              <w:t xml:space="preserve">provide long term ecosystems services. </w:t>
            </w:r>
          </w:p>
          <w:p w14:paraId="54677662" w14:textId="77777777" w:rsidR="005D0326" w:rsidRDefault="005D0326" w:rsidP="00D15428"/>
          <w:p w14:paraId="0DFED0B9" w14:textId="072FEB6D" w:rsidR="00D15428" w:rsidRDefault="00D15428" w:rsidP="00D15428">
            <w:r>
              <w:t xml:space="preserve">Ecosystem integrity and connectivity are </w:t>
            </w:r>
            <w:r w:rsidR="002045AD">
              <w:t>not always related, a</w:t>
            </w:r>
            <w:r w:rsidR="0063710B">
              <w:t xml:space="preserve">nd the two concepts should </w:t>
            </w:r>
            <w:r w:rsidR="00307EB7">
              <w:t>b</w:t>
            </w:r>
            <w:r w:rsidR="0063710B">
              <w:t xml:space="preserve">e </w:t>
            </w:r>
            <w:r w:rsidR="00104D23">
              <w:t>s</w:t>
            </w:r>
            <w:r>
              <w:t xml:space="preserve">eparated </w:t>
            </w:r>
            <w:r w:rsidR="00307EB7">
              <w:t>in order to</w:t>
            </w:r>
            <w:r w:rsidR="00104D23">
              <w:t xml:space="preserve"> </w:t>
            </w:r>
            <w:r w:rsidR="003A4755">
              <w:t xml:space="preserve">link </w:t>
            </w:r>
            <w:r w:rsidR="00104D23">
              <w:t xml:space="preserve">the relevant monitoring indicators. </w:t>
            </w:r>
          </w:p>
          <w:p w14:paraId="4CE09ABA" w14:textId="12E27BF1" w:rsidR="005D2E65" w:rsidRPr="000C0B6C" w:rsidRDefault="005D2E65" w:rsidP="00D15428"/>
        </w:tc>
      </w:tr>
      <w:tr w:rsidR="005D2E65" w:rsidRPr="000C0B6C" w14:paraId="7AE45B58" w14:textId="77777777" w:rsidTr="00DC686F">
        <w:trPr>
          <w:trHeight w:val="233"/>
        </w:trPr>
        <w:tc>
          <w:tcPr>
            <w:tcW w:w="1296" w:type="dxa"/>
          </w:tcPr>
          <w:p w14:paraId="1A70F569" w14:textId="4470D132" w:rsidR="005D2E65" w:rsidRPr="00927464" w:rsidRDefault="00F17F77" w:rsidP="005D2E65">
            <w:r w:rsidRPr="00927464">
              <w:t>1</w:t>
            </w:r>
          </w:p>
        </w:tc>
        <w:tc>
          <w:tcPr>
            <w:tcW w:w="972" w:type="dxa"/>
          </w:tcPr>
          <w:p w14:paraId="7A838586" w14:textId="4C75D5CE" w:rsidR="005D2E65" w:rsidRPr="00927464" w:rsidRDefault="003127C2" w:rsidP="005D2E65">
            <w:r w:rsidRPr="00927464">
              <w:t>2</w:t>
            </w:r>
          </w:p>
        </w:tc>
        <w:tc>
          <w:tcPr>
            <w:tcW w:w="1374" w:type="dxa"/>
          </w:tcPr>
          <w:p w14:paraId="22A6515B" w14:textId="7F1B115B" w:rsidR="005D2E65" w:rsidRPr="00927464" w:rsidRDefault="003127C2" w:rsidP="005D2E65">
            <w:r w:rsidRPr="00927464">
              <w:t>C</w:t>
            </w:r>
          </w:p>
        </w:tc>
        <w:tc>
          <w:tcPr>
            <w:tcW w:w="1216" w:type="dxa"/>
            <w:gridSpan w:val="2"/>
          </w:tcPr>
          <w:p w14:paraId="618BC448" w14:textId="457ED95A" w:rsidR="005D2E65" w:rsidRPr="00927464" w:rsidRDefault="00034DD7" w:rsidP="005D2E65">
            <w:r w:rsidRPr="00927464">
              <w:t>1, 2</w:t>
            </w:r>
          </w:p>
        </w:tc>
        <w:tc>
          <w:tcPr>
            <w:tcW w:w="4748" w:type="dxa"/>
          </w:tcPr>
          <w:p w14:paraId="15994A90" w14:textId="77777777" w:rsidR="002045AD" w:rsidRDefault="000975F5" w:rsidP="005D2E65">
            <w:r>
              <w:t xml:space="preserve">Comments on indicators for forest ecosystems: </w:t>
            </w:r>
          </w:p>
          <w:p w14:paraId="35F1003A" w14:textId="094C5A29" w:rsidR="00975103" w:rsidRDefault="002045AD" w:rsidP="005D2E65">
            <w:r>
              <w:t xml:space="preserve">Forest </w:t>
            </w:r>
            <w:r w:rsidR="00975103">
              <w:t xml:space="preserve">as </w:t>
            </w:r>
            <w:r w:rsidR="000C58F8">
              <w:t>proport</w:t>
            </w:r>
            <w:r w:rsidR="007727CC">
              <w:t>i</w:t>
            </w:r>
            <w:r w:rsidR="000C58F8">
              <w:t>on of land</w:t>
            </w:r>
            <w:r w:rsidR="007727CC">
              <w:t xml:space="preserve"> </w:t>
            </w:r>
            <w:r w:rsidR="000C3B0B">
              <w:t>are</w:t>
            </w:r>
            <w:r w:rsidR="006F1528">
              <w:t>a</w:t>
            </w:r>
            <w:r w:rsidR="000C3B0B">
              <w:t xml:space="preserve"> </w:t>
            </w:r>
            <w:r w:rsidR="007727CC">
              <w:t xml:space="preserve">may give a misleading </w:t>
            </w:r>
            <w:r w:rsidR="000C3B0B">
              <w:t>picture</w:t>
            </w:r>
            <w:r w:rsidR="004A5357">
              <w:t xml:space="preserve"> of the state of forest ecosystems and their biodiversity</w:t>
            </w:r>
            <w:r w:rsidR="00966098">
              <w:t xml:space="preserve">. The indicator needs to </w:t>
            </w:r>
            <w:r w:rsidR="00285C81">
              <w:t>monitor the decrease or increase in f</w:t>
            </w:r>
            <w:r w:rsidR="00126D00">
              <w:t>o</w:t>
            </w:r>
            <w:r w:rsidR="00285C81">
              <w:t xml:space="preserve">rest extent, </w:t>
            </w:r>
            <w:r w:rsidR="00966098">
              <w:t>separate natural forest from plantations/planted forest</w:t>
            </w:r>
            <w:r w:rsidR="00126D00">
              <w:t xml:space="preserve"> </w:t>
            </w:r>
            <w:r w:rsidR="00966098">
              <w:t xml:space="preserve">and </w:t>
            </w:r>
            <w:r w:rsidR="00285C81">
              <w:t xml:space="preserve">specify </w:t>
            </w:r>
            <w:r w:rsidR="00126D00">
              <w:lastRenderedPageBreak/>
              <w:t>forest biome</w:t>
            </w:r>
            <w:r w:rsidR="00285C81">
              <w:t xml:space="preserve"> (</w:t>
            </w:r>
            <w:r w:rsidR="005F3842">
              <w:t xml:space="preserve">as a minimum tropical, sub-tropical, temperate and </w:t>
            </w:r>
            <w:r w:rsidR="00D039D6">
              <w:t xml:space="preserve">boreal). </w:t>
            </w:r>
            <w:r w:rsidR="004A5357">
              <w:t xml:space="preserve"> </w:t>
            </w:r>
            <w:r w:rsidR="00D039D6">
              <w:br/>
            </w:r>
            <w:r w:rsidR="00B57705">
              <w:t xml:space="preserve">While </w:t>
            </w:r>
            <w:r w:rsidR="00CC23D0">
              <w:t>“tre</w:t>
            </w:r>
            <w:r w:rsidR="00B72360">
              <w:t>e</w:t>
            </w:r>
            <w:r w:rsidR="00CC23D0">
              <w:t xml:space="preserve"> cover loss” is relevant</w:t>
            </w:r>
            <w:r w:rsidR="000C3B0B">
              <w:t xml:space="preserve"> </w:t>
            </w:r>
            <w:r w:rsidR="00B72360">
              <w:t>and interesting on a global scale</w:t>
            </w:r>
            <w:r w:rsidR="00D039D6">
              <w:t xml:space="preserve"> is does not provide y\the necessary information to assess the </w:t>
            </w:r>
            <w:r w:rsidR="007A63F3">
              <w:t>trends of forest ecosystems/biodiversity necessary for a post 2020 framework. We need data on d</w:t>
            </w:r>
            <w:r w:rsidR="000C3EC1">
              <w:t>eforestation trends</w:t>
            </w:r>
            <w:r w:rsidR="00F843AB">
              <w:t xml:space="preserve">/forest extent as specified above, </w:t>
            </w:r>
            <w:proofErr w:type="gramStart"/>
            <w:r w:rsidR="00F843AB">
              <w:t xml:space="preserve">and </w:t>
            </w:r>
            <w:r w:rsidR="00CC0E89">
              <w:t>also</w:t>
            </w:r>
            <w:proofErr w:type="gramEnd"/>
            <w:r w:rsidR="00CC0E89">
              <w:t xml:space="preserve"> ex</w:t>
            </w:r>
            <w:r w:rsidR="00722576">
              <w:t>tent of forest restor</w:t>
            </w:r>
            <w:r w:rsidR="00982156">
              <w:t xml:space="preserve">ed based on </w:t>
            </w:r>
            <w:r w:rsidR="00B8210A">
              <w:t>dive</w:t>
            </w:r>
            <w:r w:rsidR="00982156">
              <w:t xml:space="preserve">rsity </w:t>
            </w:r>
            <w:r w:rsidR="00C97320">
              <w:t xml:space="preserve">and </w:t>
            </w:r>
            <w:r w:rsidR="00982156">
              <w:t xml:space="preserve">native species. </w:t>
            </w:r>
            <w:r w:rsidR="00722576">
              <w:t xml:space="preserve"> </w:t>
            </w:r>
            <w:r w:rsidR="00625E0C">
              <w:br/>
            </w:r>
            <w:r w:rsidR="000C3B0B">
              <w:t xml:space="preserve"> </w:t>
            </w:r>
            <w:r w:rsidR="000C58F8">
              <w:t xml:space="preserve"> </w:t>
            </w:r>
          </w:p>
          <w:p w14:paraId="49F5EF26" w14:textId="641645C1" w:rsidR="005D2E65" w:rsidRPr="000C0B6C" w:rsidRDefault="00CC0E89" w:rsidP="005D2E65">
            <w:r>
              <w:t xml:space="preserve">In </w:t>
            </w:r>
            <w:r w:rsidR="001F4C8B">
              <w:t>addition,</w:t>
            </w:r>
            <w:r>
              <w:t xml:space="preserve"> we suggest</w:t>
            </w:r>
            <w:r w:rsidR="00927464">
              <w:t xml:space="preserve"> a </w:t>
            </w:r>
            <w:proofErr w:type="gramStart"/>
            <w:r>
              <w:t>new indicator</w:t>
            </w:r>
            <w:r w:rsidR="001F4C8B">
              <w:t>s</w:t>
            </w:r>
            <w:proofErr w:type="gramEnd"/>
            <w:r>
              <w:t>:</w:t>
            </w:r>
            <w:r w:rsidR="001F4C8B">
              <w:br/>
            </w:r>
            <w:r w:rsidR="000975F5">
              <w:t>Number of countries that have halted deforestation and degradation of natural forest ecosystems.</w:t>
            </w:r>
          </w:p>
        </w:tc>
      </w:tr>
      <w:tr w:rsidR="005D2E65" w:rsidRPr="000C0B6C" w14:paraId="466FFE4D" w14:textId="77777777" w:rsidTr="00DC686F">
        <w:trPr>
          <w:trHeight w:val="224"/>
        </w:trPr>
        <w:tc>
          <w:tcPr>
            <w:tcW w:w="1296" w:type="dxa"/>
          </w:tcPr>
          <w:p w14:paraId="2591374E" w14:textId="06BF943E" w:rsidR="005D2E65" w:rsidRPr="00250B49" w:rsidRDefault="007B467E" w:rsidP="005D2E65">
            <w:r w:rsidRPr="00250B49">
              <w:lastRenderedPageBreak/>
              <w:t>1</w:t>
            </w:r>
          </w:p>
        </w:tc>
        <w:tc>
          <w:tcPr>
            <w:tcW w:w="972" w:type="dxa"/>
          </w:tcPr>
          <w:p w14:paraId="4F037A62" w14:textId="7EA6D2EE" w:rsidR="005D2E65" w:rsidRPr="00250B49" w:rsidRDefault="007B467E" w:rsidP="005D2E65">
            <w:r w:rsidRPr="00250B49">
              <w:t>2</w:t>
            </w:r>
          </w:p>
        </w:tc>
        <w:tc>
          <w:tcPr>
            <w:tcW w:w="1374" w:type="dxa"/>
          </w:tcPr>
          <w:p w14:paraId="537AF3A4" w14:textId="60F6EE71" w:rsidR="005D2E65" w:rsidRPr="00250B49" w:rsidRDefault="007B467E" w:rsidP="005D2E65">
            <w:r w:rsidRPr="00250B49">
              <w:t>C</w:t>
            </w:r>
          </w:p>
        </w:tc>
        <w:tc>
          <w:tcPr>
            <w:tcW w:w="1216" w:type="dxa"/>
            <w:gridSpan w:val="2"/>
          </w:tcPr>
          <w:p w14:paraId="2EE1C5F4" w14:textId="41E9DFDE" w:rsidR="005D2E65" w:rsidRPr="00250B49" w:rsidRDefault="00930045" w:rsidP="005D2E65">
            <w:r w:rsidRPr="00250B49">
              <w:t>16</w:t>
            </w:r>
          </w:p>
        </w:tc>
        <w:tc>
          <w:tcPr>
            <w:tcW w:w="4748" w:type="dxa"/>
          </w:tcPr>
          <w:p w14:paraId="3A4F9624" w14:textId="77777777" w:rsidR="007B467E" w:rsidRPr="00250B49" w:rsidRDefault="007B467E" w:rsidP="007B467E">
            <w:r w:rsidRPr="00250B49">
              <w:t xml:space="preserve">There is an indicator gap under element “Trends in fragmentation and quality of forest ecosystems” under component A2. </w:t>
            </w:r>
          </w:p>
          <w:p w14:paraId="1DAE17EE" w14:textId="78965534" w:rsidR="007B467E" w:rsidRPr="00250B49" w:rsidRDefault="007B467E" w:rsidP="007B467E">
            <w:r w:rsidRPr="00250B49">
              <w:t xml:space="preserve"> </w:t>
            </w:r>
          </w:p>
          <w:p w14:paraId="74D7BCD2" w14:textId="77777777" w:rsidR="007B467E" w:rsidRPr="00250B49" w:rsidRDefault="007B467E" w:rsidP="007B467E">
            <w:r w:rsidRPr="00250B49">
              <w:t xml:space="preserve">The Forest Landscape Integrity Index (FLII) measures forest condition as determined by degree of anthropogenic modification. The index integrates data on a) forest extent, b) localized or direct anthropogenic pressures on forests, c) anthropogenic pressures based on proximity to direct pressures, and d) anthropogenic alteration of forest connectivity, and is presented as a map that is available at a 300-meter resolution. The index can be scaled to jurisdictional or ecologically relevant </w:t>
            </w:r>
            <w:proofErr w:type="gramStart"/>
            <w:r w:rsidRPr="00250B49">
              <w:t>boundaries, and</w:t>
            </w:r>
            <w:proofErr w:type="gramEnd"/>
            <w:r w:rsidRPr="00250B49">
              <w:t xml:space="preserve"> used as an indicator for many global goals and targets that concern the integrity of forest ecosystems. </w:t>
            </w:r>
          </w:p>
          <w:p w14:paraId="1373B044" w14:textId="77777777" w:rsidR="007B467E" w:rsidRPr="00250B49" w:rsidRDefault="007B467E" w:rsidP="007B467E">
            <w:r w:rsidRPr="00250B49">
              <w:t xml:space="preserve">The FLII is undergoing peer-review </w:t>
            </w:r>
            <w:proofErr w:type="gramStart"/>
            <w:r w:rsidRPr="00250B49">
              <w:t>at this time</w:t>
            </w:r>
            <w:proofErr w:type="gramEnd"/>
            <w:r w:rsidRPr="00250B49">
              <w:t xml:space="preserve"> (see Grantham et al. 2020). The current baseline is 2019, but it will be updated in 2020 and annually through 2030.  </w:t>
            </w:r>
          </w:p>
          <w:p w14:paraId="583DCA70" w14:textId="77777777" w:rsidR="007B467E" w:rsidRPr="00250B49" w:rsidRDefault="007B467E" w:rsidP="007B467E">
            <w:r w:rsidRPr="00250B49">
              <w:t xml:space="preserve"> </w:t>
            </w:r>
          </w:p>
          <w:p w14:paraId="2673E048" w14:textId="558C0B32" w:rsidR="005D2E65" w:rsidRPr="000C0B6C" w:rsidRDefault="007B467E" w:rsidP="007B467E">
            <w:r w:rsidRPr="00250B49">
              <w:t>We recommend adding new indicator “Forest Landscape Integrity Index” to fill the existing gap for element “Trends in fragmentation and quality of forest ecosystems” (T1, R15).</w:t>
            </w:r>
            <w:r>
              <w:t xml:space="preserve">  </w:t>
            </w:r>
          </w:p>
        </w:tc>
      </w:tr>
      <w:tr w:rsidR="00C0317D" w:rsidRPr="000C0B6C" w14:paraId="3FDDFB50" w14:textId="77777777" w:rsidTr="00DC686F">
        <w:trPr>
          <w:trHeight w:val="224"/>
        </w:trPr>
        <w:tc>
          <w:tcPr>
            <w:tcW w:w="1296" w:type="dxa"/>
          </w:tcPr>
          <w:p w14:paraId="584B4182" w14:textId="41FEFE55" w:rsidR="00C0317D" w:rsidRPr="007B6A5F" w:rsidRDefault="00C0317D" w:rsidP="008052BC">
            <w:r>
              <w:t>1</w:t>
            </w:r>
          </w:p>
        </w:tc>
        <w:tc>
          <w:tcPr>
            <w:tcW w:w="972" w:type="dxa"/>
          </w:tcPr>
          <w:p w14:paraId="5A1D009A" w14:textId="024F5E5D" w:rsidR="00C0317D" w:rsidRPr="007B6A5F" w:rsidRDefault="004225B0" w:rsidP="008052BC">
            <w:r>
              <w:t>2</w:t>
            </w:r>
          </w:p>
        </w:tc>
        <w:tc>
          <w:tcPr>
            <w:tcW w:w="1374" w:type="dxa"/>
          </w:tcPr>
          <w:p w14:paraId="25ACEEC3" w14:textId="39E3C3B8" w:rsidR="00C0317D" w:rsidRPr="007B6A5F" w:rsidRDefault="004225B0" w:rsidP="008052BC">
            <w:r>
              <w:t>C</w:t>
            </w:r>
          </w:p>
        </w:tc>
        <w:tc>
          <w:tcPr>
            <w:tcW w:w="1216" w:type="dxa"/>
            <w:gridSpan w:val="2"/>
          </w:tcPr>
          <w:p w14:paraId="76506802" w14:textId="0CE68494" w:rsidR="00C0317D" w:rsidRPr="007B6A5F" w:rsidRDefault="004225B0" w:rsidP="008052BC">
            <w:r>
              <w:t>16</w:t>
            </w:r>
          </w:p>
        </w:tc>
        <w:tc>
          <w:tcPr>
            <w:tcW w:w="4748" w:type="dxa"/>
          </w:tcPr>
          <w:p w14:paraId="05B30546" w14:textId="76330F78" w:rsidR="00C0317D" w:rsidRPr="00302D02" w:rsidRDefault="004225B0" w:rsidP="008B3E2D">
            <w:pPr>
              <w:rPr>
                <w:color w:val="00483A"/>
                <w:spacing w:val="5"/>
                <w:sz w:val="22"/>
                <w:szCs w:val="22"/>
              </w:rPr>
            </w:pPr>
            <w:r>
              <w:t xml:space="preserve">This monitoring element should be moved to goal 2, as goal 1 concerns natural ecosystems and goal 2 concerns benefit to people and should include the important element of agrobiodiversity.  </w:t>
            </w:r>
          </w:p>
        </w:tc>
      </w:tr>
      <w:tr w:rsidR="00744ED9" w:rsidRPr="000C0B6C" w14:paraId="3CE248A9" w14:textId="77777777" w:rsidTr="00DC686F">
        <w:trPr>
          <w:trHeight w:val="224"/>
        </w:trPr>
        <w:tc>
          <w:tcPr>
            <w:tcW w:w="1296" w:type="dxa"/>
          </w:tcPr>
          <w:p w14:paraId="0B37CEF1" w14:textId="6F88970F" w:rsidR="00744ED9" w:rsidRPr="007B6A5F" w:rsidRDefault="00403D61" w:rsidP="008052BC">
            <w:r w:rsidRPr="007B6A5F">
              <w:t>1</w:t>
            </w:r>
          </w:p>
        </w:tc>
        <w:tc>
          <w:tcPr>
            <w:tcW w:w="972" w:type="dxa"/>
          </w:tcPr>
          <w:p w14:paraId="770AB2DD" w14:textId="661804FF" w:rsidR="00744ED9" w:rsidRPr="007B6A5F" w:rsidRDefault="00403D61" w:rsidP="008052BC">
            <w:r w:rsidRPr="007B6A5F">
              <w:t>3</w:t>
            </w:r>
          </w:p>
        </w:tc>
        <w:tc>
          <w:tcPr>
            <w:tcW w:w="1374" w:type="dxa"/>
          </w:tcPr>
          <w:p w14:paraId="707CB4C7" w14:textId="42848FDD" w:rsidR="00744ED9" w:rsidRPr="007B6A5F" w:rsidRDefault="00403D61" w:rsidP="008052BC">
            <w:r w:rsidRPr="007B6A5F">
              <w:t>A</w:t>
            </w:r>
          </w:p>
        </w:tc>
        <w:tc>
          <w:tcPr>
            <w:tcW w:w="1216" w:type="dxa"/>
            <w:gridSpan w:val="2"/>
          </w:tcPr>
          <w:p w14:paraId="7B303717" w14:textId="28699405" w:rsidR="00744ED9" w:rsidRPr="007B6A5F" w:rsidRDefault="00353DB9" w:rsidP="008052BC">
            <w:r w:rsidRPr="007B6A5F">
              <w:t>29</w:t>
            </w:r>
          </w:p>
        </w:tc>
        <w:tc>
          <w:tcPr>
            <w:tcW w:w="4748" w:type="dxa"/>
          </w:tcPr>
          <w:p w14:paraId="03BE76DA" w14:textId="560C5FE3" w:rsidR="00744ED9" w:rsidRDefault="00D94DB8" w:rsidP="008B3E2D">
            <w:r w:rsidRPr="00302D02">
              <w:rPr>
                <w:color w:val="00483A"/>
                <w:spacing w:val="5"/>
                <w:sz w:val="22"/>
                <w:szCs w:val="22"/>
              </w:rPr>
              <w:t xml:space="preserve">The </w:t>
            </w:r>
            <w:r>
              <w:rPr>
                <w:color w:val="00483A"/>
                <w:spacing w:val="5"/>
                <w:sz w:val="22"/>
                <w:szCs w:val="22"/>
              </w:rPr>
              <w:t xml:space="preserve">monitoring element </w:t>
            </w:r>
            <w:r w:rsidR="00DA7025">
              <w:rPr>
                <w:color w:val="00483A"/>
                <w:spacing w:val="5"/>
                <w:sz w:val="22"/>
                <w:szCs w:val="22"/>
              </w:rPr>
              <w:t>should be used to monitor an improved goal formulation</w:t>
            </w:r>
            <w:r w:rsidR="0053741B">
              <w:rPr>
                <w:color w:val="00483A"/>
                <w:spacing w:val="5"/>
                <w:sz w:val="22"/>
                <w:szCs w:val="22"/>
              </w:rPr>
              <w:t xml:space="preserve"> (</w:t>
            </w:r>
            <w:r w:rsidRPr="00302D02">
              <w:rPr>
                <w:color w:val="00483A"/>
                <w:spacing w:val="5"/>
                <w:sz w:val="22"/>
                <w:szCs w:val="22"/>
              </w:rPr>
              <w:t xml:space="preserve">the </w:t>
            </w:r>
            <w:r w:rsidRPr="00302D02">
              <w:rPr>
                <w:color w:val="00483A"/>
                <w:spacing w:val="5"/>
                <w:sz w:val="22"/>
                <w:szCs w:val="22"/>
              </w:rPr>
              <w:lastRenderedPageBreak/>
              <w:t>extinction of known threatened species has been prevented and their conservation statu</w:t>
            </w:r>
            <w:r w:rsidR="0053741B">
              <w:rPr>
                <w:color w:val="00483A"/>
                <w:spacing w:val="5"/>
                <w:sz w:val="22"/>
                <w:szCs w:val="22"/>
              </w:rPr>
              <w:t>s</w:t>
            </w:r>
            <w:r w:rsidRPr="00302D02">
              <w:rPr>
                <w:color w:val="00483A"/>
                <w:spacing w:val="5"/>
                <w:sz w:val="22"/>
                <w:szCs w:val="22"/>
              </w:rPr>
              <w:t>, has been improved and sustained</w:t>
            </w:r>
            <w:r w:rsidR="0053741B">
              <w:rPr>
                <w:color w:val="00483A"/>
                <w:spacing w:val="5"/>
                <w:sz w:val="22"/>
                <w:szCs w:val="22"/>
              </w:rPr>
              <w:t xml:space="preserve">), </w:t>
            </w:r>
            <w:r w:rsidR="004C0E17">
              <w:rPr>
                <w:color w:val="00483A"/>
                <w:spacing w:val="5"/>
                <w:sz w:val="22"/>
                <w:szCs w:val="22"/>
              </w:rPr>
              <w:t xml:space="preserve">and the current draft formulation </w:t>
            </w:r>
            <w:r w:rsidR="00330DF7">
              <w:rPr>
                <w:color w:val="00483A"/>
                <w:spacing w:val="5"/>
                <w:sz w:val="22"/>
                <w:szCs w:val="22"/>
              </w:rPr>
              <w:t>(in goal and milestone) of</w:t>
            </w:r>
            <w:r w:rsidR="004C0E17">
              <w:rPr>
                <w:color w:val="00483A"/>
                <w:spacing w:val="5"/>
                <w:sz w:val="22"/>
                <w:szCs w:val="22"/>
              </w:rPr>
              <w:t xml:space="preserve"> </w:t>
            </w:r>
            <w:r w:rsidR="0073743E">
              <w:rPr>
                <w:color w:val="00483A"/>
                <w:spacing w:val="5"/>
                <w:sz w:val="22"/>
                <w:szCs w:val="22"/>
              </w:rPr>
              <w:t>reduc</w:t>
            </w:r>
            <w:r w:rsidR="00330DF7">
              <w:rPr>
                <w:color w:val="00483A"/>
                <w:spacing w:val="5"/>
                <w:sz w:val="22"/>
                <w:szCs w:val="22"/>
              </w:rPr>
              <w:t>tion of extinction by xx% should be deleted.</w:t>
            </w:r>
            <w:r w:rsidR="003E520B">
              <w:rPr>
                <w:color w:val="00483A"/>
                <w:spacing w:val="5"/>
                <w:sz w:val="22"/>
                <w:szCs w:val="22"/>
              </w:rPr>
              <w:t xml:space="preserve"> </w:t>
            </w:r>
          </w:p>
        </w:tc>
      </w:tr>
      <w:tr w:rsidR="008052BC" w:rsidRPr="000C0B6C" w14:paraId="6C51D9AC" w14:textId="77777777" w:rsidTr="00DC686F">
        <w:trPr>
          <w:trHeight w:val="224"/>
        </w:trPr>
        <w:tc>
          <w:tcPr>
            <w:tcW w:w="1296" w:type="dxa"/>
          </w:tcPr>
          <w:p w14:paraId="5D7BE9A1" w14:textId="1CB1D787" w:rsidR="008052BC" w:rsidRPr="007B6A5F" w:rsidRDefault="00EA431B" w:rsidP="008052BC">
            <w:r w:rsidRPr="007B6A5F">
              <w:lastRenderedPageBreak/>
              <w:t>1</w:t>
            </w:r>
          </w:p>
        </w:tc>
        <w:tc>
          <w:tcPr>
            <w:tcW w:w="972" w:type="dxa"/>
          </w:tcPr>
          <w:p w14:paraId="75BEA41F" w14:textId="1E027897" w:rsidR="008052BC" w:rsidRPr="007B6A5F" w:rsidRDefault="00250B49" w:rsidP="008052BC">
            <w:r w:rsidRPr="007B6A5F">
              <w:t>4</w:t>
            </w:r>
          </w:p>
        </w:tc>
        <w:tc>
          <w:tcPr>
            <w:tcW w:w="1374" w:type="dxa"/>
          </w:tcPr>
          <w:p w14:paraId="2DAB22E9" w14:textId="22C689D5" w:rsidR="008052BC" w:rsidRPr="007B6A5F" w:rsidRDefault="00250B49" w:rsidP="008052BC">
            <w:r w:rsidRPr="007B6A5F">
              <w:t>A</w:t>
            </w:r>
          </w:p>
        </w:tc>
        <w:tc>
          <w:tcPr>
            <w:tcW w:w="1216" w:type="dxa"/>
            <w:gridSpan w:val="2"/>
          </w:tcPr>
          <w:p w14:paraId="196722FB" w14:textId="7CAED249" w:rsidR="008052BC" w:rsidRPr="007B6A5F" w:rsidRDefault="007B6A5F" w:rsidP="008052BC">
            <w:r w:rsidRPr="007B6A5F">
              <w:t>42-50</w:t>
            </w:r>
          </w:p>
        </w:tc>
        <w:tc>
          <w:tcPr>
            <w:tcW w:w="4748" w:type="dxa"/>
          </w:tcPr>
          <w:p w14:paraId="2E328FAD" w14:textId="1D416874" w:rsidR="008B3E2D" w:rsidRDefault="006507F8" w:rsidP="008B3E2D">
            <w:r w:rsidRPr="00250B49">
              <w:t xml:space="preserve">The </w:t>
            </w:r>
            <w:r w:rsidR="00231249">
              <w:t xml:space="preserve">components, </w:t>
            </w:r>
            <w:r w:rsidR="00885C9C">
              <w:t xml:space="preserve">monitoring elements </w:t>
            </w:r>
            <w:r w:rsidR="00231249">
              <w:t>and indicator</w:t>
            </w:r>
            <w:r w:rsidR="009F3C65">
              <w:t>s</w:t>
            </w:r>
            <w:r w:rsidR="00231249">
              <w:t xml:space="preserve"> for “protection of critical ecosystems” </w:t>
            </w:r>
            <w:r w:rsidR="00F8486F">
              <w:t>should be broadened to include</w:t>
            </w:r>
            <w:r w:rsidR="009F3C65">
              <w:t xml:space="preserve"> critical intact ecosystems not covered by protected areas or other </w:t>
            </w:r>
            <w:r w:rsidR="00B1670F">
              <w:t xml:space="preserve">protection measures and should include indicators for assessing the </w:t>
            </w:r>
            <w:r w:rsidR="00F62544">
              <w:t xml:space="preserve">state of the ecosystem not only the extent. The establishment of protected areas does not </w:t>
            </w:r>
            <w:r w:rsidR="00447CB1">
              <w:t xml:space="preserve">in itself guarantee protection of biodiversity.  </w:t>
            </w:r>
          </w:p>
          <w:p w14:paraId="24B5C4F6" w14:textId="26E8632C" w:rsidR="008052BC" w:rsidRDefault="00212D6B" w:rsidP="008052BC">
            <w:r>
              <w:t>The remaining areas of intact tropic</w:t>
            </w:r>
            <w:r w:rsidR="000B0676">
              <w:t>al rainforests should be considered critical ecosystems fo</w:t>
            </w:r>
            <w:r w:rsidR="00A87C18">
              <w:t xml:space="preserve">r </w:t>
            </w:r>
            <w:r w:rsidR="00E55C4D">
              <w:t>protection of biodiversity globally, and trends in protecting the integrity of these forests should be monitored</w:t>
            </w:r>
            <w:r w:rsidR="00026E95">
              <w:t xml:space="preserve"> under this goal.</w:t>
            </w:r>
          </w:p>
        </w:tc>
      </w:tr>
      <w:tr w:rsidR="0008725D" w:rsidRPr="000C0B6C" w14:paraId="4F2A43B0" w14:textId="77777777" w:rsidTr="00DC686F">
        <w:trPr>
          <w:trHeight w:val="224"/>
        </w:trPr>
        <w:tc>
          <w:tcPr>
            <w:tcW w:w="1296" w:type="dxa"/>
          </w:tcPr>
          <w:p w14:paraId="382DC209" w14:textId="17E11AFF" w:rsidR="0008725D" w:rsidRPr="000C0B6C" w:rsidRDefault="0008725D" w:rsidP="0008725D"/>
        </w:tc>
        <w:tc>
          <w:tcPr>
            <w:tcW w:w="972" w:type="dxa"/>
          </w:tcPr>
          <w:p w14:paraId="4E79A3F7" w14:textId="4CD4B99A" w:rsidR="0008725D" w:rsidRPr="000C0B6C" w:rsidRDefault="0008725D" w:rsidP="0008725D"/>
        </w:tc>
        <w:tc>
          <w:tcPr>
            <w:tcW w:w="1374" w:type="dxa"/>
          </w:tcPr>
          <w:p w14:paraId="2B942C9F" w14:textId="7D554F6B" w:rsidR="0008725D" w:rsidRPr="000C0B6C" w:rsidRDefault="0008725D" w:rsidP="0008725D"/>
        </w:tc>
        <w:tc>
          <w:tcPr>
            <w:tcW w:w="1216" w:type="dxa"/>
            <w:gridSpan w:val="2"/>
          </w:tcPr>
          <w:p w14:paraId="6E80AD32" w14:textId="405CC06C" w:rsidR="0008725D" w:rsidRPr="000C0B6C" w:rsidRDefault="0008725D" w:rsidP="0008725D"/>
        </w:tc>
        <w:tc>
          <w:tcPr>
            <w:tcW w:w="4748" w:type="dxa"/>
          </w:tcPr>
          <w:p w14:paraId="59814469" w14:textId="77777777" w:rsidR="0008725D" w:rsidRPr="000C0B6C" w:rsidRDefault="0008725D" w:rsidP="0008725D"/>
        </w:tc>
      </w:tr>
      <w:tr w:rsidR="0008725D" w:rsidRPr="000C0B6C" w14:paraId="319C5F45" w14:textId="77777777" w:rsidTr="00DC686F">
        <w:trPr>
          <w:trHeight w:val="224"/>
        </w:trPr>
        <w:tc>
          <w:tcPr>
            <w:tcW w:w="1296" w:type="dxa"/>
          </w:tcPr>
          <w:p w14:paraId="5484CF6B" w14:textId="04ABAA7F" w:rsidR="0008725D" w:rsidRPr="000C0B6C" w:rsidRDefault="008A1714" w:rsidP="0008725D">
            <w:r>
              <w:t>1</w:t>
            </w:r>
          </w:p>
        </w:tc>
        <w:tc>
          <w:tcPr>
            <w:tcW w:w="972" w:type="dxa"/>
          </w:tcPr>
          <w:p w14:paraId="06161EA1" w14:textId="064193D5" w:rsidR="0008725D" w:rsidRPr="000C0B6C" w:rsidRDefault="008A1714" w:rsidP="0008725D">
            <w:r>
              <w:t>5</w:t>
            </w:r>
          </w:p>
        </w:tc>
        <w:tc>
          <w:tcPr>
            <w:tcW w:w="1374" w:type="dxa"/>
          </w:tcPr>
          <w:p w14:paraId="19A1C967" w14:textId="3442AF8C" w:rsidR="0008725D" w:rsidRPr="000C0B6C" w:rsidRDefault="00C314DE" w:rsidP="0008725D">
            <w:r>
              <w:t>A</w:t>
            </w:r>
          </w:p>
        </w:tc>
        <w:tc>
          <w:tcPr>
            <w:tcW w:w="1216" w:type="dxa"/>
            <w:gridSpan w:val="2"/>
          </w:tcPr>
          <w:p w14:paraId="6EB82FC2" w14:textId="414EB30B" w:rsidR="0008725D" w:rsidRPr="000C0B6C" w:rsidRDefault="00A87C18" w:rsidP="0008725D">
            <w:r>
              <w:t>51-71</w:t>
            </w:r>
          </w:p>
        </w:tc>
        <w:tc>
          <w:tcPr>
            <w:tcW w:w="4748" w:type="dxa"/>
          </w:tcPr>
          <w:p w14:paraId="5ED3F632" w14:textId="28CBAB1C" w:rsidR="00E15E8F" w:rsidRDefault="00D2456D" w:rsidP="0008725D">
            <w:r>
              <w:t xml:space="preserve">The </w:t>
            </w:r>
            <w:r w:rsidR="004240F2">
              <w:t xml:space="preserve">goal needs to be reformulated, and </w:t>
            </w:r>
            <w:r w:rsidR="000F591A">
              <w:t xml:space="preserve">the </w:t>
            </w:r>
            <w:r w:rsidR="00E15E8F">
              <w:t xml:space="preserve">monitoring components (B1-B3) adjusted and clarified. </w:t>
            </w:r>
          </w:p>
          <w:p w14:paraId="73FDB9D7" w14:textId="03483D82" w:rsidR="00E15E8F" w:rsidRDefault="00E87AC3" w:rsidP="0008725D">
            <w:r>
              <w:t>The components</w:t>
            </w:r>
            <w:r w:rsidR="00490AB3">
              <w:t xml:space="preserve"> should </w:t>
            </w:r>
            <w:r w:rsidR="00793068">
              <w:t>focus on nature</w:t>
            </w:r>
            <w:r w:rsidR="00A87C18">
              <w:t>’</w:t>
            </w:r>
            <w:r w:rsidR="00793068">
              <w:t>s ability to provide regulating, material and other benefits in the long term, not o</w:t>
            </w:r>
            <w:r w:rsidR="00597539">
              <w:t xml:space="preserve">n </w:t>
            </w:r>
            <w:r w:rsidR="00141F88">
              <w:t xml:space="preserve">as in the current draft </w:t>
            </w:r>
            <w:r w:rsidR="00597539">
              <w:t xml:space="preserve">the degree of utilization of these benefits as such. </w:t>
            </w:r>
            <w:r w:rsidR="00AB4271">
              <w:t xml:space="preserve">As they are formulated </w:t>
            </w:r>
            <w:r w:rsidR="0058018A">
              <w:t xml:space="preserve">in the draft </w:t>
            </w:r>
            <w:r w:rsidR="00AB4271">
              <w:t xml:space="preserve">the components will hardly </w:t>
            </w:r>
            <w:r w:rsidR="00597539">
              <w:t>provide usefu</w:t>
            </w:r>
            <w:r w:rsidR="00AB4271">
              <w:t>l</w:t>
            </w:r>
            <w:r w:rsidR="00597539">
              <w:t xml:space="preserve"> information </w:t>
            </w:r>
            <w:r w:rsidR="00AB4271">
              <w:t xml:space="preserve">on the </w:t>
            </w:r>
            <w:r w:rsidR="001D7177">
              <w:t xml:space="preserve">status of ecosystems ability to provide benefits, or </w:t>
            </w:r>
            <w:r w:rsidR="00AB4271">
              <w:t>incentives for sustainable use of biodiversity</w:t>
            </w:r>
            <w:r w:rsidR="001D7177">
              <w:t xml:space="preserve">. </w:t>
            </w:r>
          </w:p>
          <w:p w14:paraId="15F3E581" w14:textId="77777777" w:rsidR="001D7177" w:rsidRDefault="001D7177" w:rsidP="0008725D"/>
          <w:p w14:paraId="2600C564" w14:textId="7EA96EDA" w:rsidR="00D2456D" w:rsidRDefault="001D7177" w:rsidP="0008725D">
            <w:r>
              <w:t xml:space="preserve">The </w:t>
            </w:r>
            <w:r w:rsidR="0032495A">
              <w:t>components should i</w:t>
            </w:r>
            <w:r w:rsidR="004240F2">
              <w:t xml:space="preserve">nclude </w:t>
            </w:r>
            <w:r w:rsidR="002A6335">
              <w:t>explicit links</w:t>
            </w:r>
            <w:r w:rsidR="0058018A">
              <w:t xml:space="preserve"> to </w:t>
            </w:r>
            <w:proofErr w:type="gramStart"/>
            <w:r w:rsidR="0058018A">
              <w:t>nature based</w:t>
            </w:r>
            <w:proofErr w:type="gramEnd"/>
            <w:r w:rsidR="0058018A">
              <w:t xml:space="preserve"> climate solutions, </w:t>
            </w:r>
            <w:r w:rsidR="002A6335">
              <w:t xml:space="preserve">the NDCs </w:t>
            </w:r>
            <w:r w:rsidR="0032495A">
              <w:t xml:space="preserve">and the </w:t>
            </w:r>
            <w:r w:rsidR="002A6335">
              <w:t>Paris agree</w:t>
            </w:r>
            <w:r w:rsidR="000F591A">
              <w:t>ment</w:t>
            </w:r>
            <w:r w:rsidR="009C6355">
              <w:t>, and h</w:t>
            </w:r>
            <w:r w:rsidR="00E90E83">
              <w:t>ighlight</w:t>
            </w:r>
            <w:r w:rsidR="009C6355">
              <w:t xml:space="preserve"> </w:t>
            </w:r>
            <w:r w:rsidR="00E90E83">
              <w:t xml:space="preserve">the benefits from maintaining biodiversity </w:t>
            </w:r>
            <w:r w:rsidR="00EE7254">
              <w:t xml:space="preserve">for climate mitigation, adaptation and resilience.  </w:t>
            </w:r>
          </w:p>
          <w:p w14:paraId="2C90F8A8" w14:textId="77777777" w:rsidR="00AB1E3A" w:rsidRDefault="00AB1E3A" w:rsidP="0008725D"/>
          <w:p w14:paraId="5FCB343A" w14:textId="37254D76" w:rsidR="0008725D" w:rsidRDefault="00AB1E3A" w:rsidP="0008725D">
            <w:r>
              <w:t>The</w:t>
            </w:r>
            <w:r w:rsidR="00F2695E">
              <w:t xml:space="preserve">re should be reference </w:t>
            </w:r>
            <w:r>
              <w:t>to the Sendai Framework for disaster risk r</w:t>
            </w:r>
            <w:r w:rsidR="00F2695E">
              <w:t>eduction to</w:t>
            </w:r>
            <w:r w:rsidR="006A5ED5">
              <w:t xml:space="preserve"> facilitate closer cooperation and exchange of </w:t>
            </w:r>
            <w:r w:rsidR="00726588">
              <w:t xml:space="preserve">knowledge with </w:t>
            </w:r>
            <w:r w:rsidR="0008725D">
              <w:t>development</w:t>
            </w:r>
            <w:r w:rsidR="00726588">
              <w:t xml:space="preserve">- and humanitarian </w:t>
            </w:r>
            <w:r w:rsidR="0008725D">
              <w:t xml:space="preserve">organizations </w:t>
            </w:r>
            <w:r w:rsidR="00DC686F">
              <w:t xml:space="preserve">involved in disaster risk reduction. </w:t>
            </w:r>
          </w:p>
          <w:p w14:paraId="2B0D2049" w14:textId="18798C80" w:rsidR="0008725D" w:rsidRPr="000C0B6C" w:rsidRDefault="0008725D" w:rsidP="0008725D">
            <w:r>
              <w:t xml:space="preserve"> </w:t>
            </w:r>
          </w:p>
        </w:tc>
      </w:tr>
      <w:tr w:rsidR="00C314DE" w:rsidRPr="000C0B6C" w14:paraId="1D43CC6F" w14:textId="77777777" w:rsidTr="00DC686F">
        <w:trPr>
          <w:trHeight w:val="224"/>
        </w:trPr>
        <w:tc>
          <w:tcPr>
            <w:tcW w:w="1296" w:type="dxa"/>
          </w:tcPr>
          <w:p w14:paraId="2B148DAF" w14:textId="4D067B8A" w:rsidR="00C314DE" w:rsidRDefault="00C314DE" w:rsidP="0008725D">
            <w:r>
              <w:t>1</w:t>
            </w:r>
          </w:p>
        </w:tc>
        <w:tc>
          <w:tcPr>
            <w:tcW w:w="972" w:type="dxa"/>
          </w:tcPr>
          <w:p w14:paraId="4E8C38C8" w14:textId="0CBE4656" w:rsidR="00C314DE" w:rsidRDefault="00C314DE" w:rsidP="0008725D">
            <w:r>
              <w:t>5</w:t>
            </w:r>
          </w:p>
        </w:tc>
        <w:tc>
          <w:tcPr>
            <w:tcW w:w="1374" w:type="dxa"/>
          </w:tcPr>
          <w:p w14:paraId="746B320F" w14:textId="7A9D059D" w:rsidR="00C314DE" w:rsidRDefault="00C314DE" w:rsidP="0008725D">
            <w:r>
              <w:t>C</w:t>
            </w:r>
          </w:p>
        </w:tc>
        <w:tc>
          <w:tcPr>
            <w:tcW w:w="1216" w:type="dxa"/>
            <w:gridSpan w:val="2"/>
          </w:tcPr>
          <w:p w14:paraId="4F6C6EBF" w14:textId="7AA69104" w:rsidR="00C314DE" w:rsidRDefault="0061075C" w:rsidP="0008725D">
            <w:r>
              <w:t>56 + 58</w:t>
            </w:r>
          </w:p>
        </w:tc>
        <w:tc>
          <w:tcPr>
            <w:tcW w:w="4748" w:type="dxa"/>
          </w:tcPr>
          <w:p w14:paraId="0DE174A0" w14:textId="26A50B6B" w:rsidR="00C314DE" w:rsidRDefault="0061075C" w:rsidP="0008725D">
            <w:r>
              <w:t>The indicator should be br</w:t>
            </w:r>
            <w:r w:rsidR="007A6F76">
              <w:t xml:space="preserve">oadened to include </w:t>
            </w:r>
            <w:r w:rsidR="007A6F76">
              <w:lastRenderedPageBreak/>
              <w:t xml:space="preserve">forest ecosystems contribution to carbon </w:t>
            </w:r>
            <w:r w:rsidR="00AB1043">
              <w:t xml:space="preserve">storage, </w:t>
            </w:r>
            <w:r w:rsidR="007A6F76">
              <w:t>climate</w:t>
            </w:r>
            <w:r w:rsidR="00AB1043">
              <w:t>- and water regulation</w:t>
            </w:r>
            <w:r w:rsidR="00BB727F">
              <w:t xml:space="preserve">. “Number of </w:t>
            </w:r>
            <w:r w:rsidR="00FE4EF4">
              <w:t xml:space="preserve">certified forest areas under sustainable management …” will be misleading as it will only cover part of </w:t>
            </w:r>
            <w:r w:rsidR="0044064B">
              <w:t xml:space="preserve">such benefits provided by forests. The formulation could be </w:t>
            </w:r>
            <w:r w:rsidR="00C163AC">
              <w:t xml:space="preserve">included as a sub-indicator to monitor the trend in </w:t>
            </w:r>
            <w:r w:rsidR="00194837">
              <w:t xml:space="preserve">improved formal management of forest areas for the benefit of climate/water. </w:t>
            </w:r>
          </w:p>
        </w:tc>
      </w:tr>
      <w:tr w:rsidR="0008725D" w:rsidRPr="000C0B6C" w14:paraId="0162C495" w14:textId="77777777" w:rsidTr="00DC686F">
        <w:trPr>
          <w:trHeight w:val="224"/>
        </w:trPr>
        <w:tc>
          <w:tcPr>
            <w:tcW w:w="1296" w:type="dxa"/>
          </w:tcPr>
          <w:p w14:paraId="4F7B7C20" w14:textId="579CC087" w:rsidR="0008725D" w:rsidRPr="000C0B6C" w:rsidRDefault="0008725D" w:rsidP="0008725D">
            <w:r>
              <w:lastRenderedPageBreak/>
              <w:t>1</w:t>
            </w:r>
          </w:p>
        </w:tc>
        <w:tc>
          <w:tcPr>
            <w:tcW w:w="972" w:type="dxa"/>
          </w:tcPr>
          <w:p w14:paraId="4F55B031" w14:textId="01D15B00" w:rsidR="0008725D" w:rsidRPr="000C0B6C" w:rsidRDefault="0008725D" w:rsidP="0008725D">
            <w:r>
              <w:t>6</w:t>
            </w:r>
          </w:p>
        </w:tc>
        <w:tc>
          <w:tcPr>
            <w:tcW w:w="1374" w:type="dxa"/>
          </w:tcPr>
          <w:p w14:paraId="2555161A" w14:textId="44F79293" w:rsidR="0008725D" w:rsidRPr="000C0B6C" w:rsidRDefault="0008725D" w:rsidP="0008725D">
            <w:proofErr w:type="gramStart"/>
            <w:r>
              <w:t>A,B</w:t>
            </w:r>
            <w:proofErr w:type="gramEnd"/>
            <w:r>
              <w:t>, C</w:t>
            </w:r>
          </w:p>
        </w:tc>
        <w:tc>
          <w:tcPr>
            <w:tcW w:w="1216" w:type="dxa"/>
            <w:gridSpan w:val="2"/>
          </w:tcPr>
          <w:p w14:paraId="4C3DB62A" w14:textId="773FF85A" w:rsidR="0008725D" w:rsidRPr="000C0B6C" w:rsidRDefault="0008725D" w:rsidP="0008725D">
            <w:r>
              <w:t>72-76</w:t>
            </w:r>
          </w:p>
        </w:tc>
        <w:tc>
          <w:tcPr>
            <w:tcW w:w="4748" w:type="dxa"/>
          </w:tcPr>
          <w:p w14:paraId="642761D9" w14:textId="1EE72D54" w:rsidR="0008725D" w:rsidRDefault="0008725D" w:rsidP="0008725D">
            <w:r>
              <w:t xml:space="preserve">The components and monitoring elements must be expanded to explicitly include traditional and local knowledge and the role of IPLCs in building </w:t>
            </w:r>
            <w:r w:rsidR="005048B7">
              <w:t xml:space="preserve">and using </w:t>
            </w:r>
            <w:r>
              <w:t xml:space="preserve">such knowledge </w:t>
            </w:r>
            <w:r w:rsidR="005048B7">
              <w:t xml:space="preserve">to maintain biodiversity. </w:t>
            </w:r>
            <w:r w:rsidR="005048B7">
              <w:br/>
            </w:r>
            <w:r>
              <w:t xml:space="preserve">Indicator should be added to monitor to what extent IPLCs benefit from the utilization of genetic resources and related traditional knowledge.    </w:t>
            </w:r>
          </w:p>
          <w:p w14:paraId="76825779" w14:textId="187F3BD7" w:rsidR="0008725D" w:rsidRDefault="0008725D" w:rsidP="0008725D"/>
        </w:tc>
      </w:tr>
      <w:tr w:rsidR="0008725D" w:rsidRPr="000C0B6C" w14:paraId="1AD8FE52" w14:textId="77777777" w:rsidTr="00DC686F">
        <w:trPr>
          <w:trHeight w:val="224"/>
        </w:trPr>
        <w:tc>
          <w:tcPr>
            <w:tcW w:w="1296" w:type="dxa"/>
          </w:tcPr>
          <w:p w14:paraId="35875269" w14:textId="76B06FD9" w:rsidR="0008725D" w:rsidRPr="000C0B6C" w:rsidRDefault="00AC37E8" w:rsidP="0008725D">
            <w:r>
              <w:t>1</w:t>
            </w:r>
          </w:p>
        </w:tc>
        <w:tc>
          <w:tcPr>
            <w:tcW w:w="972" w:type="dxa"/>
          </w:tcPr>
          <w:p w14:paraId="23714E14" w14:textId="69BFDBDA" w:rsidR="0008725D" w:rsidRPr="000C0B6C" w:rsidRDefault="00AC37E8" w:rsidP="0008725D">
            <w:r>
              <w:t>7</w:t>
            </w:r>
          </w:p>
        </w:tc>
        <w:tc>
          <w:tcPr>
            <w:tcW w:w="1374" w:type="dxa"/>
          </w:tcPr>
          <w:p w14:paraId="4CCD1721" w14:textId="00623C80" w:rsidR="0008725D" w:rsidRPr="000C0B6C" w:rsidRDefault="00AC37E8" w:rsidP="0008725D">
            <w:r>
              <w:t>B</w:t>
            </w:r>
          </w:p>
        </w:tc>
        <w:tc>
          <w:tcPr>
            <w:tcW w:w="1216" w:type="dxa"/>
            <w:gridSpan w:val="2"/>
          </w:tcPr>
          <w:p w14:paraId="72FD19DD" w14:textId="4684B321" w:rsidR="0008725D" w:rsidRPr="000C0B6C" w:rsidRDefault="00106B28" w:rsidP="0008725D">
            <w:r>
              <w:t>77-80</w:t>
            </w:r>
          </w:p>
        </w:tc>
        <w:tc>
          <w:tcPr>
            <w:tcW w:w="4748" w:type="dxa"/>
          </w:tcPr>
          <w:p w14:paraId="72D61B0F" w14:textId="1F82215D" w:rsidR="0008725D" w:rsidRPr="000C0B6C" w:rsidRDefault="0038780E" w:rsidP="0008725D">
            <w:r>
              <w:t xml:space="preserve">The trends should </w:t>
            </w:r>
            <w:r w:rsidR="00125EB6">
              <w:t xml:space="preserve">not only </w:t>
            </w:r>
            <w:r>
              <w:t xml:space="preserve">monitor </w:t>
            </w:r>
            <w:r w:rsidR="00125EB6">
              <w:t xml:space="preserve">funding for biodiversity </w:t>
            </w:r>
            <w:r w:rsidR="00F637BE">
              <w:t>protection an</w:t>
            </w:r>
            <w:r w:rsidR="00465BAF">
              <w:t>d</w:t>
            </w:r>
            <w:r w:rsidR="00F637BE">
              <w:t xml:space="preserve"> management, but to which extent this funding is additional </w:t>
            </w:r>
            <w:r w:rsidR="00465BAF">
              <w:t>to e</w:t>
            </w:r>
            <w:r>
              <w:t>xisting ODA</w:t>
            </w:r>
            <w:r w:rsidR="00465BAF">
              <w:t xml:space="preserve"> levels. </w:t>
            </w:r>
          </w:p>
        </w:tc>
      </w:tr>
      <w:tr w:rsidR="0008725D" w:rsidRPr="000C0B6C" w14:paraId="3EB4118D" w14:textId="77777777" w:rsidTr="00DC686F">
        <w:trPr>
          <w:trHeight w:val="224"/>
        </w:trPr>
        <w:tc>
          <w:tcPr>
            <w:tcW w:w="1296" w:type="dxa"/>
          </w:tcPr>
          <w:p w14:paraId="11A14A9C" w14:textId="46C883BF" w:rsidR="0008725D" w:rsidRPr="000C0B6C" w:rsidRDefault="0008725D" w:rsidP="0008725D"/>
        </w:tc>
        <w:tc>
          <w:tcPr>
            <w:tcW w:w="972" w:type="dxa"/>
          </w:tcPr>
          <w:p w14:paraId="73B80CB3" w14:textId="77777777" w:rsidR="0008725D" w:rsidRPr="000C0B6C" w:rsidRDefault="0008725D" w:rsidP="0008725D"/>
        </w:tc>
        <w:tc>
          <w:tcPr>
            <w:tcW w:w="1374" w:type="dxa"/>
          </w:tcPr>
          <w:p w14:paraId="76CC1A8C" w14:textId="77777777" w:rsidR="0008725D" w:rsidRPr="000C0B6C" w:rsidRDefault="0008725D" w:rsidP="0008725D"/>
        </w:tc>
        <w:tc>
          <w:tcPr>
            <w:tcW w:w="1216" w:type="dxa"/>
            <w:gridSpan w:val="2"/>
          </w:tcPr>
          <w:p w14:paraId="0F235FE1" w14:textId="77777777" w:rsidR="0008725D" w:rsidRPr="000C0B6C" w:rsidRDefault="0008725D" w:rsidP="0008725D"/>
        </w:tc>
        <w:tc>
          <w:tcPr>
            <w:tcW w:w="4748" w:type="dxa"/>
          </w:tcPr>
          <w:p w14:paraId="5B21E752" w14:textId="77777777" w:rsidR="0008725D" w:rsidRPr="000C0B6C" w:rsidRDefault="0008725D" w:rsidP="0008725D"/>
        </w:tc>
      </w:tr>
      <w:tr w:rsidR="0008725D" w:rsidRPr="000C0B6C" w14:paraId="3D198BFF" w14:textId="77777777" w:rsidTr="00DC686F">
        <w:trPr>
          <w:trHeight w:val="224"/>
        </w:trPr>
        <w:tc>
          <w:tcPr>
            <w:tcW w:w="1296" w:type="dxa"/>
          </w:tcPr>
          <w:p w14:paraId="1D12231E" w14:textId="157314B9" w:rsidR="0008725D" w:rsidRPr="000C0B6C" w:rsidRDefault="000C24CC" w:rsidP="0008725D">
            <w:r>
              <w:t>TARGETS</w:t>
            </w:r>
          </w:p>
        </w:tc>
        <w:tc>
          <w:tcPr>
            <w:tcW w:w="972" w:type="dxa"/>
          </w:tcPr>
          <w:p w14:paraId="5BDA0805" w14:textId="77777777" w:rsidR="0008725D" w:rsidRPr="000C0B6C" w:rsidRDefault="0008725D" w:rsidP="0008725D"/>
        </w:tc>
        <w:tc>
          <w:tcPr>
            <w:tcW w:w="1374" w:type="dxa"/>
          </w:tcPr>
          <w:p w14:paraId="567284A7" w14:textId="77777777" w:rsidR="0008725D" w:rsidRPr="000C0B6C" w:rsidRDefault="0008725D" w:rsidP="0008725D"/>
        </w:tc>
        <w:tc>
          <w:tcPr>
            <w:tcW w:w="1216" w:type="dxa"/>
            <w:gridSpan w:val="2"/>
          </w:tcPr>
          <w:p w14:paraId="0257D689" w14:textId="77777777" w:rsidR="0008725D" w:rsidRPr="000C0B6C" w:rsidRDefault="0008725D" w:rsidP="0008725D"/>
        </w:tc>
        <w:tc>
          <w:tcPr>
            <w:tcW w:w="4748" w:type="dxa"/>
          </w:tcPr>
          <w:p w14:paraId="7ECDED67" w14:textId="77777777" w:rsidR="0008725D" w:rsidRPr="000C0B6C" w:rsidRDefault="0008725D" w:rsidP="0008725D"/>
        </w:tc>
      </w:tr>
      <w:tr w:rsidR="0008725D" w:rsidRPr="000C0B6C" w14:paraId="4E9BD5E8" w14:textId="77777777" w:rsidTr="00DC686F">
        <w:trPr>
          <w:trHeight w:val="224"/>
        </w:trPr>
        <w:tc>
          <w:tcPr>
            <w:tcW w:w="1296" w:type="dxa"/>
          </w:tcPr>
          <w:p w14:paraId="181C7EB2" w14:textId="5E46B8B0" w:rsidR="0008725D" w:rsidRPr="000C0B6C" w:rsidRDefault="00465BAF" w:rsidP="0008725D">
            <w:r>
              <w:t>2</w:t>
            </w:r>
          </w:p>
        </w:tc>
        <w:tc>
          <w:tcPr>
            <w:tcW w:w="972" w:type="dxa"/>
          </w:tcPr>
          <w:p w14:paraId="183529F7" w14:textId="6746C6F7" w:rsidR="0008725D" w:rsidRPr="000C0B6C" w:rsidRDefault="00D667E1" w:rsidP="0008725D">
            <w:r>
              <w:t>8-10</w:t>
            </w:r>
          </w:p>
        </w:tc>
        <w:tc>
          <w:tcPr>
            <w:tcW w:w="1374" w:type="dxa"/>
          </w:tcPr>
          <w:p w14:paraId="4A979E27" w14:textId="5A32DFC7" w:rsidR="0008725D" w:rsidRPr="000C0B6C" w:rsidRDefault="00E71318" w:rsidP="0008725D">
            <w:r>
              <w:t>A</w:t>
            </w:r>
          </w:p>
        </w:tc>
        <w:tc>
          <w:tcPr>
            <w:tcW w:w="1216" w:type="dxa"/>
            <w:gridSpan w:val="2"/>
          </w:tcPr>
          <w:p w14:paraId="359B2B90" w14:textId="53057E0C" w:rsidR="0008725D" w:rsidRPr="000C0B6C" w:rsidRDefault="00E71318" w:rsidP="0008725D">
            <w:r>
              <w:t>1-34</w:t>
            </w:r>
          </w:p>
        </w:tc>
        <w:tc>
          <w:tcPr>
            <w:tcW w:w="4748" w:type="dxa"/>
          </w:tcPr>
          <w:p w14:paraId="31C1ADBF" w14:textId="1ACCB662" w:rsidR="00E16DEC" w:rsidRDefault="00563546" w:rsidP="0008725D">
            <w:r>
              <w:t>The components o</w:t>
            </w:r>
            <w:r w:rsidR="00385C5D">
              <w:t xml:space="preserve">f the targets are </w:t>
            </w:r>
            <w:r w:rsidR="00CE3E28">
              <w:t>covering critical aspects, but they need to be framed by a re</w:t>
            </w:r>
            <w:r w:rsidR="00E16DEC">
              <w:t xml:space="preserve">vised and </w:t>
            </w:r>
            <w:r w:rsidR="00CE3E28">
              <w:t xml:space="preserve">more ambitious </w:t>
            </w:r>
            <w:r w:rsidR="00E16DEC">
              <w:t>target formulation</w:t>
            </w:r>
            <w:r w:rsidR="00BE7DA3">
              <w:t xml:space="preserve">; </w:t>
            </w:r>
            <w:r w:rsidR="00D25E2C">
              <w:t>By</w:t>
            </w:r>
            <w:r w:rsidR="0056508F" w:rsidRPr="00793BD4">
              <w:t xml:space="preserve"> 2030, 100% of the planet should be under multi-sectoral spatial management plans that specifically integrate and prioritize biodiversity</w:t>
            </w:r>
            <w:r w:rsidR="0056508F">
              <w:t xml:space="preserve">, </w:t>
            </w:r>
            <w:r w:rsidR="00367C72" w:rsidRPr="00557329">
              <w:t>retaining existing intact and wilderness areas</w:t>
            </w:r>
            <w:r w:rsidR="00367C72">
              <w:t xml:space="preserve"> and </w:t>
            </w:r>
            <w:r w:rsidR="00367C72" w:rsidRPr="00557329">
              <w:t>restore</w:t>
            </w:r>
            <w:r w:rsidR="00367C72">
              <w:t xml:space="preserve"> </w:t>
            </w:r>
            <w:r w:rsidR="00367C72" w:rsidRPr="00557329">
              <w:t xml:space="preserve"> degraded natural ecosystems and connectivit</w:t>
            </w:r>
            <w:r w:rsidR="0035687F">
              <w:t xml:space="preserve">y. The plans are </w:t>
            </w:r>
            <w:r w:rsidR="0056508F">
              <w:t xml:space="preserve">developed or </w:t>
            </w:r>
            <w:r w:rsidR="001A10AB">
              <w:t xml:space="preserve">assessed through </w:t>
            </w:r>
            <w:r w:rsidR="004F2E87">
              <w:t xml:space="preserve">multi stakeholder </w:t>
            </w:r>
            <w:r w:rsidR="001A10AB">
              <w:t xml:space="preserve">participatory processes with </w:t>
            </w:r>
            <w:r w:rsidR="00BE7DA3">
              <w:t xml:space="preserve">attention to the special rights, knowledge and role of IPLCs </w:t>
            </w:r>
            <w:r w:rsidR="0046794C">
              <w:t xml:space="preserve">for </w:t>
            </w:r>
            <w:r w:rsidR="008B20BA">
              <w:t xml:space="preserve">biodiversity. </w:t>
            </w:r>
          </w:p>
          <w:p w14:paraId="667597F3" w14:textId="77777777" w:rsidR="00490284" w:rsidRDefault="00490284" w:rsidP="0008725D"/>
          <w:p w14:paraId="1CE314A6" w14:textId="20838D49" w:rsidR="00490284" w:rsidRPr="000C0B6C" w:rsidRDefault="00490284" w:rsidP="0008725D"/>
        </w:tc>
      </w:tr>
      <w:tr w:rsidR="0008725D" w:rsidRPr="000C0B6C" w14:paraId="6E3ED6FD" w14:textId="77777777" w:rsidTr="00DC686F">
        <w:trPr>
          <w:trHeight w:val="224"/>
        </w:trPr>
        <w:tc>
          <w:tcPr>
            <w:tcW w:w="1296" w:type="dxa"/>
          </w:tcPr>
          <w:p w14:paraId="4B6A0890" w14:textId="7A89945F" w:rsidR="0008725D" w:rsidRPr="000C0B6C" w:rsidRDefault="00811F96" w:rsidP="0008725D">
            <w:r>
              <w:t>2</w:t>
            </w:r>
          </w:p>
        </w:tc>
        <w:tc>
          <w:tcPr>
            <w:tcW w:w="972" w:type="dxa"/>
          </w:tcPr>
          <w:p w14:paraId="3DD749A4" w14:textId="67065F79" w:rsidR="0008725D" w:rsidRPr="000C0B6C" w:rsidRDefault="00811F96" w:rsidP="0008725D">
            <w:r>
              <w:t>8</w:t>
            </w:r>
          </w:p>
        </w:tc>
        <w:tc>
          <w:tcPr>
            <w:tcW w:w="1374" w:type="dxa"/>
          </w:tcPr>
          <w:p w14:paraId="0730DD71" w14:textId="4134455B" w:rsidR="0008725D" w:rsidRPr="000C0B6C" w:rsidRDefault="00BE1195" w:rsidP="0008725D">
            <w:r>
              <w:t>B</w:t>
            </w:r>
          </w:p>
        </w:tc>
        <w:tc>
          <w:tcPr>
            <w:tcW w:w="1216" w:type="dxa"/>
            <w:gridSpan w:val="2"/>
          </w:tcPr>
          <w:p w14:paraId="78ABE8C0" w14:textId="0D558968" w:rsidR="0008725D" w:rsidRPr="000C0B6C" w:rsidRDefault="00BE1195" w:rsidP="0008725D">
            <w:r>
              <w:t>6</w:t>
            </w:r>
          </w:p>
        </w:tc>
        <w:tc>
          <w:tcPr>
            <w:tcW w:w="4748" w:type="dxa"/>
          </w:tcPr>
          <w:p w14:paraId="760D107F" w14:textId="55B74F45" w:rsidR="0008725D" w:rsidRPr="000C0B6C" w:rsidRDefault="00811F96" w:rsidP="0008725D">
            <w:r>
              <w:t>The monitoring element</w:t>
            </w:r>
            <w:r w:rsidR="0018318A">
              <w:t xml:space="preserve"> “trends in </w:t>
            </w:r>
            <w:r w:rsidR="00AC5529">
              <w:t>extent and rate of change of forests ecosystems”, should be reformulated to include quality/</w:t>
            </w:r>
            <w:proofErr w:type="spellStart"/>
            <w:r w:rsidR="00AC5529">
              <w:t>intergrity</w:t>
            </w:r>
            <w:proofErr w:type="spellEnd"/>
            <w:r w:rsidR="00AC5529">
              <w:t xml:space="preserve">-aspects; </w:t>
            </w:r>
            <w:r w:rsidR="0017606A">
              <w:t>“</w:t>
            </w:r>
            <w:r w:rsidR="00AC5529">
              <w:t>trends in extent, integrity and rate of change of forests ecosystems”</w:t>
            </w:r>
            <w:r w:rsidR="0017606A">
              <w:t>. The indicator on primary forest deforestation is important</w:t>
            </w:r>
            <w:r w:rsidR="00285DBD">
              <w:t xml:space="preserve"> and must remain. See also comments under Goal A above regarding forest indicators </w:t>
            </w:r>
          </w:p>
        </w:tc>
      </w:tr>
      <w:tr w:rsidR="0008725D" w:rsidRPr="000C0B6C" w14:paraId="63CDC070" w14:textId="77777777" w:rsidTr="00DC686F">
        <w:trPr>
          <w:trHeight w:val="224"/>
        </w:trPr>
        <w:tc>
          <w:tcPr>
            <w:tcW w:w="1296" w:type="dxa"/>
          </w:tcPr>
          <w:p w14:paraId="7BCA95AD" w14:textId="0C40DCA6" w:rsidR="0008725D" w:rsidRPr="000C0B6C" w:rsidRDefault="00104F6B" w:rsidP="0008725D">
            <w:r>
              <w:lastRenderedPageBreak/>
              <w:t>2</w:t>
            </w:r>
          </w:p>
        </w:tc>
        <w:tc>
          <w:tcPr>
            <w:tcW w:w="972" w:type="dxa"/>
          </w:tcPr>
          <w:p w14:paraId="25DD1219" w14:textId="5230531F" w:rsidR="0008725D" w:rsidRPr="000C0B6C" w:rsidRDefault="00104F6B" w:rsidP="0008725D">
            <w:r>
              <w:t>10-12</w:t>
            </w:r>
          </w:p>
        </w:tc>
        <w:tc>
          <w:tcPr>
            <w:tcW w:w="1374" w:type="dxa"/>
          </w:tcPr>
          <w:p w14:paraId="2D0C137D" w14:textId="2B352C9B" w:rsidR="0008725D" w:rsidRPr="000C0B6C" w:rsidRDefault="00F86234" w:rsidP="0008725D">
            <w:r>
              <w:t>A</w:t>
            </w:r>
          </w:p>
        </w:tc>
        <w:tc>
          <w:tcPr>
            <w:tcW w:w="1216" w:type="dxa"/>
            <w:gridSpan w:val="2"/>
          </w:tcPr>
          <w:p w14:paraId="4354640C" w14:textId="5D2862CA" w:rsidR="0008725D" w:rsidRPr="000C0B6C" w:rsidRDefault="009C7025" w:rsidP="0008725D">
            <w:r>
              <w:t>35-52</w:t>
            </w:r>
          </w:p>
        </w:tc>
        <w:tc>
          <w:tcPr>
            <w:tcW w:w="4748" w:type="dxa"/>
          </w:tcPr>
          <w:p w14:paraId="178EFEB2" w14:textId="2E9FEE90" w:rsidR="0008725D" w:rsidRPr="000C0B6C" w:rsidRDefault="00BF5C18" w:rsidP="0008725D">
            <w:r>
              <w:t>We welcome a goal to increase the protection o</w:t>
            </w:r>
            <w:r w:rsidR="00C25321">
              <w:t>f</w:t>
            </w:r>
            <w:r>
              <w:t xml:space="preserve"> biodiversity through an increase in protected areas and other effective conservation measures, but </w:t>
            </w:r>
            <w:r w:rsidR="00C25321">
              <w:t xml:space="preserve">strongly recommend that the rights, role and contribution of </w:t>
            </w:r>
            <w:r w:rsidR="00053718">
              <w:t xml:space="preserve">IPLCs are explicit part of the </w:t>
            </w:r>
            <w:r w:rsidR="00963E68">
              <w:t xml:space="preserve">components of this target. </w:t>
            </w:r>
            <w:r w:rsidR="005D73A3">
              <w:t xml:space="preserve">This can be included in the </w:t>
            </w:r>
            <w:r w:rsidR="006538FA">
              <w:t xml:space="preserve">target </w:t>
            </w:r>
            <w:proofErr w:type="gramStart"/>
            <w:r w:rsidR="006538FA">
              <w:t>formulation, or</w:t>
            </w:r>
            <w:proofErr w:type="gramEnd"/>
            <w:r w:rsidR="006538FA">
              <w:t xml:space="preserve"> added as a </w:t>
            </w:r>
            <w:r w:rsidR="005C6F8C">
              <w:t>new component of the target (A). We recognize the “</w:t>
            </w:r>
            <w:r w:rsidR="009C0E3C" w:rsidRPr="009C0E3C">
              <w:t>equitable governance</w:t>
            </w:r>
            <w:r w:rsidR="009C0E3C">
              <w:t xml:space="preserve">” in </w:t>
            </w:r>
            <w:r w:rsidR="009C0E3C" w:rsidRPr="009C0E3C">
              <w:t>T2.4.</w:t>
            </w:r>
            <w:r w:rsidR="009C0E3C">
              <w:t xml:space="preserve">, </w:t>
            </w:r>
            <w:r w:rsidR="009B1B64">
              <w:t>but this do</w:t>
            </w:r>
            <w:r w:rsidR="006D51E9">
              <w:t>e</w:t>
            </w:r>
            <w:r w:rsidR="009B1B64">
              <w:t>s not solve the issue of IPLCs</w:t>
            </w:r>
            <w:r w:rsidR="006D51E9">
              <w:t xml:space="preserve"> role and rights. </w:t>
            </w:r>
            <w:r w:rsidR="00B45448">
              <w:t xml:space="preserve"> </w:t>
            </w:r>
          </w:p>
        </w:tc>
      </w:tr>
      <w:tr w:rsidR="0008725D" w:rsidRPr="000C0B6C" w14:paraId="400F4A29" w14:textId="77777777" w:rsidTr="00DC686F">
        <w:trPr>
          <w:trHeight w:val="224"/>
        </w:trPr>
        <w:tc>
          <w:tcPr>
            <w:tcW w:w="1296" w:type="dxa"/>
          </w:tcPr>
          <w:p w14:paraId="4A9B24DD" w14:textId="601F937D" w:rsidR="0008725D" w:rsidRPr="000C0B6C" w:rsidRDefault="005456C7" w:rsidP="0008725D">
            <w:r>
              <w:t>2</w:t>
            </w:r>
          </w:p>
        </w:tc>
        <w:tc>
          <w:tcPr>
            <w:tcW w:w="972" w:type="dxa"/>
          </w:tcPr>
          <w:p w14:paraId="3CE215F1" w14:textId="1E464F29" w:rsidR="0008725D" w:rsidRPr="000C0B6C" w:rsidRDefault="005456C7" w:rsidP="0008725D">
            <w:r>
              <w:t>20</w:t>
            </w:r>
          </w:p>
        </w:tc>
        <w:tc>
          <w:tcPr>
            <w:tcW w:w="1374" w:type="dxa"/>
          </w:tcPr>
          <w:p w14:paraId="4870885B" w14:textId="0A57A333" w:rsidR="0008725D" w:rsidRPr="000C0B6C" w:rsidRDefault="005456C7" w:rsidP="0008725D">
            <w:r>
              <w:t>C</w:t>
            </w:r>
          </w:p>
        </w:tc>
        <w:tc>
          <w:tcPr>
            <w:tcW w:w="1216" w:type="dxa"/>
            <w:gridSpan w:val="2"/>
          </w:tcPr>
          <w:p w14:paraId="202BE1AE" w14:textId="791BFDFB" w:rsidR="0008725D" w:rsidRPr="000C0B6C" w:rsidRDefault="00634BF6" w:rsidP="0008725D">
            <w:r>
              <w:t>125</w:t>
            </w:r>
          </w:p>
        </w:tc>
        <w:tc>
          <w:tcPr>
            <w:tcW w:w="4748" w:type="dxa"/>
          </w:tcPr>
          <w:p w14:paraId="4E7D82C9" w14:textId="54F4639D" w:rsidR="00E30BC9" w:rsidRPr="000C0B6C" w:rsidRDefault="00634BF6" w:rsidP="00B25BA6">
            <w:r>
              <w:t xml:space="preserve">We </w:t>
            </w:r>
            <w:r w:rsidR="0018082D">
              <w:t>recommend</w:t>
            </w:r>
            <w:r>
              <w:t xml:space="preserve"> </w:t>
            </w:r>
            <w:r w:rsidR="0018082D">
              <w:t xml:space="preserve">two </w:t>
            </w:r>
            <w:r>
              <w:t>new, additional indicator</w:t>
            </w:r>
            <w:r w:rsidR="0018082D">
              <w:t>s</w:t>
            </w:r>
            <w:r w:rsidR="00ED2C09">
              <w:t xml:space="preserve"> under target </w:t>
            </w:r>
            <w:r w:rsidR="00030D71">
              <w:t>9</w:t>
            </w:r>
            <w:r>
              <w:t xml:space="preserve">: </w:t>
            </w:r>
            <w:r w:rsidR="00030D71">
              <w:t xml:space="preserve"> </w:t>
            </w:r>
            <w:r w:rsidR="00030D71">
              <w:br/>
            </w:r>
            <w:r w:rsidR="005A7721">
              <w:t xml:space="preserve">Number of investors and companies </w:t>
            </w:r>
            <w:r w:rsidR="005A4BA1">
              <w:t xml:space="preserve">with potential impact on </w:t>
            </w:r>
            <w:r w:rsidR="00681066">
              <w:t>forest</w:t>
            </w:r>
            <w:r w:rsidR="005A4BA1">
              <w:t xml:space="preserve"> ecosystems which</w:t>
            </w:r>
            <w:r w:rsidR="00681066">
              <w:t xml:space="preserve"> implement </w:t>
            </w:r>
            <w:r w:rsidR="005A4BA1">
              <w:t>zero defores</w:t>
            </w:r>
            <w:r w:rsidR="00681066">
              <w:t>tation policies</w:t>
            </w:r>
            <w:r w:rsidR="0018082D">
              <w:t xml:space="preserve">. </w:t>
            </w:r>
            <w:r w:rsidR="007B0556">
              <w:br/>
              <w:t xml:space="preserve">Number of investors and companies </w:t>
            </w:r>
            <w:r w:rsidR="000E5A31">
              <w:t>committed to due diligence policies with regard to biodiversity</w:t>
            </w:r>
            <w:r w:rsidR="00B25BA6">
              <w:t xml:space="preserve"> and indigenous </w:t>
            </w:r>
            <w:proofErr w:type="gramStart"/>
            <w:r w:rsidR="00B25BA6">
              <w:t>peoples</w:t>
            </w:r>
            <w:proofErr w:type="gramEnd"/>
            <w:r w:rsidR="00B25BA6">
              <w:t xml:space="preserve"> rights.  </w:t>
            </w:r>
          </w:p>
        </w:tc>
      </w:tr>
      <w:tr w:rsidR="0008725D" w:rsidRPr="000C0B6C" w14:paraId="089BB8AA" w14:textId="77777777" w:rsidTr="00DC686F">
        <w:trPr>
          <w:trHeight w:val="224"/>
        </w:trPr>
        <w:tc>
          <w:tcPr>
            <w:tcW w:w="1296" w:type="dxa"/>
          </w:tcPr>
          <w:p w14:paraId="02D48ADE" w14:textId="2BFB2240" w:rsidR="0008725D" w:rsidRPr="000C0B6C" w:rsidRDefault="004D6298" w:rsidP="0008725D">
            <w:r>
              <w:t>2</w:t>
            </w:r>
          </w:p>
        </w:tc>
        <w:tc>
          <w:tcPr>
            <w:tcW w:w="972" w:type="dxa"/>
          </w:tcPr>
          <w:p w14:paraId="2EE02284" w14:textId="11B2EC28" w:rsidR="0008725D" w:rsidRPr="000C0B6C" w:rsidRDefault="004D6298" w:rsidP="0008725D">
            <w:r>
              <w:t>25</w:t>
            </w:r>
          </w:p>
        </w:tc>
        <w:tc>
          <w:tcPr>
            <w:tcW w:w="1374" w:type="dxa"/>
          </w:tcPr>
          <w:p w14:paraId="679900D0" w14:textId="181A73B4" w:rsidR="0008725D" w:rsidRPr="000C0B6C" w:rsidRDefault="004D6298" w:rsidP="0008725D">
            <w:r>
              <w:t>A</w:t>
            </w:r>
          </w:p>
        </w:tc>
        <w:tc>
          <w:tcPr>
            <w:tcW w:w="1216" w:type="dxa"/>
            <w:gridSpan w:val="2"/>
          </w:tcPr>
          <w:p w14:paraId="73C11AC1" w14:textId="32F0C10D" w:rsidR="0008725D" w:rsidRPr="000C0B6C" w:rsidRDefault="004D6298" w:rsidP="0008725D">
            <w:r>
              <w:t>151</w:t>
            </w:r>
          </w:p>
        </w:tc>
        <w:tc>
          <w:tcPr>
            <w:tcW w:w="4748" w:type="dxa"/>
          </w:tcPr>
          <w:p w14:paraId="522C4D3B" w14:textId="5693F00D" w:rsidR="0008725D" w:rsidRPr="000C0B6C" w:rsidRDefault="00D10161" w:rsidP="0008725D">
            <w:r>
              <w:t xml:space="preserve">The special role of IPLCs </w:t>
            </w:r>
            <w:proofErr w:type="gramStart"/>
            <w:r>
              <w:t>with regard to</w:t>
            </w:r>
            <w:proofErr w:type="gramEnd"/>
            <w:r>
              <w:t xml:space="preserve"> traditional knowledge, and their rights to </w:t>
            </w:r>
            <w:r w:rsidR="00B76946">
              <w:t xml:space="preserve">benefits from utilization should be recognized. </w:t>
            </w:r>
          </w:p>
        </w:tc>
      </w:tr>
      <w:tr w:rsidR="0008725D" w:rsidRPr="000C0B6C" w14:paraId="0B4DA6BE" w14:textId="77777777" w:rsidTr="00DC686F">
        <w:trPr>
          <w:trHeight w:val="224"/>
        </w:trPr>
        <w:tc>
          <w:tcPr>
            <w:tcW w:w="1296" w:type="dxa"/>
          </w:tcPr>
          <w:p w14:paraId="5907F845" w14:textId="77777777" w:rsidR="0008725D" w:rsidRPr="000C0B6C" w:rsidRDefault="0008725D" w:rsidP="0008725D"/>
        </w:tc>
        <w:tc>
          <w:tcPr>
            <w:tcW w:w="972" w:type="dxa"/>
          </w:tcPr>
          <w:p w14:paraId="21CC56D8" w14:textId="77777777" w:rsidR="0008725D" w:rsidRPr="000C0B6C" w:rsidRDefault="0008725D" w:rsidP="0008725D"/>
        </w:tc>
        <w:tc>
          <w:tcPr>
            <w:tcW w:w="1374" w:type="dxa"/>
          </w:tcPr>
          <w:p w14:paraId="372C65E6" w14:textId="77777777" w:rsidR="0008725D" w:rsidRPr="000C0B6C" w:rsidRDefault="0008725D" w:rsidP="0008725D"/>
        </w:tc>
        <w:tc>
          <w:tcPr>
            <w:tcW w:w="1216" w:type="dxa"/>
            <w:gridSpan w:val="2"/>
          </w:tcPr>
          <w:p w14:paraId="3D4E02B2" w14:textId="77777777" w:rsidR="0008725D" w:rsidRPr="000C0B6C" w:rsidRDefault="0008725D" w:rsidP="0008725D"/>
        </w:tc>
        <w:tc>
          <w:tcPr>
            <w:tcW w:w="4748" w:type="dxa"/>
          </w:tcPr>
          <w:p w14:paraId="74CA2DD8" w14:textId="77777777" w:rsidR="0008725D" w:rsidRPr="000C0B6C" w:rsidRDefault="0008725D" w:rsidP="0008725D"/>
        </w:tc>
      </w:tr>
      <w:tr w:rsidR="0008725D" w:rsidRPr="000C0B6C" w14:paraId="0816580C" w14:textId="77777777" w:rsidTr="00DC686F">
        <w:trPr>
          <w:trHeight w:val="224"/>
        </w:trPr>
        <w:tc>
          <w:tcPr>
            <w:tcW w:w="1296" w:type="dxa"/>
          </w:tcPr>
          <w:p w14:paraId="3D027076" w14:textId="5E08A218" w:rsidR="0008725D" w:rsidRPr="000C0B6C" w:rsidRDefault="00FD23D2" w:rsidP="0008725D">
            <w:r>
              <w:t>2</w:t>
            </w:r>
          </w:p>
        </w:tc>
        <w:tc>
          <w:tcPr>
            <w:tcW w:w="972" w:type="dxa"/>
          </w:tcPr>
          <w:p w14:paraId="21A12381" w14:textId="24B33A25" w:rsidR="0008725D" w:rsidRPr="000C0B6C" w:rsidRDefault="00CD56C4" w:rsidP="0008725D">
            <w:r>
              <w:t>27</w:t>
            </w:r>
          </w:p>
        </w:tc>
        <w:tc>
          <w:tcPr>
            <w:tcW w:w="1374" w:type="dxa"/>
          </w:tcPr>
          <w:p w14:paraId="3DDBCE07" w14:textId="77777777" w:rsidR="0008725D" w:rsidRPr="000C0B6C" w:rsidRDefault="0008725D" w:rsidP="0008725D"/>
        </w:tc>
        <w:tc>
          <w:tcPr>
            <w:tcW w:w="1216" w:type="dxa"/>
            <w:gridSpan w:val="2"/>
          </w:tcPr>
          <w:p w14:paraId="347BA4EE" w14:textId="77777777" w:rsidR="0008725D" w:rsidRPr="000C0B6C" w:rsidRDefault="0008725D" w:rsidP="0008725D"/>
        </w:tc>
        <w:tc>
          <w:tcPr>
            <w:tcW w:w="4748" w:type="dxa"/>
          </w:tcPr>
          <w:p w14:paraId="4CB9D801" w14:textId="0C2F31B8" w:rsidR="00B17527" w:rsidRDefault="00CD56C4" w:rsidP="0008725D">
            <w:r>
              <w:t>Ta</w:t>
            </w:r>
            <w:r w:rsidR="00B17527">
              <w:t>r</w:t>
            </w:r>
            <w:r>
              <w:t>get 13</w:t>
            </w:r>
            <w:r w:rsidR="00B17527">
              <w:t xml:space="preserve"> on mainstreamin</w:t>
            </w:r>
            <w:r w:rsidR="00870858">
              <w:t xml:space="preserve">g </w:t>
            </w:r>
            <w:r>
              <w:t xml:space="preserve">and its components and monitoring elements are extremely important for </w:t>
            </w:r>
            <w:r w:rsidR="00B17527">
              <w:t xml:space="preserve">the range of goals in a post 2020 GBF. </w:t>
            </w:r>
          </w:p>
          <w:p w14:paraId="532AD537" w14:textId="77777777" w:rsidR="0008725D" w:rsidRDefault="0008725D" w:rsidP="0008725D"/>
          <w:p w14:paraId="067315C2" w14:textId="4D7DB909" w:rsidR="00381E4D" w:rsidRPr="000C0B6C" w:rsidRDefault="00F34142" w:rsidP="0008725D">
            <w:r>
              <w:t>National s</w:t>
            </w:r>
            <w:r w:rsidR="00FE7307">
              <w:t xml:space="preserve">trategies </w:t>
            </w:r>
            <w:r>
              <w:t>(NBSAP</w:t>
            </w:r>
            <w:r w:rsidR="00946AD6">
              <w:t>S</w:t>
            </w:r>
            <w:r>
              <w:t>)</w:t>
            </w:r>
            <w:r w:rsidR="00946AD6">
              <w:t xml:space="preserve"> and </w:t>
            </w:r>
            <w:r>
              <w:t xml:space="preserve">reporting should include </w:t>
            </w:r>
            <w:r w:rsidR="00271C06">
              <w:t>trends for inclusion of biodiversity in planning and strategies,</w:t>
            </w:r>
            <w:r w:rsidR="00467F95">
              <w:t xml:space="preserve"> in </w:t>
            </w:r>
            <w:r w:rsidR="00271C06">
              <w:t xml:space="preserve">EIAs and </w:t>
            </w:r>
            <w:r w:rsidR="00467F95">
              <w:t xml:space="preserve">in spatial planning. </w:t>
            </w:r>
          </w:p>
        </w:tc>
      </w:tr>
      <w:tr w:rsidR="0008725D" w:rsidRPr="000C0B6C" w14:paraId="694BF756" w14:textId="77777777" w:rsidTr="00DC686F">
        <w:trPr>
          <w:trHeight w:val="224"/>
        </w:trPr>
        <w:tc>
          <w:tcPr>
            <w:tcW w:w="1296" w:type="dxa"/>
          </w:tcPr>
          <w:p w14:paraId="5C3C6A0C" w14:textId="77777777" w:rsidR="0008725D" w:rsidRPr="000C0B6C" w:rsidRDefault="0008725D" w:rsidP="0008725D"/>
        </w:tc>
        <w:tc>
          <w:tcPr>
            <w:tcW w:w="972" w:type="dxa"/>
          </w:tcPr>
          <w:p w14:paraId="14BD3637" w14:textId="77777777" w:rsidR="0008725D" w:rsidRPr="000C0B6C" w:rsidRDefault="0008725D" w:rsidP="0008725D"/>
        </w:tc>
        <w:tc>
          <w:tcPr>
            <w:tcW w:w="1374" w:type="dxa"/>
          </w:tcPr>
          <w:p w14:paraId="39D58604" w14:textId="77777777" w:rsidR="0008725D" w:rsidRPr="000C0B6C" w:rsidRDefault="0008725D" w:rsidP="0008725D"/>
        </w:tc>
        <w:tc>
          <w:tcPr>
            <w:tcW w:w="1216" w:type="dxa"/>
            <w:gridSpan w:val="2"/>
          </w:tcPr>
          <w:p w14:paraId="4F831D78" w14:textId="77777777" w:rsidR="0008725D" w:rsidRPr="000C0B6C" w:rsidRDefault="0008725D" w:rsidP="0008725D"/>
        </w:tc>
        <w:tc>
          <w:tcPr>
            <w:tcW w:w="4748" w:type="dxa"/>
          </w:tcPr>
          <w:p w14:paraId="740E7283" w14:textId="77777777" w:rsidR="0008725D" w:rsidRPr="000C0B6C" w:rsidRDefault="0008725D" w:rsidP="0008725D"/>
        </w:tc>
      </w:tr>
      <w:tr w:rsidR="0008725D" w:rsidRPr="000C0B6C" w14:paraId="71F7BAB7" w14:textId="77777777" w:rsidTr="00DC686F">
        <w:trPr>
          <w:trHeight w:val="224"/>
        </w:trPr>
        <w:tc>
          <w:tcPr>
            <w:tcW w:w="1296" w:type="dxa"/>
          </w:tcPr>
          <w:p w14:paraId="225C7FE0" w14:textId="5E67C263" w:rsidR="0008725D" w:rsidRPr="000C0B6C" w:rsidRDefault="004709D4" w:rsidP="0008725D">
            <w:r>
              <w:t>2</w:t>
            </w:r>
          </w:p>
        </w:tc>
        <w:tc>
          <w:tcPr>
            <w:tcW w:w="972" w:type="dxa"/>
          </w:tcPr>
          <w:p w14:paraId="51A281DA" w14:textId="7C803B16" w:rsidR="0008725D" w:rsidRPr="000C0B6C" w:rsidRDefault="004709D4" w:rsidP="0008725D">
            <w:r>
              <w:t>29</w:t>
            </w:r>
          </w:p>
        </w:tc>
        <w:tc>
          <w:tcPr>
            <w:tcW w:w="1374" w:type="dxa"/>
          </w:tcPr>
          <w:p w14:paraId="625C5AFD" w14:textId="3E5F1085" w:rsidR="0008725D" w:rsidRPr="000C0B6C" w:rsidRDefault="004E7993" w:rsidP="0008725D">
            <w:r>
              <w:t>C</w:t>
            </w:r>
          </w:p>
        </w:tc>
        <w:tc>
          <w:tcPr>
            <w:tcW w:w="1216" w:type="dxa"/>
            <w:gridSpan w:val="2"/>
          </w:tcPr>
          <w:p w14:paraId="0C1B911A" w14:textId="67F1BEEC" w:rsidR="0008725D" w:rsidRPr="000C0B6C" w:rsidRDefault="004709D4" w:rsidP="0008725D">
            <w:r>
              <w:t>178</w:t>
            </w:r>
          </w:p>
        </w:tc>
        <w:tc>
          <w:tcPr>
            <w:tcW w:w="4748" w:type="dxa"/>
          </w:tcPr>
          <w:p w14:paraId="241AE35A" w14:textId="0A5E9D93" w:rsidR="0008725D" w:rsidRDefault="004E7993" w:rsidP="00D51EF7">
            <w:r>
              <w:t xml:space="preserve">Mobilizing the financial sector to implement </w:t>
            </w:r>
            <w:r w:rsidR="00BD1A85">
              <w:t xml:space="preserve">biodiversity and will be key to turn the global trend of biodiversity loss. </w:t>
            </w:r>
          </w:p>
          <w:p w14:paraId="189A4938" w14:textId="73C4C5C4" w:rsidR="00BD1A85" w:rsidRPr="000C0B6C" w:rsidRDefault="00BD1A85" w:rsidP="00D51EF7">
            <w:r>
              <w:t xml:space="preserve">We suggest </w:t>
            </w:r>
            <w:r w:rsidR="00236981">
              <w:t>the trend (</w:t>
            </w:r>
            <w:r w:rsidR="00AF0654">
              <w:t>number</w:t>
            </w:r>
            <w:r w:rsidR="00236981">
              <w:t>) of investors committed to 0-deforestation policies</w:t>
            </w:r>
            <w:r w:rsidR="007A1473">
              <w:t xml:space="preserve"> as one indicator under </w:t>
            </w:r>
            <w:r w:rsidR="00B438DC">
              <w:t>T14.3</w:t>
            </w:r>
          </w:p>
        </w:tc>
      </w:tr>
      <w:tr w:rsidR="0008725D" w:rsidRPr="000C0B6C" w14:paraId="297E4DC1" w14:textId="77777777" w:rsidTr="00DC686F">
        <w:trPr>
          <w:trHeight w:val="224"/>
        </w:trPr>
        <w:tc>
          <w:tcPr>
            <w:tcW w:w="1296" w:type="dxa"/>
          </w:tcPr>
          <w:p w14:paraId="47C2E25C" w14:textId="77777777" w:rsidR="0008725D" w:rsidRPr="000C0B6C" w:rsidRDefault="0008725D" w:rsidP="0008725D"/>
        </w:tc>
        <w:tc>
          <w:tcPr>
            <w:tcW w:w="972" w:type="dxa"/>
          </w:tcPr>
          <w:p w14:paraId="1A72C235" w14:textId="77777777" w:rsidR="0008725D" w:rsidRPr="000C0B6C" w:rsidRDefault="0008725D" w:rsidP="0008725D"/>
        </w:tc>
        <w:tc>
          <w:tcPr>
            <w:tcW w:w="1374" w:type="dxa"/>
          </w:tcPr>
          <w:p w14:paraId="3F913C7A" w14:textId="77777777" w:rsidR="0008725D" w:rsidRPr="000C0B6C" w:rsidRDefault="0008725D" w:rsidP="0008725D"/>
        </w:tc>
        <w:tc>
          <w:tcPr>
            <w:tcW w:w="1216" w:type="dxa"/>
            <w:gridSpan w:val="2"/>
          </w:tcPr>
          <w:p w14:paraId="41C9EA43" w14:textId="77777777" w:rsidR="0008725D" w:rsidRPr="000C0B6C" w:rsidRDefault="0008725D" w:rsidP="0008725D"/>
        </w:tc>
        <w:tc>
          <w:tcPr>
            <w:tcW w:w="4748" w:type="dxa"/>
          </w:tcPr>
          <w:p w14:paraId="7A2CF34A" w14:textId="77777777" w:rsidR="0008725D" w:rsidRPr="000C0B6C" w:rsidRDefault="0008725D" w:rsidP="0008725D"/>
        </w:tc>
      </w:tr>
      <w:tr w:rsidR="0008725D" w:rsidRPr="000C0B6C" w14:paraId="360B2385" w14:textId="77777777" w:rsidTr="00DC686F">
        <w:trPr>
          <w:trHeight w:val="224"/>
        </w:trPr>
        <w:tc>
          <w:tcPr>
            <w:tcW w:w="1296" w:type="dxa"/>
          </w:tcPr>
          <w:p w14:paraId="6D799FEE" w14:textId="369EF392" w:rsidR="0008725D" w:rsidRPr="000C0B6C" w:rsidRDefault="00E9101F" w:rsidP="0008725D">
            <w:r>
              <w:t>2</w:t>
            </w:r>
          </w:p>
        </w:tc>
        <w:tc>
          <w:tcPr>
            <w:tcW w:w="972" w:type="dxa"/>
          </w:tcPr>
          <w:p w14:paraId="6DF95DDA" w14:textId="18FAAA47" w:rsidR="0008725D" w:rsidRPr="000C0B6C" w:rsidRDefault="00EE5F57" w:rsidP="0008725D">
            <w:r>
              <w:t>33-34</w:t>
            </w:r>
          </w:p>
        </w:tc>
        <w:tc>
          <w:tcPr>
            <w:tcW w:w="1374" w:type="dxa"/>
          </w:tcPr>
          <w:p w14:paraId="12925FB8" w14:textId="333FE560" w:rsidR="0008725D" w:rsidRPr="000C0B6C" w:rsidRDefault="00A80A1F" w:rsidP="0008725D">
            <w:r>
              <w:t>A, B, C</w:t>
            </w:r>
          </w:p>
        </w:tc>
        <w:tc>
          <w:tcPr>
            <w:tcW w:w="1216" w:type="dxa"/>
            <w:gridSpan w:val="2"/>
          </w:tcPr>
          <w:p w14:paraId="146EE280" w14:textId="5CDAC851" w:rsidR="0008725D" w:rsidRPr="000C0B6C" w:rsidRDefault="00FE727F" w:rsidP="0008725D">
            <w:r>
              <w:t>205-210</w:t>
            </w:r>
          </w:p>
        </w:tc>
        <w:tc>
          <w:tcPr>
            <w:tcW w:w="4748" w:type="dxa"/>
          </w:tcPr>
          <w:p w14:paraId="7CF3F501" w14:textId="3D288CA1" w:rsidR="0008725D" w:rsidRPr="000C0B6C" w:rsidRDefault="00E9101F" w:rsidP="0008725D">
            <w:r>
              <w:t xml:space="preserve">We strongly support the </w:t>
            </w:r>
            <w:r w:rsidR="00011D5A" w:rsidRPr="00011D5A">
              <w:t xml:space="preserve">Target 17 </w:t>
            </w:r>
            <w:r w:rsidR="00771805">
              <w:t>component</w:t>
            </w:r>
            <w:r w:rsidR="009C31FB">
              <w:t xml:space="preserve">s, especially the T 17.2, its </w:t>
            </w:r>
            <w:r w:rsidR="00E3529C">
              <w:t xml:space="preserve">monitoring elements and indicators. </w:t>
            </w:r>
            <w:r w:rsidR="00FA0CF8">
              <w:t>Much more emphasis should be put on national reporting on these elements</w:t>
            </w:r>
            <w:r w:rsidR="002C5BA8">
              <w:t xml:space="preserve"> compared to what was the practice for such topics under the </w:t>
            </w:r>
            <w:r w:rsidR="002C5BA8">
              <w:lastRenderedPageBreak/>
              <w:t xml:space="preserve">Aichi targets. </w:t>
            </w:r>
          </w:p>
        </w:tc>
      </w:tr>
      <w:tr w:rsidR="0008725D" w:rsidRPr="000C0B6C" w14:paraId="38DE1B43" w14:textId="77777777" w:rsidTr="00DC686F">
        <w:trPr>
          <w:trHeight w:val="224"/>
        </w:trPr>
        <w:tc>
          <w:tcPr>
            <w:tcW w:w="1296" w:type="dxa"/>
          </w:tcPr>
          <w:p w14:paraId="53CFC173" w14:textId="649D561A" w:rsidR="0008725D" w:rsidRPr="000C0B6C" w:rsidRDefault="00AE0F73" w:rsidP="0008725D">
            <w:r>
              <w:lastRenderedPageBreak/>
              <w:t>2</w:t>
            </w:r>
          </w:p>
        </w:tc>
        <w:tc>
          <w:tcPr>
            <w:tcW w:w="972" w:type="dxa"/>
          </w:tcPr>
          <w:p w14:paraId="643D31B7" w14:textId="3F3FE32C" w:rsidR="0008725D" w:rsidRPr="000C0B6C" w:rsidRDefault="00AE0F73" w:rsidP="0008725D">
            <w:r>
              <w:t>38</w:t>
            </w:r>
          </w:p>
        </w:tc>
        <w:tc>
          <w:tcPr>
            <w:tcW w:w="1374" w:type="dxa"/>
          </w:tcPr>
          <w:p w14:paraId="1AA92AA0" w14:textId="72ABE067" w:rsidR="0008725D" w:rsidRPr="000C0B6C" w:rsidRDefault="00AE0F73" w:rsidP="0008725D">
            <w:r>
              <w:t>A, B, C</w:t>
            </w:r>
          </w:p>
        </w:tc>
        <w:tc>
          <w:tcPr>
            <w:tcW w:w="1216" w:type="dxa"/>
            <w:gridSpan w:val="2"/>
          </w:tcPr>
          <w:p w14:paraId="66D4FA3D" w14:textId="4F67668D" w:rsidR="0008725D" w:rsidRPr="000C0B6C" w:rsidRDefault="00AE0F73" w:rsidP="0008725D">
            <w:r>
              <w:t>239-240</w:t>
            </w:r>
          </w:p>
        </w:tc>
        <w:tc>
          <w:tcPr>
            <w:tcW w:w="4748" w:type="dxa"/>
          </w:tcPr>
          <w:p w14:paraId="1390E642" w14:textId="5B7D9C88" w:rsidR="0008725D" w:rsidRPr="000C0B6C" w:rsidRDefault="00AE0F73" w:rsidP="0008725D">
            <w:r>
              <w:t xml:space="preserve">This target and its components </w:t>
            </w:r>
            <w:r w:rsidR="0094215A">
              <w:t>are</w:t>
            </w:r>
            <w:r w:rsidR="000825CF">
              <w:t xml:space="preserve"> the most important part of the framework in order to </w:t>
            </w:r>
            <w:r w:rsidR="00C67D2F">
              <w:t xml:space="preserve">enable meaningful participation and avoid violation of rights for IPLCs. </w:t>
            </w:r>
            <w:r w:rsidR="00680005">
              <w:t>The t</w:t>
            </w:r>
            <w:r w:rsidR="00B02A85">
              <w:t>a</w:t>
            </w:r>
            <w:r w:rsidR="00680005">
              <w:t xml:space="preserve">rget components currently </w:t>
            </w:r>
            <w:bookmarkStart w:id="2" w:name="_GoBack"/>
            <w:bookmarkEnd w:id="2"/>
            <w:r w:rsidR="00680005">
              <w:t>included must be maintained</w:t>
            </w:r>
            <w:r w:rsidR="00B02A85">
              <w:t xml:space="preserve"> as a minimum </w:t>
            </w:r>
            <w:r w:rsidR="00736634">
              <w:t xml:space="preserve">for the GBF to be relevant on the ground. See also general comments. </w:t>
            </w:r>
          </w:p>
        </w:tc>
      </w:tr>
      <w:tr w:rsidR="0008725D" w:rsidRPr="000C0B6C" w14:paraId="096362FF" w14:textId="77777777" w:rsidTr="00DC686F">
        <w:trPr>
          <w:trHeight w:val="224"/>
        </w:trPr>
        <w:tc>
          <w:tcPr>
            <w:tcW w:w="1296" w:type="dxa"/>
          </w:tcPr>
          <w:p w14:paraId="33703C6D" w14:textId="77777777" w:rsidR="0008725D" w:rsidRPr="000C0B6C" w:rsidRDefault="0008725D" w:rsidP="0008725D"/>
        </w:tc>
        <w:tc>
          <w:tcPr>
            <w:tcW w:w="972" w:type="dxa"/>
          </w:tcPr>
          <w:p w14:paraId="73CAE302" w14:textId="77777777" w:rsidR="0008725D" w:rsidRPr="000C0B6C" w:rsidRDefault="0008725D" w:rsidP="0008725D"/>
        </w:tc>
        <w:tc>
          <w:tcPr>
            <w:tcW w:w="1374" w:type="dxa"/>
          </w:tcPr>
          <w:p w14:paraId="4973B385" w14:textId="77777777" w:rsidR="0008725D" w:rsidRPr="000C0B6C" w:rsidRDefault="0008725D" w:rsidP="0008725D"/>
        </w:tc>
        <w:tc>
          <w:tcPr>
            <w:tcW w:w="1216" w:type="dxa"/>
            <w:gridSpan w:val="2"/>
          </w:tcPr>
          <w:p w14:paraId="76BACF74" w14:textId="77777777" w:rsidR="0008725D" w:rsidRPr="000C0B6C" w:rsidRDefault="0008725D" w:rsidP="0008725D"/>
        </w:tc>
        <w:tc>
          <w:tcPr>
            <w:tcW w:w="4748" w:type="dxa"/>
          </w:tcPr>
          <w:p w14:paraId="77B582AF" w14:textId="77777777" w:rsidR="0008725D" w:rsidRPr="000C0B6C" w:rsidRDefault="0008725D" w:rsidP="0008725D"/>
        </w:tc>
      </w:tr>
      <w:tr w:rsidR="0008725D" w:rsidRPr="000C0B6C" w14:paraId="353C26FD" w14:textId="77777777" w:rsidTr="00DC686F">
        <w:trPr>
          <w:trHeight w:val="224"/>
        </w:trPr>
        <w:tc>
          <w:tcPr>
            <w:tcW w:w="1296" w:type="dxa"/>
          </w:tcPr>
          <w:p w14:paraId="44D98802" w14:textId="77777777" w:rsidR="0008725D" w:rsidRPr="000C0B6C" w:rsidRDefault="0008725D" w:rsidP="0008725D"/>
        </w:tc>
        <w:tc>
          <w:tcPr>
            <w:tcW w:w="972" w:type="dxa"/>
          </w:tcPr>
          <w:p w14:paraId="6843977B" w14:textId="77777777" w:rsidR="0008725D" w:rsidRPr="000C0B6C" w:rsidRDefault="0008725D" w:rsidP="0008725D"/>
        </w:tc>
        <w:tc>
          <w:tcPr>
            <w:tcW w:w="1374" w:type="dxa"/>
          </w:tcPr>
          <w:p w14:paraId="041732F6" w14:textId="77777777" w:rsidR="0008725D" w:rsidRPr="000C0B6C" w:rsidRDefault="0008725D" w:rsidP="0008725D"/>
        </w:tc>
        <w:tc>
          <w:tcPr>
            <w:tcW w:w="1216" w:type="dxa"/>
            <w:gridSpan w:val="2"/>
          </w:tcPr>
          <w:p w14:paraId="090AC2B7" w14:textId="77777777" w:rsidR="0008725D" w:rsidRPr="000C0B6C" w:rsidRDefault="0008725D" w:rsidP="0008725D"/>
        </w:tc>
        <w:tc>
          <w:tcPr>
            <w:tcW w:w="4748" w:type="dxa"/>
          </w:tcPr>
          <w:p w14:paraId="7CDC948F" w14:textId="77777777" w:rsidR="0008725D" w:rsidRPr="000C0B6C" w:rsidRDefault="0008725D" w:rsidP="0008725D">
            <w:r w:rsidRPr="000C0B6C">
              <w:rPr>
                <w:sz w:val="22"/>
                <w:szCs w:val="22"/>
              </w:rPr>
              <w:t>Additional rows can be added to this table by selecting “Table” followed by “insert” and “rows below”</w:t>
            </w:r>
          </w:p>
        </w:tc>
      </w:tr>
    </w:tbl>
    <w:p w14:paraId="5FB08742" w14:textId="77777777" w:rsidR="00AA726F" w:rsidRPr="00532BBA" w:rsidRDefault="00AA726F" w:rsidP="00DB71FC">
      <w:pPr>
        <w:pStyle w:val="Default"/>
        <w:jc w:val="center"/>
        <w:rPr>
          <w:b/>
          <w:sz w:val="22"/>
          <w:szCs w:val="22"/>
          <w:u w:val="single"/>
        </w:rPr>
      </w:pPr>
    </w:p>
    <w:p w14:paraId="1241D688" w14:textId="77777777" w:rsidR="00AA726F" w:rsidRPr="00624FAA" w:rsidRDefault="00624FAA" w:rsidP="00DB71FC">
      <w:pPr>
        <w:jc w:val="both"/>
        <w:rPr>
          <w:i/>
          <w:szCs w:val="22"/>
        </w:rPr>
      </w:pPr>
      <w:r w:rsidRPr="00624FAA">
        <w:rPr>
          <w:i/>
          <w:sz w:val="22"/>
          <w:szCs w:val="22"/>
        </w:rPr>
        <w:t xml:space="preserve">Comments should be sent by e-mail to </w:t>
      </w:r>
      <w:hyperlink r:id="rId14" w:history="1">
        <w:r w:rsidRPr="00624FAA">
          <w:rPr>
            <w:rStyle w:val="Hyperkobling"/>
            <w:i/>
            <w:sz w:val="22"/>
            <w:szCs w:val="22"/>
          </w:rPr>
          <w:t>secretariat@cbd.int</w:t>
        </w:r>
      </w:hyperlink>
      <w:r w:rsidRPr="00153018">
        <w:rPr>
          <w:i/>
          <w:sz w:val="22"/>
          <w:szCs w:val="22"/>
        </w:rPr>
        <w:t xml:space="preserve"> </w:t>
      </w:r>
      <w:r w:rsidRPr="002337AC">
        <w:rPr>
          <w:b/>
          <w:i/>
          <w:sz w:val="22"/>
          <w:szCs w:val="22"/>
        </w:rPr>
        <w:t xml:space="preserve">no later than </w:t>
      </w:r>
      <w:r w:rsidR="002337AC" w:rsidRPr="002337AC">
        <w:rPr>
          <w:b/>
          <w:i/>
          <w:sz w:val="22"/>
          <w:szCs w:val="22"/>
        </w:rPr>
        <w:t>25 July 2020</w:t>
      </w:r>
      <w:r w:rsidRPr="00153018">
        <w:rPr>
          <w:i/>
          <w:sz w:val="22"/>
          <w:szCs w:val="22"/>
        </w:rPr>
        <w:t>.</w:t>
      </w:r>
    </w:p>
    <w:sectPr w:rsidR="00AA726F" w:rsidRPr="00624FAA" w:rsidSect="00A312D8">
      <w:headerReference w:type="first" r:id="rId15"/>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A8A4" w14:textId="77777777" w:rsidR="0085727C" w:rsidRDefault="0085727C">
      <w:r>
        <w:separator/>
      </w:r>
    </w:p>
  </w:endnote>
  <w:endnote w:type="continuationSeparator" w:id="0">
    <w:p w14:paraId="5F4CF3DB" w14:textId="77777777" w:rsidR="0085727C" w:rsidRDefault="0085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DF326" w14:textId="77777777" w:rsidR="0085727C" w:rsidRDefault="0085727C">
      <w:r>
        <w:separator/>
      </w:r>
    </w:p>
  </w:footnote>
  <w:footnote w:type="continuationSeparator" w:id="0">
    <w:p w14:paraId="115E9367" w14:textId="77777777" w:rsidR="0085727C" w:rsidRDefault="0085727C">
      <w:r>
        <w:continuationSeparator/>
      </w:r>
    </w:p>
  </w:footnote>
  <w:footnote w:id="1">
    <w:p w14:paraId="361352A8" w14:textId="77777777" w:rsidR="00750EDF" w:rsidRDefault="00750EDF" w:rsidP="00750EDF">
      <w:pPr>
        <w:pStyle w:val="Fotnotetekst"/>
      </w:pPr>
      <w:r>
        <w:rPr>
          <w:rStyle w:val="Fotnotereferanse"/>
        </w:rPr>
        <w:footnoteRef/>
      </w:r>
      <w:r>
        <w:t xml:space="preserve"> </w:t>
      </w:r>
      <w:hyperlink r:id="rId1" w:history="1">
        <w:r w:rsidRPr="006C519C">
          <w:rPr>
            <w:rStyle w:val="Hyperkobling"/>
          </w:rPr>
          <w:t>CBD/WG2020/REC/2/1</w:t>
        </w:r>
      </w:hyperlink>
    </w:p>
  </w:footnote>
  <w:footnote w:id="2">
    <w:p w14:paraId="1E56D6B8" w14:textId="77777777" w:rsidR="00750EDF" w:rsidRDefault="00750EDF">
      <w:pPr>
        <w:pStyle w:val="Fotnotetekst"/>
      </w:pPr>
      <w:r>
        <w:rPr>
          <w:rStyle w:val="Fotnotereferanse"/>
        </w:rPr>
        <w:footnoteRef/>
      </w:r>
      <w:r>
        <w:t xml:space="preserve"> </w:t>
      </w:r>
      <w:hyperlink r:id="rId2" w:history="1">
        <w:r>
          <w:rPr>
            <w:rStyle w:val="Hyperkobling"/>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3892" w14:textId="77777777" w:rsidR="00AA726F" w:rsidRDefault="00AA726F" w:rsidP="00CB31A6">
    <w:pPr>
      <w:pStyle w:val="Topptekst"/>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83974AC"/>
    <w:multiLevelType w:val="hybridMultilevel"/>
    <w:tmpl w:val="69262E62"/>
    <w:lvl w:ilvl="0" w:tplc="678E4174">
      <w:start w:val="8"/>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42B5"/>
    <w:rsid w:val="0000434A"/>
    <w:rsid w:val="00011D5A"/>
    <w:rsid w:val="0001655B"/>
    <w:rsid w:val="00020CB7"/>
    <w:rsid w:val="00022161"/>
    <w:rsid w:val="0002384F"/>
    <w:rsid w:val="00026E1F"/>
    <w:rsid w:val="00026E95"/>
    <w:rsid w:val="00030D71"/>
    <w:rsid w:val="0003169E"/>
    <w:rsid w:val="000349D3"/>
    <w:rsid w:val="00034DD7"/>
    <w:rsid w:val="00053583"/>
    <w:rsid w:val="00053718"/>
    <w:rsid w:val="00056C82"/>
    <w:rsid w:val="00060BC8"/>
    <w:rsid w:val="00060F26"/>
    <w:rsid w:val="000613D7"/>
    <w:rsid w:val="00073D16"/>
    <w:rsid w:val="00077D4C"/>
    <w:rsid w:val="00080C1C"/>
    <w:rsid w:val="000825CF"/>
    <w:rsid w:val="00082816"/>
    <w:rsid w:val="0008725D"/>
    <w:rsid w:val="00090581"/>
    <w:rsid w:val="000961FB"/>
    <w:rsid w:val="000968B8"/>
    <w:rsid w:val="000975F5"/>
    <w:rsid w:val="000A1EAF"/>
    <w:rsid w:val="000A7714"/>
    <w:rsid w:val="000B0676"/>
    <w:rsid w:val="000B0F18"/>
    <w:rsid w:val="000B235B"/>
    <w:rsid w:val="000B25B2"/>
    <w:rsid w:val="000B481B"/>
    <w:rsid w:val="000B6228"/>
    <w:rsid w:val="000B755B"/>
    <w:rsid w:val="000C0B6C"/>
    <w:rsid w:val="000C24CC"/>
    <w:rsid w:val="000C3B0B"/>
    <w:rsid w:val="000C3EC1"/>
    <w:rsid w:val="000C58F8"/>
    <w:rsid w:val="000D768F"/>
    <w:rsid w:val="000E00E7"/>
    <w:rsid w:val="000E3797"/>
    <w:rsid w:val="000E584C"/>
    <w:rsid w:val="000E5A31"/>
    <w:rsid w:val="000F0153"/>
    <w:rsid w:val="000F4369"/>
    <w:rsid w:val="000F591A"/>
    <w:rsid w:val="000F75FC"/>
    <w:rsid w:val="00104D23"/>
    <w:rsid w:val="00104F6B"/>
    <w:rsid w:val="00106B28"/>
    <w:rsid w:val="0011369D"/>
    <w:rsid w:val="00113E4D"/>
    <w:rsid w:val="001208DE"/>
    <w:rsid w:val="001209EA"/>
    <w:rsid w:val="00125EB6"/>
    <w:rsid w:val="00126D00"/>
    <w:rsid w:val="00131A78"/>
    <w:rsid w:val="0014140A"/>
    <w:rsid w:val="00141F88"/>
    <w:rsid w:val="00142D22"/>
    <w:rsid w:val="00150DE2"/>
    <w:rsid w:val="00151E98"/>
    <w:rsid w:val="00153018"/>
    <w:rsid w:val="00153337"/>
    <w:rsid w:val="00153417"/>
    <w:rsid w:val="00166697"/>
    <w:rsid w:val="00166A54"/>
    <w:rsid w:val="001675DF"/>
    <w:rsid w:val="00170A3F"/>
    <w:rsid w:val="00172158"/>
    <w:rsid w:val="00172EAA"/>
    <w:rsid w:val="00174672"/>
    <w:rsid w:val="0017606A"/>
    <w:rsid w:val="001771FC"/>
    <w:rsid w:val="00180138"/>
    <w:rsid w:val="001802DB"/>
    <w:rsid w:val="0018082D"/>
    <w:rsid w:val="0018318A"/>
    <w:rsid w:val="00194837"/>
    <w:rsid w:val="001A023E"/>
    <w:rsid w:val="001A10AB"/>
    <w:rsid w:val="001A7B51"/>
    <w:rsid w:val="001B4C52"/>
    <w:rsid w:val="001B7642"/>
    <w:rsid w:val="001D02A5"/>
    <w:rsid w:val="001D3754"/>
    <w:rsid w:val="001D3EF3"/>
    <w:rsid w:val="001D5150"/>
    <w:rsid w:val="001D649D"/>
    <w:rsid w:val="001D7177"/>
    <w:rsid w:val="001E3E11"/>
    <w:rsid w:val="001E4825"/>
    <w:rsid w:val="001F34E8"/>
    <w:rsid w:val="001F4C8B"/>
    <w:rsid w:val="001F702B"/>
    <w:rsid w:val="00203867"/>
    <w:rsid w:val="002045AD"/>
    <w:rsid w:val="00204F89"/>
    <w:rsid w:val="002072A5"/>
    <w:rsid w:val="00211568"/>
    <w:rsid w:val="00212D6B"/>
    <w:rsid w:val="00221224"/>
    <w:rsid w:val="00230381"/>
    <w:rsid w:val="00231249"/>
    <w:rsid w:val="0023224A"/>
    <w:rsid w:val="002324A3"/>
    <w:rsid w:val="002337AC"/>
    <w:rsid w:val="00236981"/>
    <w:rsid w:val="0024055D"/>
    <w:rsid w:val="00242884"/>
    <w:rsid w:val="00244FE0"/>
    <w:rsid w:val="00246AC5"/>
    <w:rsid w:val="00247402"/>
    <w:rsid w:val="00250B49"/>
    <w:rsid w:val="002547DB"/>
    <w:rsid w:val="0025492E"/>
    <w:rsid w:val="00261DAE"/>
    <w:rsid w:val="00270E05"/>
    <w:rsid w:val="00271C06"/>
    <w:rsid w:val="00271C39"/>
    <w:rsid w:val="0028112C"/>
    <w:rsid w:val="00285C81"/>
    <w:rsid w:val="00285DBD"/>
    <w:rsid w:val="00290379"/>
    <w:rsid w:val="00290B46"/>
    <w:rsid w:val="002923B2"/>
    <w:rsid w:val="00293F53"/>
    <w:rsid w:val="00294B00"/>
    <w:rsid w:val="00296B02"/>
    <w:rsid w:val="00297A07"/>
    <w:rsid w:val="00297E42"/>
    <w:rsid w:val="002A47A9"/>
    <w:rsid w:val="002A5D51"/>
    <w:rsid w:val="002A6335"/>
    <w:rsid w:val="002A6DA8"/>
    <w:rsid w:val="002B5915"/>
    <w:rsid w:val="002B5DDD"/>
    <w:rsid w:val="002B7819"/>
    <w:rsid w:val="002C5BA8"/>
    <w:rsid w:val="002D065D"/>
    <w:rsid w:val="002F1BBB"/>
    <w:rsid w:val="002F680F"/>
    <w:rsid w:val="00302D02"/>
    <w:rsid w:val="00304181"/>
    <w:rsid w:val="00305B1F"/>
    <w:rsid w:val="003076B1"/>
    <w:rsid w:val="00307EB7"/>
    <w:rsid w:val="00312698"/>
    <w:rsid w:val="003127C2"/>
    <w:rsid w:val="003173E1"/>
    <w:rsid w:val="00323670"/>
    <w:rsid w:val="0032495A"/>
    <w:rsid w:val="003249B9"/>
    <w:rsid w:val="00330A9C"/>
    <w:rsid w:val="00330DF7"/>
    <w:rsid w:val="003316C0"/>
    <w:rsid w:val="00332A6E"/>
    <w:rsid w:val="00333F18"/>
    <w:rsid w:val="00335407"/>
    <w:rsid w:val="0033603A"/>
    <w:rsid w:val="003467D4"/>
    <w:rsid w:val="00347C01"/>
    <w:rsid w:val="00353DB9"/>
    <w:rsid w:val="003546A2"/>
    <w:rsid w:val="0035529C"/>
    <w:rsid w:val="0035687F"/>
    <w:rsid w:val="00364A19"/>
    <w:rsid w:val="00364F05"/>
    <w:rsid w:val="00367C72"/>
    <w:rsid w:val="00371530"/>
    <w:rsid w:val="00381E4D"/>
    <w:rsid w:val="00384EB6"/>
    <w:rsid w:val="00385C5D"/>
    <w:rsid w:val="00385CA9"/>
    <w:rsid w:val="0038780E"/>
    <w:rsid w:val="0039497E"/>
    <w:rsid w:val="00395D82"/>
    <w:rsid w:val="003974F9"/>
    <w:rsid w:val="003A4755"/>
    <w:rsid w:val="003A6156"/>
    <w:rsid w:val="003B143E"/>
    <w:rsid w:val="003B3CDB"/>
    <w:rsid w:val="003B6338"/>
    <w:rsid w:val="003B7151"/>
    <w:rsid w:val="003D3404"/>
    <w:rsid w:val="003D4EF1"/>
    <w:rsid w:val="003D6BBF"/>
    <w:rsid w:val="003E0BA2"/>
    <w:rsid w:val="003E520B"/>
    <w:rsid w:val="003E63A9"/>
    <w:rsid w:val="003E6990"/>
    <w:rsid w:val="003E7441"/>
    <w:rsid w:val="003E7FB1"/>
    <w:rsid w:val="003F1241"/>
    <w:rsid w:val="003F5EC1"/>
    <w:rsid w:val="003F678A"/>
    <w:rsid w:val="003F747A"/>
    <w:rsid w:val="00403D61"/>
    <w:rsid w:val="00404BD3"/>
    <w:rsid w:val="00411097"/>
    <w:rsid w:val="00416F26"/>
    <w:rsid w:val="004225B0"/>
    <w:rsid w:val="00423DEF"/>
    <w:rsid w:val="004240F2"/>
    <w:rsid w:val="0043164D"/>
    <w:rsid w:val="00435FD5"/>
    <w:rsid w:val="004369FF"/>
    <w:rsid w:val="00437B82"/>
    <w:rsid w:val="0044064B"/>
    <w:rsid w:val="004422E0"/>
    <w:rsid w:val="00447CB1"/>
    <w:rsid w:val="004544FE"/>
    <w:rsid w:val="00454CE8"/>
    <w:rsid w:val="00465BAF"/>
    <w:rsid w:val="0046794C"/>
    <w:rsid w:val="00467F95"/>
    <w:rsid w:val="004701B5"/>
    <w:rsid w:val="004709D4"/>
    <w:rsid w:val="004710AE"/>
    <w:rsid w:val="0047136D"/>
    <w:rsid w:val="00487C28"/>
    <w:rsid w:val="00490284"/>
    <w:rsid w:val="00490AB3"/>
    <w:rsid w:val="00491967"/>
    <w:rsid w:val="00493422"/>
    <w:rsid w:val="00493F36"/>
    <w:rsid w:val="00495268"/>
    <w:rsid w:val="00497385"/>
    <w:rsid w:val="004A3748"/>
    <w:rsid w:val="004A5357"/>
    <w:rsid w:val="004A62F0"/>
    <w:rsid w:val="004B405B"/>
    <w:rsid w:val="004B5C78"/>
    <w:rsid w:val="004B6536"/>
    <w:rsid w:val="004C0213"/>
    <w:rsid w:val="004C0E17"/>
    <w:rsid w:val="004C294D"/>
    <w:rsid w:val="004D1C4D"/>
    <w:rsid w:val="004D32A3"/>
    <w:rsid w:val="004D6298"/>
    <w:rsid w:val="004E0928"/>
    <w:rsid w:val="004E4BCF"/>
    <w:rsid w:val="004E7993"/>
    <w:rsid w:val="004F0B61"/>
    <w:rsid w:val="004F1896"/>
    <w:rsid w:val="004F1EB4"/>
    <w:rsid w:val="004F2E87"/>
    <w:rsid w:val="004F4050"/>
    <w:rsid w:val="004F5DFE"/>
    <w:rsid w:val="004F7DE7"/>
    <w:rsid w:val="00501C17"/>
    <w:rsid w:val="005048B7"/>
    <w:rsid w:val="0050557A"/>
    <w:rsid w:val="00506FCD"/>
    <w:rsid w:val="0051074B"/>
    <w:rsid w:val="005110FD"/>
    <w:rsid w:val="005323D6"/>
    <w:rsid w:val="00532584"/>
    <w:rsid w:val="00532BBA"/>
    <w:rsid w:val="0053741B"/>
    <w:rsid w:val="0054076C"/>
    <w:rsid w:val="005427E5"/>
    <w:rsid w:val="00545300"/>
    <w:rsid w:val="005456C7"/>
    <w:rsid w:val="005469ED"/>
    <w:rsid w:val="00552B85"/>
    <w:rsid w:val="0055668B"/>
    <w:rsid w:val="00557329"/>
    <w:rsid w:val="00561F70"/>
    <w:rsid w:val="00563546"/>
    <w:rsid w:val="0056508F"/>
    <w:rsid w:val="005658EE"/>
    <w:rsid w:val="00565DA3"/>
    <w:rsid w:val="005725EF"/>
    <w:rsid w:val="005767CF"/>
    <w:rsid w:val="00576D78"/>
    <w:rsid w:val="00577F64"/>
    <w:rsid w:val="0058018A"/>
    <w:rsid w:val="00580947"/>
    <w:rsid w:val="005824FC"/>
    <w:rsid w:val="00584D7E"/>
    <w:rsid w:val="00585692"/>
    <w:rsid w:val="00586239"/>
    <w:rsid w:val="00590627"/>
    <w:rsid w:val="0059315F"/>
    <w:rsid w:val="005932D5"/>
    <w:rsid w:val="00595A05"/>
    <w:rsid w:val="00597539"/>
    <w:rsid w:val="005A1918"/>
    <w:rsid w:val="005A3F35"/>
    <w:rsid w:val="005A4BA1"/>
    <w:rsid w:val="005A7721"/>
    <w:rsid w:val="005B35D3"/>
    <w:rsid w:val="005B5727"/>
    <w:rsid w:val="005B6327"/>
    <w:rsid w:val="005C3F60"/>
    <w:rsid w:val="005C6F8C"/>
    <w:rsid w:val="005D0326"/>
    <w:rsid w:val="005D0361"/>
    <w:rsid w:val="005D2E65"/>
    <w:rsid w:val="005D5557"/>
    <w:rsid w:val="005D73A3"/>
    <w:rsid w:val="005E2407"/>
    <w:rsid w:val="005E3ED1"/>
    <w:rsid w:val="005F0260"/>
    <w:rsid w:val="005F3842"/>
    <w:rsid w:val="005F5B6C"/>
    <w:rsid w:val="00600804"/>
    <w:rsid w:val="00600E5F"/>
    <w:rsid w:val="006038BC"/>
    <w:rsid w:val="00603CF2"/>
    <w:rsid w:val="006056FD"/>
    <w:rsid w:val="0061028C"/>
    <w:rsid w:val="0061075C"/>
    <w:rsid w:val="00611FA9"/>
    <w:rsid w:val="00624C82"/>
    <w:rsid w:val="00624FAA"/>
    <w:rsid w:val="00625E0C"/>
    <w:rsid w:val="00626067"/>
    <w:rsid w:val="00626CE8"/>
    <w:rsid w:val="00634BF6"/>
    <w:rsid w:val="006367D6"/>
    <w:rsid w:val="0063710B"/>
    <w:rsid w:val="00642AC0"/>
    <w:rsid w:val="00643804"/>
    <w:rsid w:val="00645AC3"/>
    <w:rsid w:val="006460B0"/>
    <w:rsid w:val="006507F8"/>
    <w:rsid w:val="00652CCA"/>
    <w:rsid w:val="006538FA"/>
    <w:rsid w:val="006545D8"/>
    <w:rsid w:val="00654C12"/>
    <w:rsid w:val="00661157"/>
    <w:rsid w:val="006618C3"/>
    <w:rsid w:val="00665BC7"/>
    <w:rsid w:val="006662EC"/>
    <w:rsid w:val="00680005"/>
    <w:rsid w:val="006806AF"/>
    <w:rsid w:val="00681066"/>
    <w:rsid w:val="00681824"/>
    <w:rsid w:val="00683CEA"/>
    <w:rsid w:val="00685866"/>
    <w:rsid w:val="00687443"/>
    <w:rsid w:val="00690111"/>
    <w:rsid w:val="00694932"/>
    <w:rsid w:val="006952B6"/>
    <w:rsid w:val="006A38F6"/>
    <w:rsid w:val="006A5ED5"/>
    <w:rsid w:val="006B112B"/>
    <w:rsid w:val="006B76F8"/>
    <w:rsid w:val="006C4071"/>
    <w:rsid w:val="006D1A8D"/>
    <w:rsid w:val="006D2531"/>
    <w:rsid w:val="006D51E9"/>
    <w:rsid w:val="006D5291"/>
    <w:rsid w:val="006E4C9A"/>
    <w:rsid w:val="006F1528"/>
    <w:rsid w:val="006F25C2"/>
    <w:rsid w:val="006F40ED"/>
    <w:rsid w:val="006F4D56"/>
    <w:rsid w:val="0070536F"/>
    <w:rsid w:val="00716C70"/>
    <w:rsid w:val="00722576"/>
    <w:rsid w:val="00722602"/>
    <w:rsid w:val="00726588"/>
    <w:rsid w:val="00731074"/>
    <w:rsid w:val="00733216"/>
    <w:rsid w:val="007349E2"/>
    <w:rsid w:val="00736634"/>
    <w:rsid w:val="0073743E"/>
    <w:rsid w:val="007375B4"/>
    <w:rsid w:val="00741955"/>
    <w:rsid w:val="00744A81"/>
    <w:rsid w:val="00744ED9"/>
    <w:rsid w:val="00746B85"/>
    <w:rsid w:val="00750EDF"/>
    <w:rsid w:val="00757A3C"/>
    <w:rsid w:val="00771805"/>
    <w:rsid w:val="007727CC"/>
    <w:rsid w:val="00781986"/>
    <w:rsid w:val="00783B2D"/>
    <w:rsid w:val="007877BA"/>
    <w:rsid w:val="00793068"/>
    <w:rsid w:val="0079367D"/>
    <w:rsid w:val="00793735"/>
    <w:rsid w:val="00793BD4"/>
    <w:rsid w:val="00796A1A"/>
    <w:rsid w:val="007A1473"/>
    <w:rsid w:val="007A24E9"/>
    <w:rsid w:val="007A63F3"/>
    <w:rsid w:val="007A6F76"/>
    <w:rsid w:val="007B0556"/>
    <w:rsid w:val="007B1BDF"/>
    <w:rsid w:val="007B2C17"/>
    <w:rsid w:val="007B467E"/>
    <w:rsid w:val="007B6A5F"/>
    <w:rsid w:val="007B6ABA"/>
    <w:rsid w:val="007B72DD"/>
    <w:rsid w:val="007C0C1B"/>
    <w:rsid w:val="007C4798"/>
    <w:rsid w:val="007C52C1"/>
    <w:rsid w:val="007D13B8"/>
    <w:rsid w:val="007E12CB"/>
    <w:rsid w:val="007E15FB"/>
    <w:rsid w:val="007F04C6"/>
    <w:rsid w:val="007F77DC"/>
    <w:rsid w:val="00801D1A"/>
    <w:rsid w:val="00803553"/>
    <w:rsid w:val="00804363"/>
    <w:rsid w:val="008052BC"/>
    <w:rsid w:val="00811F96"/>
    <w:rsid w:val="00827EF2"/>
    <w:rsid w:val="00832E1E"/>
    <w:rsid w:val="0083341B"/>
    <w:rsid w:val="00835CE5"/>
    <w:rsid w:val="00840313"/>
    <w:rsid w:val="008521E5"/>
    <w:rsid w:val="008534B5"/>
    <w:rsid w:val="008540E2"/>
    <w:rsid w:val="0085727C"/>
    <w:rsid w:val="00861FDC"/>
    <w:rsid w:val="008671C9"/>
    <w:rsid w:val="00870858"/>
    <w:rsid w:val="00875235"/>
    <w:rsid w:val="00876FC5"/>
    <w:rsid w:val="008831FC"/>
    <w:rsid w:val="00885C9C"/>
    <w:rsid w:val="008911E7"/>
    <w:rsid w:val="00891EF4"/>
    <w:rsid w:val="008A1714"/>
    <w:rsid w:val="008A2175"/>
    <w:rsid w:val="008A2AFF"/>
    <w:rsid w:val="008B0624"/>
    <w:rsid w:val="008B0C7F"/>
    <w:rsid w:val="008B20BA"/>
    <w:rsid w:val="008B3E2D"/>
    <w:rsid w:val="008C4B6B"/>
    <w:rsid w:val="008D46F4"/>
    <w:rsid w:val="008E5267"/>
    <w:rsid w:val="008E52B2"/>
    <w:rsid w:val="008E5DA6"/>
    <w:rsid w:val="008E7B3F"/>
    <w:rsid w:val="008F3940"/>
    <w:rsid w:val="009053CC"/>
    <w:rsid w:val="00927464"/>
    <w:rsid w:val="00930045"/>
    <w:rsid w:val="00930533"/>
    <w:rsid w:val="009316B8"/>
    <w:rsid w:val="00941D9F"/>
    <w:rsid w:val="0094208E"/>
    <w:rsid w:val="0094215A"/>
    <w:rsid w:val="0094256F"/>
    <w:rsid w:val="00945444"/>
    <w:rsid w:val="00945860"/>
    <w:rsid w:val="009462D4"/>
    <w:rsid w:val="00946AD6"/>
    <w:rsid w:val="00946C98"/>
    <w:rsid w:val="00947BAE"/>
    <w:rsid w:val="00950E6A"/>
    <w:rsid w:val="0095149F"/>
    <w:rsid w:val="00963B93"/>
    <w:rsid w:val="00963E68"/>
    <w:rsid w:val="00966098"/>
    <w:rsid w:val="009671FE"/>
    <w:rsid w:val="00970DEE"/>
    <w:rsid w:val="00973410"/>
    <w:rsid w:val="00975103"/>
    <w:rsid w:val="00982156"/>
    <w:rsid w:val="00984151"/>
    <w:rsid w:val="00985B44"/>
    <w:rsid w:val="00990A12"/>
    <w:rsid w:val="00990C4C"/>
    <w:rsid w:val="0099113B"/>
    <w:rsid w:val="009A5D16"/>
    <w:rsid w:val="009A6193"/>
    <w:rsid w:val="009B0AF6"/>
    <w:rsid w:val="009B190D"/>
    <w:rsid w:val="009B1B64"/>
    <w:rsid w:val="009B53E5"/>
    <w:rsid w:val="009B53FD"/>
    <w:rsid w:val="009C0234"/>
    <w:rsid w:val="009C0DDB"/>
    <w:rsid w:val="009C0E3C"/>
    <w:rsid w:val="009C2CD9"/>
    <w:rsid w:val="009C31FB"/>
    <w:rsid w:val="009C6355"/>
    <w:rsid w:val="009C7025"/>
    <w:rsid w:val="009C79A6"/>
    <w:rsid w:val="009D0254"/>
    <w:rsid w:val="009D02A0"/>
    <w:rsid w:val="009D3B02"/>
    <w:rsid w:val="009D7894"/>
    <w:rsid w:val="009E24EB"/>
    <w:rsid w:val="009E5F12"/>
    <w:rsid w:val="009E7EB7"/>
    <w:rsid w:val="009F28E0"/>
    <w:rsid w:val="009F300B"/>
    <w:rsid w:val="009F3C65"/>
    <w:rsid w:val="00A04494"/>
    <w:rsid w:val="00A0755D"/>
    <w:rsid w:val="00A11DB5"/>
    <w:rsid w:val="00A12177"/>
    <w:rsid w:val="00A1435A"/>
    <w:rsid w:val="00A2000C"/>
    <w:rsid w:val="00A22701"/>
    <w:rsid w:val="00A312D8"/>
    <w:rsid w:val="00A35A86"/>
    <w:rsid w:val="00A36DE7"/>
    <w:rsid w:val="00A41B29"/>
    <w:rsid w:val="00A50A4D"/>
    <w:rsid w:val="00A534F0"/>
    <w:rsid w:val="00A566E0"/>
    <w:rsid w:val="00A62047"/>
    <w:rsid w:val="00A660B0"/>
    <w:rsid w:val="00A73398"/>
    <w:rsid w:val="00A7503B"/>
    <w:rsid w:val="00A759C9"/>
    <w:rsid w:val="00A80A1F"/>
    <w:rsid w:val="00A828DF"/>
    <w:rsid w:val="00A87A5A"/>
    <w:rsid w:val="00A87C18"/>
    <w:rsid w:val="00A90B6F"/>
    <w:rsid w:val="00A92060"/>
    <w:rsid w:val="00AA45C5"/>
    <w:rsid w:val="00AA726F"/>
    <w:rsid w:val="00AB1043"/>
    <w:rsid w:val="00AB1E3A"/>
    <w:rsid w:val="00AB4271"/>
    <w:rsid w:val="00AC37E8"/>
    <w:rsid w:val="00AC5529"/>
    <w:rsid w:val="00AC73F7"/>
    <w:rsid w:val="00AC7800"/>
    <w:rsid w:val="00AD544C"/>
    <w:rsid w:val="00AD550B"/>
    <w:rsid w:val="00AD6E45"/>
    <w:rsid w:val="00AE0F73"/>
    <w:rsid w:val="00AE5BBA"/>
    <w:rsid w:val="00AE6FEC"/>
    <w:rsid w:val="00AF0654"/>
    <w:rsid w:val="00AF17C7"/>
    <w:rsid w:val="00AF6208"/>
    <w:rsid w:val="00AF6334"/>
    <w:rsid w:val="00AF75E5"/>
    <w:rsid w:val="00B0290E"/>
    <w:rsid w:val="00B02A85"/>
    <w:rsid w:val="00B02B94"/>
    <w:rsid w:val="00B06B2E"/>
    <w:rsid w:val="00B12F5E"/>
    <w:rsid w:val="00B13BED"/>
    <w:rsid w:val="00B1670F"/>
    <w:rsid w:val="00B17527"/>
    <w:rsid w:val="00B17DFB"/>
    <w:rsid w:val="00B213E1"/>
    <w:rsid w:val="00B25BA6"/>
    <w:rsid w:val="00B40E6C"/>
    <w:rsid w:val="00B411D0"/>
    <w:rsid w:val="00B415D1"/>
    <w:rsid w:val="00B438DC"/>
    <w:rsid w:val="00B45448"/>
    <w:rsid w:val="00B5575B"/>
    <w:rsid w:val="00B56657"/>
    <w:rsid w:val="00B57705"/>
    <w:rsid w:val="00B57CF1"/>
    <w:rsid w:val="00B60C06"/>
    <w:rsid w:val="00B65D31"/>
    <w:rsid w:val="00B66479"/>
    <w:rsid w:val="00B72360"/>
    <w:rsid w:val="00B76946"/>
    <w:rsid w:val="00B76BE3"/>
    <w:rsid w:val="00B8210A"/>
    <w:rsid w:val="00B9119E"/>
    <w:rsid w:val="00B93D50"/>
    <w:rsid w:val="00BB3AE1"/>
    <w:rsid w:val="00BB530E"/>
    <w:rsid w:val="00BB727F"/>
    <w:rsid w:val="00BB77F7"/>
    <w:rsid w:val="00BC09B3"/>
    <w:rsid w:val="00BC1C42"/>
    <w:rsid w:val="00BC3D9A"/>
    <w:rsid w:val="00BD1A85"/>
    <w:rsid w:val="00BD32FD"/>
    <w:rsid w:val="00BE1195"/>
    <w:rsid w:val="00BE12A6"/>
    <w:rsid w:val="00BE2181"/>
    <w:rsid w:val="00BE3B71"/>
    <w:rsid w:val="00BE7DA3"/>
    <w:rsid w:val="00BF5C18"/>
    <w:rsid w:val="00BF64C1"/>
    <w:rsid w:val="00BF6F2B"/>
    <w:rsid w:val="00C00DB4"/>
    <w:rsid w:val="00C0100A"/>
    <w:rsid w:val="00C0317D"/>
    <w:rsid w:val="00C04112"/>
    <w:rsid w:val="00C115A2"/>
    <w:rsid w:val="00C15371"/>
    <w:rsid w:val="00C158A4"/>
    <w:rsid w:val="00C163AC"/>
    <w:rsid w:val="00C25321"/>
    <w:rsid w:val="00C314DE"/>
    <w:rsid w:val="00C439C4"/>
    <w:rsid w:val="00C45834"/>
    <w:rsid w:val="00C60611"/>
    <w:rsid w:val="00C65518"/>
    <w:rsid w:val="00C65EF1"/>
    <w:rsid w:val="00C67D2F"/>
    <w:rsid w:val="00C73F78"/>
    <w:rsid w:val="00C74371"/>
    <w:rsid w:val="00C80D25"/>
    <w:rsid w:val="00C813ED"/>
    <w:rsid w:val="00C8551C"/>
    <w:rsid w:val="00C9464F"/>
    <w:rsid w:val="00C96D03"/>
    <w:rsid w:val="00C97320"/>
    <w:rsid w:val="00CA3CDA"/>
    <w:rsid w:val="00CA7B4D"/>
    <w:rsid w:val="00CB31A6"/>
    <w:rsid w:val="00CB6CB9"/>
    <w:rsid w:val="00CB7646"/>
    <w:rsid w:val="00CC0B46"/>
    <w:rsid w:val="00CC0E89"/>
    <w:rsid w:val="00CC194B"/>
    <w:rsid w:val="00CC23D0"/>
    <w:rsid w:val="00CC70D0"/>
    <w:rsid w:val="00CD116E"/>
    <w:rsid w:val="00CD3D0C"/>
    <w:rsid w:val="00CD56C4"/>
    <w:rsid w:val="00CD6979"/>
    <w:rsid w:val="00CD710B"/>
    <w:rsid w:val="00CE3E28"/>
    <w:rsid w:val="00CF16C6"/>
    <w:rsid w:val="00CF19CB"/>
    <w:rsid w:val="00CF4890"/>
    <w:rsid w:val="00D009FF"/>
    <w:rsid w:val="00D039D6"/>
    <w:rsid w:val="00D10161"/>
    <w:rsid w:val="00D144EA"/>
    <w:rsid w:val="00D15428"/>
    <w:rsid w:val="00D1571C"/>
    <w:rsid w:val="00D173D8"/>
    <w:rsid w:val="00D17C13"/>
    <w:rsid w:val="00D2456D"/>
    <w:rsid w:val="00D24586"/>
    <w:rsid w:val="00D25E2C"/>
    <w:rsid w:val="00D3021A"/>
    <w:rsid w:val="00D307C5"/>
    <w:rsid w:val="00D3298E"/>
    <w:rsid w:val="00D33435"/>
    <w:rsid w:val="00D33CB0"/>
    <w:rsid w:val="00D33E5E"/>
    <w:rsid w:val="00D42725"/>
    <w:rsid w:val="00D514C0"/>
    <w:rsid w:val="00D51EF7"/>
    <w:rsid w:val="00D52147"/>
    <w:rsid w:val="00D5253A"/>
    <w:rsid w:val="00D54224"/>
    <w:rsid w:val="00D63A83"/>
    <w:rsid w:val="00D659F0"/>
    <w:rsid w:val="00D667E1"/>
    <w:rsid w:val="00D72B8D"/>
    <w:rsid w:val="00D8033C"/>
    <w:rsid w:val="00D85D10"/>
    <w:rsid w:val="00D87D64"/>
    <w:rsid w:val="00D9146A"/>
    <w:rsid w:val="00D9467E"/>
    <w:rsid w:val="00D94DB8"/>
    <w:rsid w:val="00DA7025"/>
    <w:rsid w:val="00DB10A3"/>
    <w:rsid w:val="00DB71FC"/>
    <w:rsid w:val="00DB7ACB"/>
    <w:rsid w:val="00DC1FCD"/>
    <w:rsid w:val="00DC2CC8"/>
    <w:rsid w:val="00DC466F"/>
    <w:rsid w:val="00DC4BBC"/>
    <w:rsid w:val="00DC4DD9"/>
    <w:rsid w:val="00DC686F"/>
    <w:rsid w:val="00DC7317"/>
    <w:rsid w:val="00DD3897"/>
    <w:rsid w:val="00DE3A5A"/>
    <w:rsid w:val="00DE3AFE"/>
    <w:rsid w:val="00DE448E"/>
    <w:rsid w:val="00DE4927"/>
    <w:rsid w:val="00E018C1"/>
    <w:rsid w:val="00E034BA"/>
    <w:rsid w:val="00E0387E"/>
    <w:rsid w:val="00E100FD"/>
    <w:rsid w:val="00E14107"/>
    <w:rsid w:val="00E14C4F"/>
    <w:rsid w:val="00E15E8F"/>
    <w:rsid w:val="00E16DEC"/>
    <w:rsid w:val="00E21B28"/>
    <w:rsid w:val="00E27A6E"/>
    <w:rsid w:val="00E301A0"/>
    <w:rsid w:val="00E30BC9"/>
    <w:rsid w:val="00E314C4"/>
    <w:rsid w:val="00E3529C"/>
    <w:rsid w:val="00E47EE6"/>
    <w:rsid w:val="00E542DB"/>
    <w:rsid w:val="00E55C4D"/>
    <w:rsid w:val="00E6426D"/>
    <w:rsid w:val="00E71318"/>
    <w:rsid w:val="00E73CA1"/>
    <w:rsid w:val="00E73D95"/>
    <w:rsid w:val="00E73DA3"/>
    <w:rsid w:val="00E74140"/>
    <w:rsid w:val="00E74BA5"/>
    <w:rsid w:val="00E76727"/>
    <w:rsid w:val="00E77899"/>
    <w:rsid w:val="00E80F46"/>
    <w:rsid w:val="00E8458A"/>
    <w:rsid w:val="00E86A51"/>
    <w:rsid w:val="00E87AC3"/>
    <w:rsid w:val="00E90E83"/>
    <w:rsid w:val="00E9101F"/>
    <w:rsid w:val="00E928F3"/>
    <w:rsid w:val="00E92911"/>
    <w:rsid w:val="00E9497A"/>
    <w:rsid w:val="00E96A88"/>
    <w:rsid w:val="00EA18E2"/>
    <w:rsid w:val="00EA431B"/>
    <w:rsid w:val="00EA62DE"/>
    <w:rsid w:val="00EB0ABF"/>
    <w:rsid w:val="00EB787A"/>
    <w:rsid w:val="00EC787C"/>
    <w:rsid w:val="00ED1B61"/>
    <w:rsid w:val="00ED1C2F"/>
    <w:rsid w:val="00ED2C09"/>
    <w:rsid w:val="00ED7363"/>
    <w:rsid w:val="00EE5F57"/>
    <w:rsid w:val="00EE7254"/>
    <w:rsid w:val="00EF540B"/>
    <w:rsid w:val="00EF7150"/>
    <w:rsid w:val="00F0328B"/>
    <w:rsid w:val="00F16439"/>
    <w:rsid w:val="00F16B4E"/>
    <w:rsid w:val="00F17F77"/>
    <w:rsid w:val="00F24E57"/>
    <w:rsid w:val="00F2695E"/>
    <w:rsid w:val="00F26BB7"/>
    <w:rsid w:val="00F3017B"/>
    <w:rsid w:val="00F32836"/>
    <w:rsid w:val="00F34142"/>
    <w:rsid w:val="00F35F42"/>
    <w:rsid w:val="00F44564"/>
    <w:rsid w:val="00F446AE"/>
    <w:rsid w:val="00F51B0C"/>
    <w:rsid w:val="00F54888"/>
    <w:rsid w:val="00F55E0E"/>
    <w:rsid w:val="00F55EA4"/>
    <w:rsid w:val="00F60126"/>
    <w:rsid w:val="00F60C55"/>
    <w:rsid w:val="00F61250"/>
    <w:rsid w:val="00F62544"/>
    <w:rsid w:val="00F637BE"/>
    <w:rsid w:val="00F67DF5"/>
    <w:rsid w:val="00F812C6"/>
    <w:rsid w:val="00F843AB"/>
    <w:rsid w:val="00F8486F"/>
    <w:rsid w:val="00F85474"/>
    <w:rsid w:val="00F86234"/>
    <w:rsid w:val="00F91F01"/>
    <w:rsid w:val="00FA0CF8"/>
    <w:rsid w:val="00FA1C9C"/>
    <w:rsid w:val="00FA27F6"/>
    <w:rsid w:val="00FA6061"/>
    <w:rsid w:val="00FB02F5"/>
    <w:rsid w:val="00FD1027"/>
    <w:rsid w:val="00FD1ED8"/>
    <w:rsid w:val="00FD23D2"/>
    <w:rsid w:val="00FD3D04"/>
    <w:rsid w:val="00FD7120"/>
    <w:rsid w:val="00FE0B76"/>
    <w:rsid w:val="00FE3166"/>
    <w:rsid w:val="00FE4A0E"/>
    <w:rsid w:val="00FE4EF4"/>
    <w:rsid w:val="00FE727F"/>
    <w:rsid w:val="00FE7307"/>
    <w:rsid w:val="00FF47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E1AF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FC"/>
    <w:rPr>
      <w:sz w:val="24"/>
      <w:szCs w:val="24"/>
      <w:lang w:val="en-US" w:eastAsia="en-US"/>
    </w:rPr>
  </w:style>
  <w:style w:type="paragraph" w:styleId="Overskrift2">
    <w:name w:val="heading 2"/>
    <w:basedOn w:val="Normal"/>
    <w:next w:val="Normal"/>
    <w:link w:val="Overskrift2Tegn"/>
    <w:uiPriority w:val="99"/>
    <w:qFormat/>
    <w:locked/>
    <w:rsid w:val="00DB71FC"/>
    <w:pPr>
      <w:keepNext/>
      <w:spacing w:before="240" w:after="60"/>
      <w:outlineLvl w:val="1"/>
    </w:pPr>
    <w:rPr>
      <w:rFonts w:ascii="Arial" w:hAnsi="Arial" w:cs="Arial"/>
      <w:b/>
      <w:bCs/>
      <w:i/>
      <w:iCs/>
      <w:sz w:val="26"/>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9"/>
    <w:locked/>
    <w:rsid w:val="00DB71FC"/>
    <w:rPr>
      <w:rFonts w:ascii="Arial" w:hAnsi="Arial" w:cs="Arial"/>
      <w:b/>
      <w:bCs/>
      <w:i/>
      <w:iCs/>
      <w:sz w:val="28"/>
      <w:szCs w:val="28"/>
    </w:rPr>
  </w:style>
  <w:style w:type="paragraph" w:styleId="Topptekst">
    <w:name w:val="header"/>
    <w:basedOn w:val="Normal"/>
    <w:link w:val="TopptekstTegn"/>
    <w:uiPriority w:val="99"/>
    <w:rsid w:val="00840313"/>
    <w:pPr>
      <w:tabs>
        <w:tab w:val="center" w:pos="4320"/>
        <w:tab w:val="right" w:pos="8640"/>
      </w:tabs>
    </w:pPr>
  </w:style>
  <w:style w:type="character" w:customStyle="1" w:styleId="TopptekstTegn">
    <w:name w:val="Topptekst Tegn"/>
    <w:link w:val="Topptekst"/>
    <w:uiPriority w:val="99"/>
    <w:semiHidden/>
    <w:rsid w:val="00105ECD"/>
    <w:rPr>
      <w:sz w:val="24"/>
      <w:szCs w:val="24"/>
    </w:rPr>
  </w:style>
  <w:style w:type="paragraph" w:styleId="Bunntekst">
    <w:name w:val="footer"/>
    <w:basedOn w:val="Normal"/>
    <w:link w:val="BunntekstTegn"/>
    <w:uiPriority w:val="99"/>
    <w:rsid w:val="00840313"/>
    <w:pPr>
      <w:tabs>
        <w:tab w:val="center" w:pos="4320"/>
        <w:tab w:val="right" w:pos="8640"/>
      </w:tabs>
    </w:pPr>
  </w:style>
  <w:style w:type="character" w:customStyle="1" w:styleId="BunntekstTegn">
    <w:name w:val="Bunntekst Tegn"/>
    <w:link w:val="Bunntekst"/>
    <w:uiPriority w:val="99"/>
    <w:semiHidden/>
    <w:rsid w:val="00105ECD"/>
    <w:rPr>
      <w:sz w:val="24"/>
      <w:szCs w:val="24"/>
    </w:rPr>
  </w:style>
  <w:style w:type="table" w:styleId="Tabellrutenett">
    <w:name w:val="Table Grid"/>
    <w:basedOn w:val="Vanligtabel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rsid w:val="00840313"/>
    <w:rPr>
      <w:rFonts w:ascii="Tahoma" w:hAnsi="Tahoma" w:cs="Tahoma"/>
      <w:sz w:val="16"/>
      <w:szCs w:val="16"/>
    </w:rPr>
  </w:style>
  <w:style w:type="character" w:customStyle="1" w:styleId="BobletekstTegn">
    <w:name w:val="Bobletekst Tegn"/>
    <w:link w:val="Bobletekst"/>
    <w:uiPriority w:val="99"/>
    <w:semiHidden/>
    <w:rsid w:val="00105ECD"/>
    <w:rPr>
      <w:sz w:val="0"/>
      <w:szCs w:val="0"/>
    </w:rPr>
  </w:style>
  <w:style w:type="character" w:styleId="Hyperkobling">
    <w:name w:val="Hyperlink"/>
    <w:uiPriority w:val="99"/>
    <w:rsid w:val="007A24E9"/>
    <w:rPr>
      <w:rFonts w:cs="Times New Roman"/>
      <w:color w:val="0000FF"/>
      <w:u w:val="single"/>
    </w:rPr>
  </w:style>
  <w:style w:type="paragraph" w:styleId="Tittel">
    <w:name w:val="Title"/>
    <w:basedOn w:val="Normal"/>
    <w:link w:val="TittelTegn"/>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telTegn">
    <w:name w:val="Tittel Tegn"/>
    <w:link w:val="Tittel"/>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Merknadstekst">
    <w:name w:val="annotation text"/>
    <w:basedOn w:val="Normal"/>
    <w:link w:val="MerknadstekstTegn"/>
    <w:uiPriority w:val="99"/>
    <w:rsid w:val="00DB71FC"/>
    <w:rPr>
      <w:sz w:val="20"/>
      <w:szCs w:val="20"/>
    </w:rPr>
  </w:style>
  <w:style w:type="character" w:customStyle="1" w:styleId="MerknadstekstTegn">
    <w:name w:val="Merknadstekst Tegn"/>
    <w:link w:val="Merknadstekst"/>
    <w:uiPriority w:val="99"/>
    <w:locked/>
    <w:rsid w:val="00DB71FC"/>
    <w:rPr>
      <w:rFonts w:cs="Times New Roman"/>
    </w:rPr>
  </w:style>
  <w:style w:type="paragraph" w:styleId="Kommentaremne">
    <w:name w:val="annotation subject"/>
    <w:basedOn w:val="Merknadstekst"/>
    <w:next w:val="Merknadstekst"/>
    <w:link w:val="KommentaremneTegn"/>
    <w:uiPriority w:val="99"/>
    <w:rsid w:val="00DB71FC"/>
    <w:rPr>
      <w:b/>
      <w:bCs/>
    </w:rPr>
  </w:style>
  <w:style w:type="character" w:customStyle="1" w:styleId="KommentaremneTegn">
    <w:name w:val="Kommentaremne Tegn"/>
    <w:link w:val="Kommentaremne"/>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eavsnitt">
    <w:name w:val="List Paragraph"/>
    <w:basedOn w:val="Normal"/>
    <w:uiPriority w:val="34"/>
    <w:qFormat/>
    <w:rsid w:val="00DB71FC"/>
    <w:pPr>
      <w:ind w:left="720"/>
    </w:pPr>
  </w:style>
  <w:style w:type="character" w:styleId="Merknadsreferanse">
    <w:name w:val="annotation reference"/>
    <w:uiPriority w:val="99"/>
    <w:rsid w:val="00DB71FC"/>
    <w:rPr>
      <w:rFonts w:cs="Times New Roman"/>
      <w:sz w:val="16"/>
      <w:szCs w:val="16"/>
    </w:rPr>
  </w:style>
  <w:style w:type="character" w:styleId="Sterk">
    <w:name w:val="Strong"/>
    <w:uiPriority w:val="99"/>
    <w:qFormat/>
    <w:locked/>
    <w:rsid w:val="008E5DA6"/>
    <w:rPr>
      <w:rFonts w:cs="Times New Roman"/>
      <w:b/>
      <w:bCs/>
    </w:rPr>
  </w:style>
  <w:style w:type="character" w:styleId="Fulgthyperkobling">
    <w:name w:val="FollowedHyperlink"/>
    <w:uiPriority w:val="99"/>
    <w:rsid w:val="008E5DA6"/>
    <w:rPr>
      <w:rFonts w:cs="Times New Roman"/>
      <w:color w:val="800080"/>
      <w:u w:val="single"/>
    </w:rPr>
  </w:style>
  <w:style w:type="character" w:styleId="Ulstomtale">
    <w:name w:val="Unresolved Mention"/>
    <w:uiPriority w:val="99"/>
    <w:semiHidden/>
    <w:unhideWhenUsed/>
    <w:rsid w:val="006F4D56"/>
    <w:rPr>
      <w:color w:val="605E5C"/>
      <w:shd w:val="clear" w:color="auto" w:fill="E1DFDD"/>
    </w:rPr>
  </w:style>
  <w:style w:type="paragraph" w:styleId="Fotnotetekst">
    <w:name w:val="footnote text"/>
    <w:basedOn w:val="Normal"/>
    <w:link w:val="FotnotetekstTegn"/>
    <w:uiPriority w:val="99"/>
    <w:semiHidden/>
    <w:unhideWhenUsed/>
    <w:rsid w:val="00750EDF"/>
    <w:rPr>
      <w:rFonts w:ascii="Calibri" w:eastAsia="Calibri" w:hAnsi="Calibri"/>
      <w:sz w:val="20"/>
      <w:szCs w:val="20"/>
      <w:lang w:val="en-CA"/>
    </w:rPr>
  </w:style>
  <w:style w:type="character" w:customStyle="1" w:styleId="FotnotetekstTegn">
    <w:name w:val="Fotnotetekst Tegn"/>
    <w:link w:val="Fotnotetekst"/>
    <w:uiPriority w:val="99"/>
    <w:semiHidden/>
    <w:rsid w:val="00750EDF"/>
    <w:rPr>
      <w:rFonts w:ascii="Calibri" w:eastAsia="Calibri" w:hAnsi="Calibri"/>
      <w:lang w:eastAsia="en-US"/>
    </w:rPr>
  </w:style>
  <w:style w:type="character" w:styleId="Fotnotereferanse">
    <w:name w:val="footnote reference"/>
    <w:uiPriority w:val="99"/>
    <w:semiHidden/>
    <w:unhideWhenUsed/>
    <w:rsid w:val="00750EDF"/>
    <w:rPr>
      <w:vertAlign w:val="superscript"/>
    </w:rPr>
  </w:style>
  <w:style w:type="character" w:customStyle="1" w:styleId="ng-binding">
    <w:name w:val="ng-binding"/>
    <w:rsid w:val="0075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len@rainforest.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cbd.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cbd.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cbd.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2EE9B76AC92F4BA7503923AD12F19D" ma:contentTypeVersion="7" ma:contentTypeDescription="Opprett et nytt dokument." ma:contentTypeScope="" ma:versionID="f29ff1c1798a2299d83b77671126b8f5">
  <xsd:schema xmlns:xsd="http://www.w3.org/2001/XMLSchema" xmlns:xs="http://www.w3.org/2001/XMLSchema" xmlns:p="http://schemas.microsoft.com/office/2006/metadata/properties" xmlns:ns3="fb29126b-3a60-4c28-baee-7df107252e3d" xmlns:ns4="a4fe550f-a7f6-42bc-be00-19326f9511d2" targetNamespace="http://schemas.microsoft.com/office/2006/metadata/properties" ma:root="true" ma:fieldsID="8419a8a52872b8c6652e40b26e31219b" ns3:_="" ns4:_="">
    <xsd:import namespace="fb29126b-3a60-4c28-baee-7df107252e3d"/>
    <xsd:import namespace="a4fe550f-a7f6-42bc-be00-19326f9511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126b-3a60-4c28-baee-7df107252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e550f-a7f6-42bc-be00-19326f9511d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41F3D-CA40-4012-B835-23854C16DE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fe550f-a7f6-42bc-be00-19326f9511d2"/>
    <ds:schemaRef ds:uri="http://purl.org/dc/elements/1.1/"/>
    <ds:schemaRef ds:uri="http://schemas.microsoft.com/office/2006/metadata/properties"/>
    <ds:schemaRef ds:uri="fb29126b-3a60-4c28-baee-7df107252e3d"/>
    <ds:schemaRef ds:uri="http://www.w3.org/XML/1998/namespace"/>
    <ds:schemaRef ds:uri="http://purl.org/dc/dcmitype/"/>
  </ds:schemaRefs>
</ds:datastoreItem>
</file>

<file path=customXml/itemProps2.xml><?xml version="1.0" encoding="utf-8"?>
<ds:datastoreItem xmlns:ds="http://schemas.openxmlformats.org/officeDocument/2006/customXml" ds:itemID="{29BF4527-4920-4C67-B322-758E3E466C0B}">
  <ds:schemaRefs>
    <ds:schemaRef ds:uri="http://schemas.microsoft.com/sharepoint/v3/contenttype/forms"/>
  </ds:schemaRefs>
</ds:datastoreItem>
</file>

<file path=customXml/itemProps3.xml><?xml version="1.0" encoding="utf-8"?>
<ds:datastoreItem xmlns:ds="http://schemas.openxmlformats.org/officeDocument/2006/customXml" ds:itemID="{C06421C2-EF4F-4C6D-99CF-C99EACBF4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126b-3a60-4c28-baee-7df107252e3d"/>
    <ds:schemaRef ds:uri="a4fe550f-a7f6-42bc-be00-19326f951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4CC7A-57AC-4BD5-B9F6-98197196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9</Pages>
  <Words>3361</Words>
  <Characters>17819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Guidelines for the review of the technical background documents</vt:lpstr>
    </vt:vector>
  </TitlesOfParts>
  <LinksUpToDate>false</LinksUpToDate>
  <CharactersWithSpaces>21138</CharactersWithSpaces>
  <SharedDoc>false</SharedDoc>
  <HLinks>
    <vt:vector size="30" baseType="variant">
      <vt:variant>
        <vt:i4>7405656</vt:i4>
      </vt:variant>
      <vt:variant>
        <vt:i4>6</vt:i4>
      </vt:variant>
      <vt:variant>
        <vt:i4>0</vt:i4>
      </vt:variant>
      <vt:variant>
        <vt:i4>5</vt:i4>
      </vt:variant>
      <vt:variant>
        <vt:lpwstr>mailto:secretariat@cbd.int</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2020-08-16T15:10:00Z</dcterms:created>
  <dcterms:modified xsi:type="dcterms:W3CDTF">2020-08-16T15:10:00Z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0x010100ED2EE9B76AC92F4BA7503923AD12F19D</vt:lpwstr>
  </property>
</Properties>
</file>