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DA" w:rsidRPr="001B13DA" w:rsidRDefault="001B13DA" w:rsidP="001B13DA">
      <w:pPr>
        <w:spacing w:before="15" w:after="15" w:line="240" w:lineRule="auto"/>
        <w:ind w:left="15" w:right="15"/>
        <w:jc w:val="center"/>
        <w:rPr>
          <w:rFonts w:eastAsia="Times New Roman" w:cstheme="minorHAnsi"/>
          <w:color w:val="000000"/>
          <w:sz w:val="24"/>
          <w:szCs w:val="24"/>
          <w:lang w:val="en-US"/>
        </w:rPr>
      </w:pPr>
      <w:r w:rsidRPr="001B13DA">
        <w:rPr>
          <w:rFonts w:eastAsia="Times New Roman" w:cstheme="minorHAnsi"/>
          <w:color w:val="000000"/>
          <w:szCs w:val="22"/>
          <w:lang w:val="en-US"/>
        </w:rPr>
        <w:t>﻿ </w:t>
      </w:r>
      <w:r w:rsidRPr="001B13DA">
        <w:rPr>
          <w:rFonts w:eastAsia="Times New Roman" w:cstheme="minorHAnsi"/>
          <w:b/>
          <w:bCs/>
          <w:color w:val="000000"/>
          <w:szCs w:val="22"/>
          <w:u w:val="single"/>
          <w:lang w:val="en-US"/>
        </w:rPr>
        <w:t>TEMPLATE FOR COMMENTS</w:t>
      </w:r>
    </w:p>
    <w:p w:rsidR="001B13DA" w:rsidRPr="001B13DA" w:rsidRDefault="001B13DA" w:rsidP="001B13DA">
      <w:pPr>
        <w:spacing w:after="0" w:line="240" w:lineRule="auto"/>
        <w:jc w:val="center"/>
        <w:rPr>
          <w:rFonts w:eastAsia="Times New Roman" w:cstheme="minorHAnsi"/>
          <w:color w:val="000000"/>
          <w:sz w:val="24"/>
          <w:szCs w:val="24"/>
          <w:lang w:val="en-US"/>
        </w:rPr>
      </w:pPr>
      <w:r w:rsidRPr="001B13DA">
        <w:rPr>
          <w:rFonts w:eastAsia="Times New Roman" w:cstheme="minorHAnsi"/>
          <w:b/>
          <w:bCs/>
          <w:color w:val="000000"/>
          <w:szCs w:val="22"/>
          <w:lang w:val="en-US"/>
        </w:rPr>
        <w:t> </w:t>
      </w:r>
    </w:p>
    <w:tbl>
      <w:tblPr>
        <w:tblW w:w="89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3"/>
        <w:gridCol w:w="6410"/>
      </w:tblGrid>
      <w:tr w:rsidR="001B13DA" w:rsidRPr="001B13DA" w:rsidTr="001B13DA">
        <w:trPr>
          <w:trHeight w:val="242"/>
        </w:trPr>
        <w:tc>
          <w:tcPr>
            <w:tcW w:w="8916"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jc w:val="center"/>
              <w:rPr>
                <w:rFonts w:eastAsia="Times New Roman" w:cstheme="minorHAnsi"/>
                <w:color w:val="000000"/>
                <w:sz w:val="24"/>
                <w:szCs w:val="24"/>
                <w:lang w:val="en-US"/>
              </w:rPr>
            </w:pPr>
            <w:r w:rsidRPr="001B13DA">
              <w:rPr>
                <w:rFonts w:eastAsia="Times New Roman" w:cstheme="minorHAnsi"/>
                <w:b/>
                <w:bCs/>
                <w:color w:val="000000"/>
                <w:sz w:val="24"/>
                <w:szCs w:val="24"/>
                <w:lang w:val="en-US"/>
              </w:rPr>
              <w:t>Review comments on the draft monitoring framework for the post-2020 global biodiversity framework</w:t>
            </w:r>
          </w:p>
        </w:tc>
      </w:tr>
      <w:tr w:rsidR="001B13DA" w:rsidRPr="001B13DA" w:rsidTr="001B13DA">
        <w:trPr>
          <w:trHeight w:val="233"/>
        </w:trPr>
        <w:tc>
          <w:tcPr>
            <w:tcW w:w="8916" w:type="dxa"/>
            <w:gridSpan w:val="2"/>
            <w:tcBorders>
              <w:top w:val="nil"/>
              <w:left w:val="single" w:sz="8" w:space="0" w:color="auto"/>
              <w:bottom w:val="single" w:sz="8" w:space="0" w:color="auto"/>
              <w:right w:val="single" w:sz="8" w:space="0" w:color="auto"/>
            </w:tcBorders>
            <w:shd w:val="clear" w:color="auto" w:fill="C0C0C0"/>
            <w:tcMar>
              <w:top w:w="0" w:type="dxa"/>
              <w:left w:w="15" w:type="dxa"/>
              <w:bottom w:w="0" w:type="dxa"/>
              <w:right w:w="15" w:type="dxa"/>
            </w:tcMar>
            <w:hideMark/>
          </w:tcPr>
          <w:p w:rsidR="001B13DA" w:rsidRPr="001B13DA" w:rsidRDefault="001B13DA" w:rsidP="001B13DA">
            <w:pPr>
              <w:wordWrap w:val="0"/>
              <w:spacing w:after="0" w:line="240" w:lineRule="auto"/>
              <w:jc w:val="center"/>
              <w:rPr>
                <w:rFonts w:eastAsia="Times New Roman" w:cstheme="minorHAnsi"/>
                <w:color w:val="000000"/>
                <w:sz w:val="24"/>
                <w:szCs w:val="24"/>
                <w:lang w:val="en-US"/>
              </w:rPr>
            </w:pPr>
            <w:r w:rsidRPr="001B13DA">
              <w:rPr>
                <w:rFonts w:eastAsia="Times New Roman" w:cstheme="minorHAnsi"/>
                <w:i/>
                <w:iCs/>
                <w:color w:val="000000"/>
                <w:sz w:val="24"/>
                <w:szCs w:val="24"/>
                <w:lang w:val="en-US"/>
              </w:rPr>
              <w:t>Contact information</w:t>
            </w:r>
          </w:p>
        </w:tc>
      </w:tr>
      <w:tr w:rsidR="001B13DA" w:rsidRPr="001B13DA" w:rsidTr="001B13DA">
        <w:trPr>
          <w:trHeight w:val="27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Surname:</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w:t>
            </w:r>
            <w:proofErr w:type="spellStart"/>
            <w:r>
              <w:rPr>
                <w:rFonts w:eastAsia="Times New Roman" w:cstheme="minorHAnsi"/>
                <w:color w:val="000000"/>
                <w:sz w:val="24"/>
                <w:szCs w:val="24"/>
                <w:lang w:val="en-US"/>
              </w:rPr>
              <w:t>Ms</w:t>
            </w:r>
            <w:proofErr w:type="spellEnd"/>
            <w:r>
              <w:rPr>
                <w:rFonts w:eastAsia="Times New Roman" w:cstheme="minorHAnsi"/>
                <w:color w:val="000000"/>
                <w:sz w:val="24"/>
                <w:szCs w:val="24"/>
                <w:lang w:val="en-US"/>
              </w:rPr>
              <w:t>) P.</w:t>
            </w:r>
            <w:r w:rsidRPr="001B13DA">
              <w:rPr>
                <w:rFonts w:eastAsia="Times New Roman" w:cstheme="minorHAnsi"/>
                <w:color w:val="000000"/>
                <w:sz w:val="24"/>
                <w:szCs w:val="24"/>
                <w:lang w:val="en-US"/>
              </w:rPr>
              <w:t> </w:t>
            </w:r>
            <w:proofErr w:type="spellStart"/>
            <w:r w:rsidRPr="001B13DA">
              <w:rPr>
                <w:rFonts w:eastAsia="Times New Roman" w:cstheme="minorHAnsi"/>
                <w:color w:val="000000"/>
                <w:sz w:val="24"/>
                <w:szCs w:val="24"/>
                <w:lang w:val="en-US"/>
              </w:rPr>
              <w:t>Bhanumati</w:t>
            </w:r>
            <w:proofErr w:type="spellEnd"/>
          </w:p>
        </w:tc>
      </w:tr>
      <w:tr w:rsidR="001B13DA" w:rsidRPr="001B13DA" w:rsidTr="001B13DA">
        <w:trPr>
          <w:trHeight w:val="27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Given Name:</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 </w:t>
            </w:r>
          </w:p>
        </w:tc>
      </w:tr>
      <w:tr w:rsidR="001B13DA" w:rsidRPr="001B13DA" w:rsidTr="001B13DA">
        <w:trPr>
          <w:trHeight w:val="28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Government </w:t>
            </w:r>
            <w:r w:rsidRPr="001B13DA">
              <w:rPr>
                <w:rFonts w:eastAsia="Times New Roman" w:cstheme="minorHAnsi"/>
                <w:color w:val="000000"/>
                <w:szCs w:val="22"/>
                <w:lang w:val="en-US"/>
              </w:rPr>
              <w:t>(if applicable)</w:t>
            </w:r>
            <w:r w:rsidRPr="001B13DA">
              <w:rPr>
                <w:rFonts w:eastAsia="Times New Roman" w:cstheme="minorHAnsi"/>
                <w:b/>
                <w:bCs/>
                <w:color w:val="000000"/>
                <w:szCs w:val="22"/>
                <w:lang w:val="en-US"/>
              </w:rPr>
              <w:t>:</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Government of India</w:t>
            </w:r>
          </w:p>
        </w:tc>
      </w:tr>
      <w:tr w:rsidR="001B13DA" w:rsidRPr="001B13DA" w:rsidTr="001B13DA">
        <w:trPr>
          <w:trHeight w:val="27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Organization:</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National Statistical Office</w:t>
            </w:r>
          </w:p>
        </w:tc>
      </w:tr>
      <w:tr w:rsidR="001B13DA" w:rsidRPr="001B13DA" w:rsidTr="001B13DA">
        <w:trPr>
          <w:trHeight w:val="28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Address: </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 xml:space="preserve">Wing 6, West Block-8, </w:t>
            </w:r>
            <w:proofErr w:type="spellStart"/>
            <w:r w:rsidRPr="001B13DA">
              <w:rPr>
                <w:rFonts w:eastAsia="Times New Roman" w:cstheme="minorHAnsi"/>
                <w:color w:val="000000"/>
                <w:sz w:val="24"/>
                <w:szCs w:val="24"/>
                <w:lang w:val="en-US"/>
              </w:rPr>
              <w:t>R.K.Puram</w:t>
            </w:r>
            <w:proofErr w:type="spellEnd"/>
          </w:p>
        </w:tc>
      </w:tr>
      <w:tr w:rsidR="001B13DA" w:rsidRPr="001B13DA" w:rsidTr="001B13DA">
        <w:trPr>
          <w:trHeight w:val="27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City:</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New Delhi -110066</w:t>
            </w:r>
          </w:p>
        </w:tc>
      </w:tr>
      <w:tr w:rsidR="001B13DA" w:rsidRPr="001B13DA" w:rsidTr="001B13DA">
        <w:trPr>
          <w:trHeight w:val="280"/>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before="60" w:after="60" w:line="240" w:lineRule="auto"/>
              <w:rPr>
                <w:rFonts w:eastAsia="Times New Roman" w:cstheme="minorHAnsi"/>
                <w:color w:val="000000"/>
                <w:sz w:val="16"/>
                <w:szCs w:val="16"/>
                <w:lang w:val="en-US"/>
              </w:rPr>
            </w:pPr>
            <w:r w:rsidRPr="001B13DA">
              <w:rPr>
                <w:rFonts w:eastAsia="Times New Roman" w:cstheme="minorHAnsi"/>
                <w:b/>
                <w:bCs/>
                <w:color w:val="000000"/>
                <w:szCs w:val="22"/>
                <w:lang w:val="en-US"/>
              </w:rPr>
              <w:t>Country:</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India</w:t>
            </w:r>
          </w:p>
        </w:tc>
      </w:tr>
      <w:tr w:rsidR="001B13DA" w:rsidRPr="001B13DA" w:rsidTr="001B13DA">
        <w:trPr>
          <w:trHeight w:val="233"/>
        </w:trPr>
        <w:tc>
          <w:tcPr>
            <w:tcW w:w="254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b/>
                <w:bCs/>
                <w:color w:val="000000"/>
                <w:sz w:val="20"/>
                <w:lang w:val="en-US"/>
              </w:rPr>
            </w:pPr>
            <w:r w:rsidRPr="001B13DA">
              <w:rPr>
                <w:rFonts w:eastAsia="Times New Roman" w:cstheme="minorHAnsi"/>
                <w:b/>
                <w:bCs/>
                <w:color w:val="000000"/>
                <w:szCs w:val="22"/>
                <w:lang w:val="en-US"/>
              </w:rPr>
              <w:t>E-mail:</w:t>
            </w:r>
          </w:p>
        </w:tc>
        <w:tc>
          <w:tcPr>
            <w:tcW w:w="6325" w:type="dxa"/>
            <w:tcBorders>
              <w:top w:val="nil"/>
              <w:left w:val="nil"/>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wordWrap w:val="0"/>
              <w:spacing w:after="0" w:line="240" w:lineRule="auto"/>
              <w:rPr>
                <w:rFonts w:eastAsia="Times New Roman" w:cstheme="minorHAnsi"/>
                <w:color w:val="000000"/>
                <w:sz w:val="24"/>
                <w:szCs w:val="24"/>
                <w:lang w:val="en-US"/>
              </w:rPr>
            </w:pPr>
            <w:r w:rsidRPr="001B13DA">
              <w:rPr>
                <w:rFonts w:eastAsia="Times New Roman" w:cstheme="minorHAnsi"/>
                <w:color w:val="000000"/>
                <w:sz w:val="24"/>
                <w:szCs w:val="24"/>
                <w:lang w:val="en-US"/>
              </w:rPr>
              <w:t> ddg2.ssdiv@mospi.gov.in</w:t>
            </w:r>
          </w:p>
        </w:tc>
      </w:tr>
      <w:tr w:rsidR="001B13DA" w:rsidRPr="001B13DA" w:rsidTr="001B13DA">
        <w:trPr>
          <w:trHeight w:val="224"/>
        </w:trPr>
        <w:tc>
          <w:tcPr>
            <w:tcW w:w="8916" w:type="dxa"/>
            <w:gridSpan w:val="2"/>
            <w:tcBorders>
              <w:top w:val="nil"/>
              <w:left w:val="single" w:sz="8" w:space="0" w:color="auto"/>
              <w:bottom w:val="single" w:sz="8" w:space="0" w:color="auto"/>
              <w:right w:val="single" w:sz="8" w:space="0" w:color="auto"/>
            </w:tcBorders>
            <w:shd w:val="clear" w:color="auto" w:fill="C0C0C0"/>
            <w:tcMar>
              <w:top w:w="0" w:type="dxa"/>
              <w:left w:w="15" w:type="dxa"/>
              <w:bottom w:w="0" w:type="dxa"/>
              <w:right w:w="15" w:type="dxa"/>
            </w:tcMar>
            <w:hideMark/>
          </w:tcPr>
          <w:p w:rsidR="001B13DA" w:rsidRPr="001B13DA" w:rsidRDefault="001B13DA" w:rsidP="001B13DA">
            <w:pPr>
              <w:wordWrap w:val="0"/>
              <w:spacing w:after="0" w:line="240" w:lineRule="auto"/>
              <w:jc w:val="center"/>
              <w:rPr>
                <w:rFonts w:eastAsia="Times New Roman" w:cstheme="minorHAnsi"/>
                <w:color w:val="000000"/>
                <w:sz w:val="24"/>
                <w:szCs w:val="24"/>
                <w:lang w:val="en-US"/>
              </w:rPr>
            </w:pPr>
            <w:r w:rsidRPr="001B13DA">
              <w:rPr>
                <w:rFonts w:eastAsia="Times New Roman" w:cstheme="minorHAnsi"/>
                <w:b/>
                <w:bCs/>
                <w:i/>
                <w:iCs/>
                <w:color w:val="000000"/>
                <w:sz w:val="24"/>
                <w:szCs w:val="24"/>
                <w:shd w:val="clear" w:color="auto" w:fill="C0C0C0"/>
                <w:lang w:val="en-US"/>
              </w:rPr>
              <w:t>General Comments</w:t>
            </w:r>
          </w:p>
        </w:tc>
      </w:tr>
      <w:tr w:rsidR="001B13DA" w:rsidRPr="001B13DA" w:rsidTr="001B13DA">
        <w:trPr>
          <w:trHeight w:val="224"/>
        </w:trPr>
        <w:tc>
          <w:tcPr>
            <w:tcW w:w="8916" w:type="dxa"/>
            <w:gridSpan w:val="2"/>
            <w:tcBorders>
              <w:top w:val="nil"/>
              <w:left w:val="single" w:sz="8" w:space="0" w:color="auto"/>
              <w:bottom w:val="single" w:sz="8" w:space="0" w:color="auto"/>
              <w:right w:val="single" w:sz="8" w:space="0" w:color="auto"/>
            </w:tcBorders>
            <w:noWrap/>
            <w:tcMar>
              <w:top w:w="0" w:type="dxa"/>
              <w:left w:w="15" w:type="dxa"/>
              <w:bottom w:w="0" w:type="dxa"/>
              <w:right w:w="15" w:type="dxa"/>
            </w:tcMar>
            <w:hideMark/>
          </w:tcPr>
          <w:p w:rsidR="001B13DA" w:rsidRPr="001B13DA" w:rsidRDefault="001B13DA" w:rsidP="001B13DA">
            <w:pPr>
              <w:shd w:val="clear" w:color="auto" w:fill="FFFFFF"/>
              <w:wordWrap w:val="0"/>
              <w:spacing w:after="0" w:line="240" w:lineRule="auto"/>
              <w:rPr>
                <w:rFonts w:eastAsia="Times New Roman" w:cstheme="minorHAnsi"/>
                <w:color w:val="000000"/>
                <w:sz w:val="24"/>
                <w:szCs w:val="24"/>
                <w:lang w:val="en-US"/>
              </w:rPr>
            </w:pPr>
            <w:r w:rsidRPr="001B13DA">
              <w:rPr>
                <w:rFonts w:eastAsia="Times New Roman" w:cstheme="minorHAnsi"/>
                <w:b/>
                <w:bCs/>
                <w:color w:val="201F1E"/>
                <w:sz w:val="24"/>
                <w:szCs w:val="24"/>
                <w:lang w:val="en-US"/>
              </w:rPr>
              <w:t>Comment No. 1</w:t>
            </w:r>
          </w:p>
          <w:p w:rsidR="001B13DA" w:rsidRPr="001B13DA" w:rsidRDefault="001B13DA" w:rsidP="001B13DA">
            <w:pPr>
              <w:ind w:left="119" w:right="181"/>
              <w:jc w:val="both"/>
              <w:rPr>
                <w:color w:val="000000"/>
                <w:lang w:val="en-US"/>
              </w:rPr>
            </w:pPr>
            <w:r w:rsidRPr="001B13DA">
              <w:rPr>
                <w:lang w:val="en-US"/>
              </w:rPr>
              <w:t xml:space="preserve">The key to “Conservation of Biological Diversity” is to </w:t>
            </w:r>
            <w:r>
              <w:rPr>
                <w:lang w:val="en-US"/>
              </w:rPr>
              <w:t xml:space="preserve">facilitate </w:t>
            </w:r>
            <w:r w:rsidRPr="001B13DA">
              <w:rPr>
                <w:lang w:val="en-US"/>
              </w:rPr>
              <w:t xml:space="preserve">assessment through clear and measurable criteria that are shared, transparent and communicated. Often lost in the voluminous species-wise ecosystem-wise details is the bigger picture of where the world is heading in terms of halting the loss of biodiversity. While focusing on details is important, </w:t>
            </w:r>
            <w:r>
              <w:rPr>
                <w:lang w:val="en-US"/>
              </w:rPr>
              <w:t xml:space="preserve">it is equally important to </w:t>
            </w:r>
            <w:r w:rsidRPr="001B13DA">
              <w:rPr>
                <w:lang w:val="en-US"/>
              </w:rPr>
              <w:t xml:space="preserve">look at the aggregated numbers and macro-assessments </w:t>
            </w:r>
            <w:r>
              <w:rPr>
                <w:lang w:val="en-US"/>
              </w:rPr>
              <w:t>for a</w:t>
            </w:r>
            <w:r w:rsidRPr="001B13DA">
              <w:rPr>
                <w:lang w:val="en-US"/>
              </w:rPr>
              <w:t xml:space="preserve"> clearer vision of the goals. Statistics, in general and environment accounts, in particular, can help decision makers </w:t>
            </w:r>
            <w:r>
              <w:rPr>
                <w:lang w:val="en-US"/>
              </w:rPr>
              <w:t xml:space="preserve">by providing </w:t>
            </w:r>
            <w:r w:rsidRPr="001B13DA">
              <w:rPr>
                <w:lang w:val="en-US"/>
              </w:rPr>
              <w:t>necessary inputs for planning and policy formulations</w:t>
            </w:r>
            <w:r>
              <w:rPr>
                <w:lang w:val="en-US"/>
              </w:rPr>
              <w:t xml:space="preserve"> through </w:t>
            </w:r>
            <w:r w:rsidRPr="001B13DA">
              <w:rPr>
                <w:lang w:val="en-US"/>
              </w:rPr>
              <w:t>measurable</w:t>
            </w:r>
            <w:r>
              <w:rPr>
                <w:lang w:val="en-US"/>
              </w:rPr>
              <w:t xml:space="preserve"> and</w:t>
            </w:r>
            <w:r w:rsidRPr="001B13DA">
              <w:rPr>
                <w:lang w:val="en-US"/>
              </w:rPr>
              <w:t xml:space="preserve"> tangible assessments. Next to measurability, the most important attribute of the monitoring mechanism is the periodicity of assessments.  Statistics or accounts need to be produced on a regular basis </w:t>
            </w:r>
            <w:r>
              <w:rPr>
                <w:lang w:val="en-US"/>
              </w:rPr>
              <w:t>to facilitate mid-</w:t>
            </w:r>
            <w:r w:rsidRPr="001B13DA">
              <w:rPr>
                <w:lang w:val="en-US"/>
              </w:rPr>
              <w:t>course corrections. Just like a statutory audit, the undertaking of the statistical assessment often provides important and valuable insight.</w:t>
            </w:r>
          </w:p>
          <w:p w:rsidR="00084DAB" w:rsidRDefault="001B13DA" w:rsidP="001B13DA">
            <w:pPr>
              <w:ind w:left="119" w:right="181"/>
              <w:jc w:val="both"/>
              <w:rPr>
                <w:lang w:val="en-US"/>
              </w:rPr>
            </w:pPr>
            <w:r w:rsidRPr="001B13DA">
              <w:rPr>
                <w:lang w:val="en-US"/>
              </w:rPr>
              <w:t>In th</w:t>
            </w:r>
            <w:r>
              <w:rPr>
                <w:lang w:val="en-US"/>
              </w:rPr>
              <w:t xml:space="preserve">e above </w:t>
            </w:r>
            <w:r w:rsidRPr="001B13DA">
              <w:rPr>
                <w:lang w:val="en-US"/>
              </w:rPr>
              <w:t>back</w:t>
            </w:r>
            <w:r>
              <w:rPr>
                <w:lang w:val="en-US"/>
              </w:rPr>
              <w:t>drop</w:t>
            </w:r>
            <w:r w:rsidRPr="001B13DA">
              <w:rPr>
                <w:lang w:val="en-US"/>
              </w:rPr>
              <w:t xml:space="preserve">, it is </w:t>
            </w:r>
            <w:r>
              <w:rPr>
                <w:lang w:val="en-US"/>
              </w:rPr>
              <w:t xml:space="preserve">important that </w:t>
            </w:r>
            <w:r w:rsidRPr="001B13DA">
              <w:rPr>
                <w:lang w:val="en-US"/>
              </w:rPr>
              <w:t>the National Statistical Offices</w:t>
            </w:r>
            <w:r w:rsidR="00084DAB">
              <w:rPr>
                <w:lang w:val="en-US"/>
              </w:rPr>
              <w:t xml:space="preserve"> are continuously engaged with during the </w:t>
            </w:r>
            <w:r w:rsidR="00084DAB" w:rsidRPr="001B13DA">
              <w:rPr>
                <w:lang w:val="en-US"/>
              </w:rPr>
              <w:t xml:space="preserve">process of monitoring </w:t>
            </w:r>
            <w:r w:rsidR="00084DAB">
              <w:rPr>
                <w:lang w:val="en-US"/>
              </w:rPr>
              <w:t>as the</w:t>
            </w:r>
            <w:r w:rsidR="00DC2E4A">
              <w:rPr>
                <w:lang w:val="en-US"/>
              </w:rPr>
              <w:t xml:space="preserve"> NSOs </w:t>
            </w:r>
            <w:r w:rsidRPr="001B13DA">
              <w:rPr>
                <w:lang w:val="en-US"/>
              </w:rPr>
              <w:t xml:space="preserve">are generally </w:t>
            </w:r>
            <w:r w:rsidR="00DC2E4A">
              <w:rPr>
                <w:lang w:val="en-US"/>
              </w:rPr>
              <w:t xml:space="preserve">responsible for </w:t>
            </w:r>
            <w:r w:rsidRPr="001B13DA">
              <w:rPr>
                <w:lang w:val="en-US"/>
              </w:rPr>
              <w:t xml:space="preserve">implementation of the System of Environmental Economic Accounting (SEEA). </w:t>
            </w:r>
          </w:p>
          <w:p w:rsidR="001B13DA" w:rsidRPr="001B13DA" w:rsidRDefault="001B13DA" w:rsidP="001B13DA">
            <w:pPr>
              <w:ind w:left="119" w:right="181"/>
              <w:jc w:val="both"/>
              <w:rPr>
                <w:lang w:val="en-US"/>
              </w:rPr>
            </w:pPr>
            <w:r w:rsidRPr="001B13DA">
              <w:rPr>
                <w:lang w:val="en-US"/>
              </w:rPr>
              <w:t xml:space="preserve">This could ensure coherence among the different indicators since they would be juxtaposed in a </w:t>
            </w:r>
            <w:proofErr w:type="spellStart"/>
            <w:r w:rsidRPr="001B13DA">
              <w:rPr>
                <w:lang w:val="en-US"/>
              </w:rPr>
              <w:t>standardised</w:t>
            </w:r>
            <w:proofErr w:type="spellEnd"/>
            <w:r w:rsidRPr="001B13DA">
              <w:rPr>
                <w:lang w:val="en-US"/>
              </w:rPr>
              <w:t xml:space="preserve"> framework and could also help in better use of the monitoring framework in the National Biodiversity Strategies and Action Plans (NBSAPs), National Reports to the CBD, and also other reports like the Voluntary National Reviews (VNRs).  Further, integration of the biodiversity framework with statistical programmes like those of environment statistics and environmental accounts can help utilize resources optimally.</w:t>
            </w:r>
          </w:p>
          <w:p w:rsidR="001B13DA" w:rsidRPr="00DC2E4A" w:rsidRDefault="001B13DA" w:rsidP="001B13DA">
            <w:pPr>
              <w:ind w:left="119" w:right="181"/>
              <w:jc w:val="both"/>
              <w:rPr>
                <w:lang w:val="en-US"/>
              </w:rPr>
            </w:pPr>
            <w:r w:rsidRPr="00DC2E4A">
              <w:rPr>
                <w:lang w:val="en-US"/>
              </w:rPr>
              <w:t xml:space="preserve">Use of the SEEA-based indicators and greater involvement of the National Statistical Offices in the monitoring framework </w:t>
            </w:r>
            <w:r w:rsidR="00DC2E4A">
              <w:rPr>
                <w:lang w:val="en-US"/>
              </w:rPr>
              <w:t xml:space="preserve">are also likely to yield the </w:t>
            </w:r>
            <w:r w:rsidRPr="00DC2E4A">
              <w:rPr>
                <w:lang w:val="en-US"/>
              </w:rPr>
              <w:t>following benefits:</w:t>
            </w:r>
          </w:p>
          <w:p w:rsidR="001B13DA" w:rsidRPr="00DC2E4A" w:rsidRDefault="001B13DA" w:rsidP="00DC2E4A">
            <w:pPr>
              <w:pStyle w:val="ListParagraph"/>
              <w:numPr>
                <w:ilvl w:val="0"/>
                <w:numId w:val="2"/>
              </w:numPr>
              <w:ind w:right="181"/>
              <w:jc w:val="both"/>
              <w:rPr>
                <w:lang w:val="en-US"/>
              </w:rPr>
            </w:pPr>
            <w:r w:rsidRPr="00DC2E4A">
              <w:rPr>
                <w:lang w:val="en-US"/>
              </w:rPr>
              <w:lastRenderedPageBreak/>
              <w:t xml:space="preserve">Consistency across sectors in </w:t>
            </w:r>
            <w:r w:rsidR="00DC2E4A">
              <w:rPr>
                <w:lang w:val="en-US"/>
              </w:rPr>
              <w:t xml:space="preserve">analyzing </w:t>
            </w:r>
            <w:r w:rsidRPr="00DC2E4A">
              <w:rPr>
                <w:lang w:val="en-US"/>
              </w:rPr>
              <w:t xml:space="preserve">depicting trends and distributions, especially during turning points (like catastrophes) </w:t>
            </w:r>
            <w:r w:rsidR="00DC2E4A">
              <w:rPr>
                <w:lang w:val="en-US"/>
              </w:rPr>
              <w:t xml:space="preserve">and providing inputs for </w:t>
            </w:r>
            <w:r w:rsidRPr="00DC2E4A">
              <w:rPr>
                <w:lang w:val="en-US"/>
              </w:rPr>
              <w:t>better policies for disaster risk reductions, allocation of funds and economic coordination and assistance;</w:t>
            </w:r>
          </w:p>
          <w:p w:rsidR="001B13DA" w:rsidRPr="00DC2E4A" w:rsidRDefault="001B13DA" w:rsidP="00DC2E4A">
            <w:pPr>
              <w:pStyle w:val="ListParagraph"/>
              <w:numPr>
                <w:ilvl w:val="0"/>
                <w:numId w:val="2"/>
              </w:numPr>
              <w:ind w:right="181"/>
              <w:jc w:val="both"/>
              <w:rPr>
                <w:lang w:val="en-US"/>
              </w:rPr>
            </w:pPr>
            <w:r w:rsidRPr="00DC2E4A">
              <w:rPr>
                <w:lang w:val="en-US"/>
              </w:rPr>
              <w:t>Transparency and consistency in concepts and definitions so that decision-makers use common metrics for framing the policy interventions;</w:t>
            </w:r>
          </w:p>
          <w:p w:rsidR="001B13DA" w:rsidRPr="00DC2E4A" w:rsidRDefault="001B13DA" w:rsidP="00DC2E4A">
            <w:pPr>
              <w:pStyle w:val="ListParagraph"/>
              <w:numPr>
                <w:ilvl w:val="0"/>
                <w:numId w:val="2"/>
              </w:numPr>
              <w:ind w:right="181"/>
              <w:jc w:val="both"/>
              <w:rPr>
                <w:lang w:val="en-US"/>
              </w:rPr>
            </w:pPr>
            <w:r w:rsidRPr="00DC2E4A">
              <w:rPr>
                <w:lang w:val="en-US"/>
              </w:rPr>
              <w:t xml:space="preserve">Greater accuracy in the information provided </w:t>
            </w:r>
            <w:r w:rsidR="00AC3F40">
              <w:rPr>
                <w:lang w:val="en-US"/>
              </w:rPr>
              <w:t xml:space="preserve">in view of the processes adopted for </w:t>
            </w:r>
            <w:r w:rsidRPr="00DC2E4A">
              <w:rPr>
                <w:lang w:val="en-US"/>
              </w:rPr>
              <w:t xml:space="preserve">reconciliation of discrepancies across data </w:t>
            </w:r>
            <w:r w:rsidR="00AC3F40">
              <w:rPr>
                <w:lang w:val="en-US"/>
              </w:rPr>
              <w:t xml:space="preserve">sets </w:t>
            </w:r>
            <w:r w:rsidRPr="00DC2E4A">
              <w:rPr>
                <w:lang w:val="en-US"/>
              </w:rPr>
              <w:t>as part of the integration process;</w:t>
            </w:r>
          </w:p>
          <w:p w:rsidR="001B13DA" w:rsidRPr="00DC2E4A" w:rsidRDefault="001B13DA" w:rsidP="00DC2E4A">
            <w:pPr>
              <w:pStyle w:val="ListParagraph"/>
              <w:numPr>
                <w:ilvl w:val="0"/>
                <w:numId w:val="2"/>
              </w:numPr>
              <w:ind w:right="181"/>
              <w:jc w:val="both"/>
              <w:rPr>
                <w:lang w:val="en-US"/>
              </w:rPr>
            </w:pPr>
            <w:r w:rsidRPr="00DC2E4A">
              <w:rPr>
                <w:lang w:val="en-US"/>
              </w:rPr>
              <w:t>Reduction in the reporting burden for respondents, increased efficiency in the production of data, and greater accuracy through the use of common definitions, common or reconciled classes, common or integrated questionnaires, common and integrated data processing, estimation, and dissemination systems and better use of administrative records and other strategies for integration;</w:t>
            </w:r>
          </w:p>
          <w:p w:rsidR="001B13DA" w:rsidRPr="00DC2E4A" w:rsidRDefault="001B13DA" w:rsidP="00DC2E4A">
            <w:pPr>
              <w:pStyle w:val="ListParagraph"/>
              <w:numPr>
                <w:ilvl w:val="0"/>
                <w:numId w:val="2"/>
              </w:numPr>
              <w:ind w:right="181"/>
              <w:jc w:val="both"/>
              <w:rPr>
                <w:lang w:val="en-US"/>
              </w:rPr>
            </w:pPr>
            <w:r w:rsidRPr="00DC2E4A">
              <w:rPr>
                <w:lang w:val="en-US"/>
              </w:rPr>
              <w:t xml:space="preserve">More relevant </w:t>
            </w:r>
            <w:r w:rsidR="00AC3F40">
              <w:rPr>
                <w:lang w:val="en-US"/>
              </w:rPr>
              <w:t xml:space="preserve">and responsive </w:t>
            </w:r>
            <w:r w:rsidRPr="00DC2E4A">
              <w:rPr>
                <w:lang w:val="en-US"/>
              </w:rPr>
              <w:t xml:space="preserve">statistics that quickly address user needs </w:t>
            </w:r>
            <w:r w:rsidR="00AC3F40">
              <w:rPr>
                <w:lang w:val="en-US"/>
              </w:rPr>
              <w:t>by leveraging integrated technologies</w:t>
            </w:r>
            <w:r w:rsidR="009407D3">
              <w:rPr>
                <w:lang w:val="en-US"/>
              </w:rPr>
              <w:t>;</w:t>
            </w:r>
            <w:r w:rsidR="00AC3F40">
              <w:rPr>
                <w:lang w:val="en-US"/>
              </w:rPr>
              <w:t xml:space="preserve"> </w:t>
            </w:r>
          </w:p>
          <w:p w:rsidR="001B13DA" w:rsidRPr="00DC2E4A" w:rsidRDefault="001B13DA" w:rsidP="00DC2E4A">
            <w:pPr>
              <w:pStyle w:val="ListParagraph"/>
              <w:numPr>
                <w:ilvl w:val="0"/>
                <w:numId w:val="2"/>
              </w:numPr>
              <w:ind w:right="181"/>
              <w:jc w:val="both"/>
              <w:rPr>
                <w:lang w:val="en-US"/>
              </w:rPr>
            </w:pPr>
            <w:r w:rsidRPr="00DC2E4A">
              <w:rPr>
                <w:lang w:val="en-US"/>
              </w:rPr>
              <w:t xml:space="preserve">Consistency across countries for purposes of assessing cross-country effects and policy coordination through the use of standard classifications and nomenclatures; </w:t>
            </w:r>
            <w:r w:rsidR="009407D3">
              <w:rPr>
                <w:lang w:val="en-US"/>
              </w:rPr>
              <w:t>and</w:t>
            </w:r>
            <w:bookmarkStart w:id="0" w:name="_GoBack"/>
            <w:bookmarkEnd w:id="0"/>
          </w:p>
          <w:p w:rsidR="001B13DA" w:rsidRPr="00DC2E4A" w:rsidRDefault="001B13DA" w:rsidP="00AC3F40">
            <w:pPr>
              <w:pStyle w:val="ListParagraph"/>
              <w:numPr>
                <w:ilvl w:val="0"/>
                <w:numId w:val="2"/>
              </w:numPr>
              <w:ind w:right="181"/>
              <w:jc w:val="both"/>
              <w:rPr>
                <w:rFonts w:eastAsia="Times New Roman" w:cstheme="minorHAnsi"/>
                <w:color w:val="000000"/>
                <w:szCs w:val="22"/>
                <w:lang w:val="en-US"/>
              </w:rPr>
            </w:pPr>
            <w:r w:rsidRPr="00DC2E4A">
              <w:rPr>
                <w:lang w:val="en-US"/>
              </w:rPr>
              <w:t xml:space="preserve">Improved timeliness and quality of information </w:t>
            </w:r>
            <w:r w:rsidR="00AC3F40">
              <w:rPr>
                <w:lang w:val="en-US"/>
              </w:rPr>
              <w:t xml:space="preserve">through usage of standard processes and methodologies integral to an </w:t>
            </w:r>
            <w:r w:rsidRPr="00DC2E4A">
              <w:rPr>
                <w:lang w:val="en-US"/>
              </w:rPr>
              <w:t>NSO</w:t>
            </w:r>
            <w:r w:rsidR="00AC3F40">
              <w:rPr>
                <w:lang w:val="en-US"/>
              </w:rPr>
              <w:t xml:space="preserve">. </w:t>
            </w:r>
          </w:p>
        </w:tc>
      </w:tr>
      <w:tr w:rsidR="001B13DA" w:rsidRPr="001B13DA" w:rsidTr="001B13DA">
        <w:trPr>
          <w:trHeight w:val="224"/>
        </w:trPr>
        <w:tc>
          <w:tcPr>
            <w:tcW w:w="8916" w:type="dxa"/>
            <w:gridSpan w:val="2"/>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shd w:val="clear" w:color="auto" w:fill="FFFFFF"/>
              <w:wordWrap w:val="0"/>
              <w:spacing w:after="0" w:line="240" w:lineRule="auto"/>
              <w:jc w:val="both"/>
              <w:rPr>
                <w:rFonts w:eastAsia="Times New Roman" w:cstheme="minorHAnsi"/>
                <w:color w:val="000000"/>
                <w:sz w:val="24"/>
                <w:szCs w:val="24"/>
                <w:lang w:val="en-US"/>
              </w:rPr>
            </w:pPr>
            <w:r w:rsidRPr="001B13DA">
              <w:rPr>
                <w:rFonts w:eastAsia="Times New Roman" w:cstheme="minorHAnsi"/>
                <w:b/>
                <w:bCs/>
                <w:color w:val="201F1E"/>
                <w:sz w:val="24"/>
                <w:szCs w:val="24"/>
                <w:lang w:val="en-US"/>
              </w:rPr>
              <w:lastRenderedPageBreak/>
              <w:t>Comment No. 2</w:t>
            </w:r>
          </w:p>
          <w:p w:rsidR="001B13DA" w:rsidRPr="001B13DA" w:rsidRDefault="001B13DA" w:rsidP="00AC3F40">
            <w:pPr>
              <w:ind w:left="119" w:right="181"/>
              <w:jc w:val="both"/>
              <w:rPr>
                <w:rFonts w:eastAsia="Times New Roman" w:cstheme="minorHAnsi"/>
                <w:color w:val="000000"/>
                <w:sz w:val="24"/>
                <w:szCs w:val="24"/>
                <w:lang w:val="en-US"/>
              </w:rPr>
            </w:pPr>
            <w:r w:rsidRPr="001B13DA">
              <w:rPr>
                <w:lang w:val="en-US"/>
              </w:rPr>
              <w:t xml:space="preserve">It is observed that some of the proposed indicators are just one-time estimates and are resource-intensive, which </w:t>
            </w:r>
            <w:r w:rsidR="00AC3F40">
              <w:rPr>
                <w:lang w:val="en-US"/>
              </w:rPr>
              <w:t>implies</w:t>
            </w:r>
            <w:r w:rsidRPr="001B13DA">
              <w:rPr>
                <w:lang w:val="en-US"/>
              </w:rPr>
              <w:t xml:space="preserve"> that countries will not be able to plan a periodic compilation of these indicators/indices. Indicators like ‘Cumulative human impacts on marine ecosystems’   or the Comprehensiveness of conservation of socioeconomically as well as culturally valuable species’ should be either dropped or replaced by indicators that </w:t>
            </w:r>
            <w:r w:rsidR="00AC3F40">
              <w:rPr>
                <w:lang w:val="en-US"/>
              </w:rPr>
              <w:t xml:space="preserve">can </w:t>
            </w:r>
            <w:r w:rsidRPr="001B13DA">
              <w:rPr>
                <w:lang w:val="en-US"/>
              </w:rPr>
              <w:t>be compiled regularly by countries.</w:t>
            </w:r>
          </w:p>
        </w:tc>
      </w:tr>
      <w:tr w:rsidR="001B13DA" w:rsidRPr="001B13DA" w:rsidTr="001B13DA">
        <w:trPr>
          <w:trHeight w:val="224"/>
        </w:trPr>
        <w:tc>
          <w:tcPr>
            <w:tcW w:w="8916" w:type="dxa"/>
            <w:gridSpan w:val="2"/>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1B13DA" w:rsidRPr="001B13DA" w:rsidRDefault="001B13DA" w:rsidP="001B13DA">
            <w:pPr>
              <w:shd w:val="clear" w:color="auto" w:fill="FFFFFF"/>
              <w:wordWrap w:val="0"/>
              <w:spacing w:after="0" w:line="240" w:lineRule="auto"/>
              <w:jc w:val="both"/>
              <w:rPr>
                <w:rFonts w:eastAsia="Times New Roman" w:cstheme="minorHAnsi"/>
                <w:color w:val="000000"/>
                <w:sz w:val="24"/>
                <w:szCs w:val="24"/>
                <w:lang w:val="en-US"/>
              </w:rPr>
            </w:pPr>
            <w:r w:rsidRPr="001B13DA">
              <w:rPr>
                <w:rFonts w:eastAsia="Times New Roman" w:cstheme="minorHAnsi"/>
                <w:b/>
                <w:bCs/>
                <w:color w:val="201F1E"/>
                <w:sz w:val="24"/>
                <w:szCs w:val="24"/>
                <w:lang w:val="en-US"/>
              </w:rPr>
              <w:t>Comment No. 3</w:t>
            </w:r>
          </w:p>
          <w:p w:rsidR="001B13DA" w:rsidRPr="001B13DA" w:rsidRDefault="001B13DA" w:rsidP="001B13DA">
            <w:pPr>
              <w:shd w:val="clear" w:color="auto" w:fill="FFFFFF"/>
              <w:wordWrap w:val="0"/>
              <w:spacing w:after="0" w:line="240" w:lineRule="auto"/>
              <w:jc w:val="both"/>
              <w:rPr>
                <w:rFonts w:eastAsia="Times New Roman" w:cstheme="minorHAnsi"/>
                <w:color w:val="000000"/>
                <w:sz w:val="24"/>
                <w:szCs w:val="24"/>
                <w:lang w:val="en-US"/>
              </w:rPr>
            </w:pPr>
            <w:r w:rsidRPr="001B13DA">
              <w:rPr>
                <w:rFonts w:eastAsia="Times New Roman" w:cstheme="minorHAnsi"/>
                <w:color w:val="000000"/>
                <w:sz w:val="24"/>
                <w:szCs w:val="24"/>
                <w:lang w:val="en-US"/>
              </w:rPr>
              <w:t> </w:t>
            </w:r>
          </w:p>
          <w:p w:rsidR="001B13DA" w:rsidRPr="001B13DA" w:rsidRDefault="001B13DA" w:rsidP="008B2708">
            <w:pPr>
              <w:ind w:left="119" w:right="181"/>
              <w:jc w:val="both"/>
              <w:rPr>
                <w:rFonts w:eastAsia="Times New Roman" w:cstheme="minorHAnsi"/>
                <w:color w:val="000000"/>
                <w:szCs w:val="22"/>
                <w:lang w:val="en-US"/>
              </w:rPr>
            </w:pPr>
            <w:r w:rsidRPr="001B13DA">
              <w:rPr>
                <w:lang w:val="en-US"/>
              </w:rPr>
              <w:t>A tiered</w:t>
            </w:r>
            <w:r w:rsidR="00AC3F40">
              <w:rPr>
                <w:lang w:val="en-US"/>
              </w:rPr>
              <w:t>/phased</w:t>
            </w:r>
            <w:r w:rsidRPr="001B13DA">
              <w:rPr>
                <w:lang w:val="en-US"/>
              </w:rPr>
              <w:t xml:space="preserve"> approach to the indicator framework would be </w:t>
            </w:r>
            <w:r w:rsidR="00AC3F40">
              <w:rPr>
                <w:lang w:val="en-US"/>
              </w:rPr>
              <w:t xml:space="preserve">useful for countries to adopt. Thus </w:t>
            </w:r>
            <w:r w:rsidRPr="001B13DA">
              <w:rPr>
                <w:lang w:val="en-US"/>
              </w:rPr>
              <w:t xml:space="preserve">in the first </w:t>
            </w:r>
            <w:r w:rsidR="00AC3F40">
              <w:rPr>
                <w:lang w:val="en-US"/>
              </w:rPr>
              <w:t>phase</w:t>
            </w:r>
            <w:r w:rsidRPr="001B13DA">
              <w:rPr>
                <w:lang w:val="en-US"/>
              </w:rPr>
              <w:t xml:space="preserve">, global data sets can be used to estimate national indicators for those countries that </w:t>
            </w:r>
            <w:r w:rsidR="00AC3F40">
              <w:rPr>
                <w:lang w:val="en-US"/>
              </w:rPr>
              <w:t xml:space="preserve">are yet to develop or are developing their data systems. </w:t>
            </w:r>
            <w:r w:rsidR="008B2708">
              <w:rPr>
                <w:lang w:val="en-US"/>
              </w:rPr>
              <w:t xml:space="preserve">Simultaneous efforts need to be made </w:t>
            </w:r>
            <w:r w:rsidRPr="001B13DA">
              <w:rPr>
                <w:lang w:val="en-US"/>
              </w:rPr>
              <w:t>to develop capacit</w:t>
            </w:r>
            <w:r w:rsidR="008B2708">
              <w:rPr>
                <w:lang w:val="en-US"/>
              </w:rPr>
              <w:t xml:space="preserve">ies in such </w:t>
            </w:r>
            <w:r w:rsidRPr="001B13DA">
              <w:rPr>
                <w:lang w:val="en-US"/>
              </w:rPr>
              <w:t xml:space="preserve">countries </w:t>
            </w:r>
            <w:r w:rsidR="008B2708">
              <w:rPr>
                <w:lang w:val="en-US"/>
              </w:rPr>
              <w:t xml:space="preserve">for </w:t>
            </w:r>
            <w:r w:rsidRPr="001B13DA">
              <w:rPr>
                <w:lang w:val="en-US"/>
              </w:rPr>
              <w:t>compil</w:t>
            </w:r>
            <w:r w:rsidR="008B2708">
              <w:rPr>
                <w:lang w:val="en-US"/>
              </w:rPr>
              <w:t xml:space="preserve">ing </w:t>
            </w:r>
            <w:r w:rsidRPr="001B13DA">
              <w:rPr>
                <w:lang w:val="en-US"/>
              </w:rPr>
              <w:t xml:space="preserve">these data </w:t>
            </w:r>
            <w:r w:rsidR="008B2708">
              <w:rPr>
                <w:lang w:val="en-US"/>
              </w:rPr>
              <w:t xml:space="preserve">sets </w:t>
            </w:r>
            <w:r w:rsidRPr="001B13DA">
              <w:rPr>
                <w:lang w:val="en-US"/>
              </w:rPr>
              <w:t xml:space="preserve">in the medium term. </w:t>
            </w:r>
            <w:r w:rsidR="008B2708">
              <w:rPr>
                <w:lang w:val="en-US"/>
              </w:rPr>
              <w:t xml:space="preserve">The SDG framework for involvement of </w:t>
            </w:r>
            <w:r w:rsidRPr="001B13DA">
              <w:rPr>
                <w:lang w:val="en-US"/>
              </w:rPr>
              <w:t>custodian agencies consult</w:t>
            </w:r>
            <w:r w:rsidR="008B2708">
              <w:rPr>
                <w:lang w:val="en-US"/>
              </w:rPr>
              <w:t>ing</w:t>
            </w:r>
            <w:r w:rsidRPr="001B13DA">
              <w:rPr>
                <w:lang w:val="en-US"/>
              </w:rPr>
              <w:t xml:space="preserve"> with the countries before publishing the data</w:t>
            </w:r>
            <w:r w:rsidR="008B2708">
              <w:rPr>
                <w:lang w:val="en-US"/>
              </w:rPr>
              <w:t xml:space="preserve"> needs to be reinforced</w:t>
            </w:r>
            <w:r w:rsidRPr="001B13DA">
              <w:rPr>
                <w:lang w:val="en-US"/>
              </w:rPr>
              <w:t>.</w:t>
            </w:r>
          </w:p>
        </w:tc>
      </w:tr>
    </w:tbl>
    <w:p w:rsidR="001B13DA" w:rsidRPr="001B13DA" w:rsidRDefault="001B13DA" w:rsidP="001B13DA">
      <w:pPr>
        <w:spacing w:after="0" w:line="240" w:lineRule="auto"/>
        <w:jc w:val="center"/>
        <w:rPr>
          <w:rFonts w:eastAsia="Times New Roman" w:cstheme="minorHAnsi"/>
          <w:color w:val="000000"/>
          <w:sz w:val="24"/>
          <w:szCs w:val="24"/>
          <w:lang w:val="en-US"/>
        </w:rPr>
      </w:pPr>
      <w:r w:rsidRPr="001B13DA">
        <w:rPr>
          <w:rFonts w:eastAsia="Times New Roman" w:cstheme="minorHAnsi"/>
          <w:b/>
          <w:bCs/>
          <w:color w:val="000000"/>
          <w:szCs w:val="22"/>
          <w:lang w:val="en-US"/>
        </w:rPr>
        <w:t> </w:t>
      </w:r>
    </w:p>
    <w:p w:rsidR="001B13DA" w:rsidRPr="001B13DA" w:rsidRDefault="001B13DA" w:rsidP="001B13DA">
      <w:pPr>
        <w:spacing w:after="0" w:line="240" w:lineRule="auto"/>
        <w:jc w:val="both"/>
        <w:rPr>
          <w:rFonts w:eastAsia="Times New Roman" w:cstheme="minorHAnsi"/>
          <w:color w:val="000000"/>
          <w:sz w:val="24"/>
          <w:szCs w:val="24"/>
          <w:lang w:val="en-US"/>
        </w:rPr>
      </w:pPr>
      <w:r w:rsidRPr="001B13DA">
        <w:rPr>
          <w:rFonts w:eastAsia="Times New Roman" w:cstheme="minorHAnsi"/>
          <w:i/>
          <w:iCs/>
          <w:color w:val="000000"/>
          <w:szCs w:val="22"/>
          <w:lang w:val="en-US"/>
        </w:rPr>
        <w:t>Comments should be sent by e-mail to secretariat@cbd.int </w:t>
      </w:r>
      <w:r w:rsidRPr="001B13DA">
        <w:rPr>
          <w:rFonts w:eastAsia="Times New Roman" w:cstheme="minorHAnsi"/>
          <w:b/>
          <w:bCs/>
          <w:i/>
          <w:iCs/>
          <w:color w:val="000000"/>
          <w:szCs w:val="22"/>
          <w:lang w:val="en-US"/>
        </w:rPr>
        <w:t>no later than 25 July 2020</w:t>
      </w:r>
      <w:r w:rsidRPr="001B13DA">
        <w:rPr>
          <w:rFonts w:eastAsia="Times New Roman" w:cstheme="minorHAnsi"/>
          <w:i/>
          <w:iCs/>
          <w:color w:val="000000"/>
          <w:szCs w:val="22"/>
          <w:lang w:val="en-US"/>
        </w:rPr>
        <w:t>.</w:t>
      </w:r>
    </w:p>
    <w:p w:rsidR="00AD3135" w:rsidRPr="001B13DA" w:rsidRDefault="00AD3135">
      <w:pPr>
        <w:rPr>
          <w:rFonts w:cstheme="minorHAnsi"/>
        </w:rPr>
      </w:pPr>
    </w:p>
    <w:sectPr w:rsidR="00AD3135" w:rsidRPr="001B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E1CE6"/>
    <w:multiLevelType w:val="multilevel"/>
    <w:tmpl w:val="D510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9674D7"/>
    <w:multiLevelType w:val="hybridMultilevel"/>
    <w:tmpl w:val="5AFAC62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DA"/>
    <w:rsid w:val="00084DAB"/>
    <w:rsid w:val="001B13DA"/>
    <w:rsid w:val="008B2708"/>
    <w:rsid w:val="009407D3"/>
    <w:rsid w:val="00AC3F40"/>
    <w:rsid w:val="00AD3135"/>
    <w:rsid w:val="00DC2E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7F42"/>
  <w15:chartTrackingRefBased/>
  <w15:docId w15:val="{093FB629-904F-4A41-9C4F-0498E731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3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13DA"/>
    <w:rPr>
      <w:b/>
      <w:bCs/>
    </w:rPr>
  </w:style>
  <w:style w:type="character" w:styleId="Emphasis">
    <w:name w:val="Emphasis"/>
    <w:basedOn w:val="DefaultParagraphFont"/>
    <w:uiPriority w:val="20"/>
    <w:qFormat/>
    <w:rsid w:val="001B13DA"/>
    <w:rPr>
      <w:i/>
      <w:iCs/>
    </w:rPr>
  </w:style>
  <w:style w:type="paragraph" w:styleId="ListParagraph">
    <w:name w:val="List Paragraph"/>
    <w:basedOn w:val="Normal"/>
    <w:uiPriority w:val="34"/>
    <w:qFormat/>
    <w:rsid w:val="00DC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 srivastava</dc:creator>
  <cp:keywords/>
  <dc:description/>
  <cp:lastModifiedBy>hp</cp:lastModifiedBy>
  <cp:revision>2</cp:revision>
  <dcterms:created xsi:type="dcterms:W3CDTF">2020-07-30T07:51:00Z</dcterms:created>
  <dcterms:modified xsi:type="dcterms:W3CDTF">2020-07-30T07:51:00Z</dcterms:modified>
</cp:coreProperties>
</file>