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36" w:rsidRDefault="00C95036">
      <w:pPr>
        <w:rPr>
          <w:rFonts w:hint="eastAsia"/>
        </w:rPr>
      </w:pPr>
      <w:bookmarkStart w:id="0" w:name="_GoBack"/>
      <w:bookmarkEnd w:id="0"/>
      <w:r w:rsidRPr="00C77DB5">
        <w:rPr>
          <w:rFonts w:ascii="Times New Roman" w:eastAsia="仿宋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6F46A4A4" wp14:editId="04272576">
                <wp:extent cx="5257800" cy="8719718"/>
                <wp:effectExtent l="0" t="0" r="19050" b="24765"/>
                <wp:docPr id="586504455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7197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EF397"/>
                            </a:gs>
                            <a:gs pos="50000">
                              <a:srgbClr val="D5F6C0"/>
                            </a:gs>
                            <a:gs pos="100000">
                              <a:srgbClr val="EAFAE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36" w:rsidRPr="003E08F7" w:rsidRDefault="00C95036" w:rsidP="00C95036">
                            <w:pPr>
                              <w:spacing w:beforeLines="100" w:before="312" w:afterLines="100" w:after="31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3E08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Case Study 2.3 </w:t>
                            </w:r>
                            <w:proofErr w:type="spellStart"/>
                            <w:r w:rsidRPr="003E08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Baerluke</w:t>
                            </w:r>
                            <w:proofErr w:type="spellEnd"/>
                            <w:r w:rsidRPr="003E08F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 Mountain Successfully Promoted to National-Level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2"/>
                              </w:rPr>
                              <w:t>Nature Reserve</w:t>
                            </w:r>
                          </w:p>
                          <w:p w:rsidR="00C95036" w:rsidRPr="00373F06" w:rsidRDefault="00C95036" w:rsidP="00C95036">
                            <w:pPr>
                              <w:spacing w:line="276" w:lineRule="auto"/>
                              <w:ind w:firstLineChars="200" w:firstLine="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Baerluke</w:t>
                            </w:r>
                            <w:proofErr w:type="spellEnd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F0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Nature Reserve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 located at the transition area from Taiga forest community in </w:t>
                            </w:r>
                            <w:proofErr w:type="spellStart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Ertai</w:t>
                            </w:r>
                            <w:proofErr w:type="spellEnd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Mountain to desert community in </w:t>
                            </w:r>
                            <w:proofErr w:type="spellStart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Tianshan</w:t>
                            </w:r>
                            <w:proofErr w:type="spellEnd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Mountain. It has primitive habitats and rich biodiversity. It also has the world’s largest area of wild almond trees (</w:t>
                            </w:r>
                            <w:r w:rsidRPr="00373F0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373F06">
                              <w:rPr>
                                <w:rFonts w:ascii="Times New Roman" w:eastAsia="仿宋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  <w:t>hectares</w:t>
                            </w:r>
                            <w:r w:rsidRPr="00373F0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which have important values of scientific research and conservation.  </w:t>
                            </w:r>
                          </w:p>
                          <w:p w:rsidR="00C95036" w:rsidRPr="00373F06" w:rsidRDefault="00C95036" w:rsidP="00C95036">
                            <w:pPr>
                              <w:spacing w:line="276" w:lineRule="auto"/>
                              <w:ind w:firstLineChars="200" w:firstLine="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connection with the census on Chinese medicinal resources, with the strong support of Xinjiang University, Xinjiang Normal University, Xinjiang Medical University, </w:t>
                            </w:r>
                            <w:proofErr w:type="spellStart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Shihezi</w:t>
                            </w:r>
                            <w:proofErr w:type="spellEnd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University, Xinjiang Institute of Chinese Medicine and Xinjiang Institute of Ecology and Geography under the Chinese Academy of Sciences, a more detailed survey was undertaken of wild medicinal plant resources in </w:t>
                            </w:r>
                            <w:proofErr w:type="spellStart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Baerluke</w:t>
                            </w:r>
                            <w:proofErr w:type="spellEnd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Mountain </w:t>
                            </w:r>
                            <w:r w:rsidRPr="00373F0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Nature Reserve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5036" w:rsidRPr="00373F06" w:rsidRDefault="00C95036" w:rsidP="00C95036">
                            <w:pPr>
                              <w:spacing w:line="276" w:lineRule="auto"/>
                              <w:ind w:firstLineChars="200" w:firstLine="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373F0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 nature reserve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 a gene bank of plant resources in </w:t>
                            </w:r>
                            <w:proofErr w:type="spellStart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Tacheng</w:t>
                            </w:r>
                            <w:proofErr w:type="spellEnd"/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region and a habitat for many wild animals as well as an ecological security barrier for northwest China. Most of the </w:t>
                            </w:r>
                            <w:r w:rsidRPr="00373F0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nature reserve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keeps their original landscapes and has rich forest ecosystem diversity as well as species abundance. The nationally protected wild animals include </w:t>
                            </w:r>
                            <w:r w:rsidRPr="00591B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gold carving,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591B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 Siberian ibex, great bustard and snow leopard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As a result of the census, the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species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distribution of wild herbal plants within the </w:t>
                            </w:r>
                            <w:r w:rsidRPr="00373F0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nature reserve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 known and the quantity of reserves of some key herbal plants was calculated and obtained. Information concerning civil application and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practice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some herbal plants was also obtained. All this provided a scientific basis for the establishment of herbal plant germplasm and gene banks and the conservation, development and use of herbal plants of this region.</w:t>
                            </w:r>
                          </w:p>
                          <w:p w:rsidR="00C95036" w:rsidRDefault="00C95036" w:rsidP="00C95036">
                            <w:pPr>
                              <w:spacing w:line="276" w:lineRule="auto"/>
                              <w:ind w:firstLineChars="200" w:firstLine="4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 19 May 2015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this </w:t>
                            </w:r>
                            <w:r w:rsidRPr="00373F0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nature reserve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was officially promoted to the national-level </w:t>
                            </w:r>
                            <w:r w:rsidRPr="00373F0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nature reserve</w:t>
                            </w:r>
                            <w:r w:rsidRPr="00373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95036" w:rsidRDefault="00C95036" w:rsidP="00C950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91D0686" wp14:editId="59901E04">
                                  <wp:extent cx="2247900" cy="1619250"/>
                                  <wp:effectExtent l="19050" t="0" r="0" b="0"/>
                                  <wp:docPr id="586504482" name="图片 842" descr="H:\植物照片\裕民县654225\20150509\IMG_083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842" descr="H:\植物照片\裕民县654225\20150509\IMG_083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8DC6968" wp14:editId="0AC4681E">
                                  <wp:extent cx="2428875" cy="1619250"/>
                                  <wp:effectExtent l="19050" t="0" r="9525" b="0"/>
                                  <wp:docPr id="586504483" name="图片 843" descr="H:\植物照片\裕民县654225\20150509\IMG_06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843" descr="H:\植物照片\裕民县654225\20150509\IMG_06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5036" w:rsidRPr="00FD504D" w:rsidRDefault="00C95036" w:rsidP="00C95036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FD504D"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sz w:val="22"/>
                                <w:lang w:val="en-CA"/>
                              </w:rPr>
                              <w:t xml:space="preserve">Part of vegetation in </w:t>
                            </w:r>
                            <w:proofErr w:type="spellStart"/>
                            <w:r w:rsidRPr="00FD504D"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sz w:val="22"/>
                                <w:lang w:val="en-CA"/>
                              </w:rPr>
                              <w:t>Baerluke</w:t>
                            </w:r>
                            <w:proofErr w:type="spellEnd"/>
                            <w:r w:rsidRPr="00FD504D"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sz w:val="22"/>
                                <w:lang w:val="en-CA"/>
                              </w:rPr>
                              <w:t xml:space="preserve"> Mountain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46A4A4" id="_x0000_t202" coordsize="21600,21600" o:spt="202" path="m,l,21600r21600,l21600,xe">
                <v:stroke joinstyle="miter"/>
                <v:path gradientshapeok="t" o:connecttype="rect"/>
              </v:shapetype>
              <v:shape id="文本框 44" o:spid="_x0000_s1026" type="#_x0000_t202" style="width:414pt;height:6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" fillcolor="#bef397" strokecolor="#00b050">
                <v:fill color2="#eafae0" rotate="t" focusposition=".5,.5" focussize="" colors="0 #bef397;.5 #d5f6c0;1 #eafae0" focus="100%" type="gradientRadial"/>
                <v:textbox>
                  <w:txbxContent>
                    <w:p w:rsidR="00C95036" w:rsidRPr="003E08F7" w:rsidRDefault="00C95036" w:rsidP="00C95036">
                      <w:pPr>
                        <w:spacing w:beforeLines="100" w:before="312" w:afterLines="100" w:after="312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3E08F7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Case Study 2.3 </w:t>
                      </w:r>
                      <w:proofErr w:type="spellStart"/>
                      <w:r w:rsidRPr="003E08F7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Baerluke</w:t>
                      </w:r>
                      <w:proofErr w:type="spellEnd"/>
                      <w:r w:rsidRPr="003E08F7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 Mountain Successfully Promoted to National-Level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2"/>
                        </w:rPr>
                        <w:t>Nature Reserve</w:t>
                      </w:r>
                    </w:p>
                    <w:p w:rsidR="00C95036" w:rsidRPr="00373F06" w:rsidRDefault="00C95036" w:rsidP="00C95036">
                      <w:pPr>
                        <w:spacing w:line="276" w:lineRule="auto"/>
                        <w:ind w:firstLineChars="200" w:firstLine="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Baerluke</w:t>
                      </w:r>
                      <w:proofErr w:type="spellEnd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73F06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Nature Reserve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 located at the transition area from Taiga forest community in </w:t>
                      </w:r>
                      <w:proofErr w:type="spellStart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Ertai</w:t>
                      </w:r>
                      <w:proofErr w:type="spellEnd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Mountain to desert community in </w:t>
                      </w:r>
                      <w:proofErr w:type="spellStart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Tianshan</w:t>
                      </w:r>
                      <w:proofErr w:type="spellEnd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Mountain. It has primitive habitats and rich biodiversity. It also has the world’s largest area of wild almond trees (</w:t>
                      </w:r>
                      <w:r w:rsidRPr="00373F06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16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00 </w:t>
                      </w:r>
                      <w:r w:rsidRPr="00373F06">
                        <w:rPr>
                          <w:rFonts w:ascii="Times New Roman" w:eastAsia="仿宋" w:hAnsi="Times New Roman" w:cs="Times New Roman"/>
                          <w:sz w:val="20"/>
                          <w:szCs w:val="20"/>
                          <w:lang w:val="en-CA"/>
                        </w:rPr>
                        <w:t>hectares</w:t>
                      </w:r>
                      <w:r w:rsidRPr="00373F06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which have important values of scientific research and conservation.  </w:t>
                      </w:r>
                    </w:p>
                    <w:p w:rsidR="00C95036" w:rsidRPr="00373F06" w:rsidRDefault="00C95036" w:rsidP="00C95036">
                      <w:pPr>
                        <w:spacing w:line="276" w:lineRule="auto"/>
                        <w:ind w:firstLineChars="200" w:firstLine="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connection with the census on Chinese medicinal resources, with the strong support of Xinjiang University, Xinjiang Normal University, Xinjiang Medical University, </w:t>
                      </w:r>
                      <w:proofErr w:type="spellStart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Shihezi</w:t>
                      </w:r>
                      <w:proofErr w:type="spellEnd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University, Xinjiang Institute of Chinese Medicine and Xinjiang Institute of Ecology and Geography under the Chinese Academy of Sciences, a more detailed survey was undertaken of wild medicinal plant resources in </w:t>
                      </w:r>
                      <w:proofErr w:type="spellStart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Baerluke</w:t>
                      </w:r>
                      <w:proofErr w:type="spellEnd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Mountain </w:t>
                      </w:r>
                      <w:r w:rsidRPr="00373F06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Nature Reserve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C95036" w:rsidRPr="00373F06" w:rsidRDefault="00C95036" w:rsidP="00C95036">
                      <w:pPr>
                        <w:spacing w:line="276" w:lineRule="auto"/>
                        <w:ind w:firstLineChars="200" w:firstLine="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Pr="00373F06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 nature reserve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 a gene bank of plant resources in </w:t>
                      </w:r>
                      <w:proofErr w:type="spellStart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Tacheng</w:t>
                      </w:r>
                      <w:proofErr w:type="spellEnd"/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region and a habitat for many wild animals as well as an ecological security barrier for northwest China. Most of the </w:t>
                      </w:r>
                      <w:r w:rsidRPr="00373F06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nature reserve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keeps their original landscapes and has rich forest ecosystem diversity as well as species abundance. The nationally protected wild animals include </w:t>
                      </w:r>
                      <w:r w:rsidRPr="00591B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gold carving,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t</w:t>
                      </w:r>
                      <w:r w:rsidRPr="00591B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 Siberian ibex, great bustard and snow leopard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As a result of the census, the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species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distribution of wild herbal plants within the </w:t>
                      </w:r>
                      <w:r w:rsidRPr="00373F06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nature reserve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 known and the quantity of reserves of some key herbal plants was calculated and obtained. Information concerning civil application and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practice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some herbal plants was also obtained. All this provided a scientific basis for the establishment of herbal plant germplasm and gene banks and the conservation, development and use of herbal plants of this region.</w:t>
                      </w:r>
                    </w:p>
                    <w:p w:rsidR="00C95036" w:rsidRDefault="00C95036" w:rsidP="00C95036">
                      <w:pPr>
                        <w:spacing w:line="276" w:lineRule="auto"/>
                        <w:ind w:firstLineChars="200" w:firstLine="4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 19 May 2015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,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this </w:t>
                      </w:r>
                      <w:r w:rsidRPr="00373F06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nature reserve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was officially promoted to the national-level </w:t>
                      </w:r>
                      <w:r w:rsidRPr="00373F06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nature reserve</w:t>
                      </w:r>
                      <w:r w:rsidRPr="00373F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95036" w:rsidRDefault="00C95036" w:rsidP="00C95036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91D0686" wp14:editId="59901E04">
                            <wp:extent cx="2247900" cy="1619250"/>
                            <wp:effectExtent l="19050" t="0" r="0" b="0"/>
                            <wp:docPr id="586504482" name="图片 842" descr="H:\植物照片\裕民县654225\20150509\IMG_083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842" descr="H:\植物照片\裕民县654225\20150509\IMG_083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8DC6968" wp14:editId="0AC4681E">
                            <wp:extent cx="2428875" cy="1619250"/>
                            <wp:effectExtent l="19050" t="0" r="9525" b="0"/>
                            <wp:docPr id="586504483" name="图片 843" descr="H:\植物照片\裕民县654225\20150509\IMG_06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843" descr="H:\植物照片\裕民县654225\20150509\IMG_06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5036" w:rsidRPr="00FD504D" w:rsidRDefault="00C95036" w:rsidP="00C95036">
                      <w:pPr>
                        <w:spacing w:line="360" w:lineRule="auto"/>
                        <w:jc w:val="center"/>
                        <w:rPr>
                          <w:rFonts w:ascii="Times New Roman" w:eastAsia="仿宋" w:hAnsi="Times New Roman" w:cs="Times New Roman"/>
                          <w:b/>
                          <w:bCs/>
                          <w:color w:val="000000"/>
                          <w:sz w:val="22"/>
                        </w:rPr>
                      </w:pPr>
                      <w:r w:rsidRPr="00FD504D">
                        <w:rPr>
                          <w:rFonts w:ascii="Times New Roman" w:eastAsia="仿宋" w:hAnsi="Times New Roman" w:cs="Times New Roman"/>
                          <w:b/>
                          <w:bCs/>
                          <w:sz w:val="22"/>
                          <w:lang w:val="en-CA"/>
                        </w:rPr>
                        <w:t xml:space="preserve">Part of vegetation in </w:t>
                      </w:r>
                      <w:proofErr w:type="spellStart"/>
                      <w:r w:rsidRPr="00FD504D">
                        <w:rPr>
                          <w:rFonts w:ascii="Times New Roman" w:eastAsia="仿宋" w:hAnsi="Times New Roman" w:cs="Times New Roman"/>
                          <w:b/>
                          <w:bCs/>
                          <w:sz w:val="22"/>
                          <w:lang w:val="en-CA"/>
                        </w:rPr>
                        <w:t>Baerluke</w:t>
                      </w:r>
                      <w:proofErr w:type="spellEnd"/>
                      <w:r w:rsidRPr="00FD504D">
                        <w:rPr>
                          <w:rFonts w:ascii="Times New Roman" w:eastAsia="仿宋" w:hAnsi="Times New Roman" w:cs="Times New Roman"/>
                          <w:b/>
                          <w:bCs/>
                          <w:sz w:val="22"/>
                          <w:lang w:val="en-CA"/>
                        </w:rPr>
                        <w:t xml:space="preserve"> Mountain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95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A"/>
    <w:rsid w:val="00762DAA"/>
    <w:rsid w:val="00C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0915"/>
  <w15:chartTrackingRefBased/>
  <w15:docId w15:val="{3CD6B4F2-83FC-4D01-B18C-F838ACA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预设格式 字符"/>
    <w:link w:val="HTML0"/>
    <w:uiPriority w:val="99"/>
    <w:rsid w:val="00762DAA"/>
    <w:rPr>
      <w:rFonts w:ascii="宋体" w:eastAsia="宋体" w:hAnsi="宋体" w:cs="宋体"/>
      <w:kern w:val="0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762D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1">
    <w:name w:val="HTML 预设格式 字符1"/>
    <w:basedOn w:val="a0"/>
    <w:uiPriority w:val="99"/>
    <w:semiHidden/>
    <w:rsid w:val="00762DA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dandanyu</dc:creator>
  <cp:keywords/>
  <dc:description/>
  <cp:lastModifiedBy>dandanyu</cp:lastModifiedBy>
  <cp:revision>2</cp:revision>
  <dcterms:created xsi:type="dcterms:W3CDTF">2018-12-12T05:55:00Z</dcterms:created>
  <dcterms:modified xsi:type="dcterms:W3CDTF">2018-12-12T05:55:00Z</dcterms:modified>
</cp:coreProperties>
</file>