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7D3" w:rsidRDefault="007E57D3" w:rsidP="007E57D3">
      <w:bookmarkStart w:id="0" w:name="_Toc526856478"/>
      <w:r>
        <w:rPr>
          <w:rFonts w:ascii="Times New Roman" w:eastAsia="仿宋" w:hAnsi="Times New Roman" w:cs="Times New Roman"/>
          <w:noProof/>
        </w:rPr>
        <mc:AlternateContent>
          <mc:Choice Requires="wps">
            <w:drawing>
              <wp:inline distT="0" distB="0" distL="0" distR="0" wp14:anchorId="6C880425" wp14:editId="3913F947">
                <wp:extent cx="5276850" cy="6359525"/>
                <wp:effectExtent l="0" t="0" r="19050" b="22225"/>
                <wp:docPr id="586504621" name="Text Box 586504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6359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D3" w:rsidRPr="00706588" w:rsidRDefault="007E57D3" w:rsidP="007E57D3">
                            <w:pPr>
                              <w:spacing w:beforeLines="100" w:before="312" w:afterLines="100" w:after="312" w:line="360" w:lineRule="auto"/>
                              <w:jc w:val="center"/>
                              <w:rPr>
                                <w:rFonts w:ascii="Times New Roman" w:eastAsia="仿宋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>
                              <w:rPr>
                                <w:rFonts w:ascii="Times New Roman" w:eastAsia="仿宋" w:hAnsi="Times New Roman" w:cs="Times New Roman"/>
                                <w:b/>
                                <w:sz w:val="20"/>
                                <w:szCs w:val="20"/>
                              </w:rPr>
                              <w:t>Case Study 2.17</w:t>
                            </w:r>
                            <w:bookmarkEnd w:id="1"/>
                            <w:r w:rsidRPr="00706588">
                              <w:rPr>
                                <w:rFonts w:ascii="Times New Roman" w:eastAsia="仿宋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China-Norway Project on Mainstreaming Biodiversity Values and Ecosystem Services</w:t>
                            </w:r>
                            <w:r>
                              <w:rPr>
                                <w:rFonts w:ascii="Times New Roman" w:eastAsia="仿宋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in</w:t>
                            </w:r>
                            <w:r w:rsidRPr="00706588">
                              <w:rPr>
                                <w:rFonts w:ascii="Times New Roman" w:eastAsia="仿宋" w:hAnsi="Times New Roman" w:cs="Times New Roman"/>
                                <w:b/>
                                <w:sz w:val="20"/>
                                <w:szCs w:val="20"/>
                              </w:rPr>
                              <w:t>to Decision-making in China</w:t>
                            </w:r>
                          </w:p>
                          <w:p w:rsidR="007E57D3" w:rsidRPr="00706588" w:rsidRDefault="007E57D3" w:rsidP="007E57D3">
                            <w:pPr>
                              <w:snapToGrid w:val="0"/>
                              <w:spacing w:line="324" w:lineRule="auto"/>
                              <w:ind w:firstLineChars="200" w:firstLine="400"/>
                              <w:rPr>
                                <w:rFonts w:ascii="Times New Roman" w:eastAsia="仿宋" w:hAnsi="Times New Roman" w:cs="Times New Roman"/>
                              </w:rPr>
                            </w:pPr>
                            <w:r w:rsidRPr="00FE7F37">
                              <w:rPr>
                                <w:rFonts w:ascii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In December 2014, China and Norway signed a project agreement on Integrating the Value of Biodiversity and Ecosystem Services into China's Decision-Making. The project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aims to promote mainstreaming biodiversity into</w:t>
                            </w:r>
                            <w:r w:rsidRPr="00FE7F37">
                              <w:rPr>
                                <w:rFonts w:ascii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policy development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through linking biodiversity and </w:t>
                            </w:r>
                            <w:r w:rsidRPr="00FE7F37">
                              <w:rPr>
                                <w:rFonts w:ascii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ecos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ystem services, with public well-being and economic assessment</w:t>
                            </w:r>
                            <w:r w:rsidRPr="00FE7F37">
                              <w:rPr>
                                <w:rFonts w:ascii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. The project was officially launched in 2016 with an implementation period of 3 years. The Norwegian side provided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funds of </w:t>
                            </w:r>
                            <w:r w:rsidRPr="00FE7F37">
                              <w:rPr>
                                <w:rFonts w:ascii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a total of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3843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212121"/>
                                <w:sz w:val="20"/>
                                <w:szCs w:val="20"/>
                              </w:rPr>
                              <w:t xml:space="preserve">million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Norwegian Krone. The i</w:t>
                            </w:r>
                            <w:r w:rsidRPr="00FE7F37">
                              <w:rPr>
                                <w:rFonts w:ascii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lementing agencies on both sides are the Chinese Research</w:t>
                            </w:r>
                            <w:r w:rsidRPr="00FE7F37">
                              <w:rPr>
                                <w:rFonts w:ascii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Academy of Environmental Sciences and the Norwegian Environment Agency. Since the launch of the project, China and Norway have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achieved results in increasing</w:t>
                            </w:r>
                            <w:r w:rsidRPr="00FE7F37">
                              <w:rPr>
                                <w:rFonts w:ascii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awareness of biodiversity conservation in demonstration counties through app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lied research, case studies and establishing </w:t>
                            </w:r>
                            <w:r w:rsidRPr="00FE7F37">
                              <w:rPr>
                                <w:rFonts w:ascii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dem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onstration counties, and promoting </w:t>
                            </w:r>
                            <w:r w:rsidRPr="00FE7F37">
                              <w:rPr>
                                <w:rFonts w:ascii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the integrati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on of biodiversity </w:t>
                            </w:r>
                            <w:r w:rsidRPr="00FE7F37">
                              <w:rPr>
                                <w:rFonts w:ascii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values ​​into county-level decision-making and planning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processes.</w:t>
                            </w:r>
                          </w:p>
                          <w:p w:rsidR="007E57D3" w:rsidRPr="00706588" w:rsidRDefault="007E57D3" w:rsidP="007E57D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napToGrid w:val="0"/>
                              <w:spacing w:line="324" w:lineRule="auto"/>
                              <w:ind w:firstLineChars="200" w:firstLine="400"/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At present, the project carries out assessments of biodiversity and ecosystem services at different scales and types, including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county and city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level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within nature reserves and ecosystems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at species and other levels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. At the same time, the project has developed a series of indicators and methods for mainstreaming biodiversity, providing strong support for biodiversity inclusion 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government officials’ 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perform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ance appraisal and off-job 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audit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ing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, related planning and decision-making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processes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, some of which have been adopted by the National People's Congress and 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relevant government departments.</w:t>
                            </w:r>
                          </w:p>
                          <w:p w:rsidR="007E57D3" w:rsidRPr="00706588" w:rsidRDefault="007E57D3" w:rsidP="007E57D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napToGrid w:val="0"/>
                              <w:spacing w:line="324" w:lineRule="auto"/>
                              <w:ind w:firstLineChars="200" w:firstLine="400"/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The main results of the project include:</w:t>
                            </w:r>
                          </w:p>
                          <w:p w:rsidR="007E57D3" w:rsidRPr="00706588" w:rsidRDefault="007E57D3" w:rsidP="007E57D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napToGrid w:val="0"/>
                              <w:spacing w:line="324" w:lineRule="auto"/>
                              <w:ind w:firstLineChars="200" w:firstLine="400"/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(1) Direct support to the Ministry of Ecology and Environment's key work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The Economics of Biodiversity and Ecosystem Services in China (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TEEB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China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7E57D3" w:rsidRPr="00706588" w:rsidRDefault="007E57D3" w:rsidP="007E57D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napToGrid w:val="0"/>
                              <w:spacing w:line="324" w:lineRule="auto"/>
                              <w:ind w:firstLineChars="200" w:firstLine="400"/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(2) The method and indicators of the project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212121"/>
                                <w:sz w:val="20"/>
                                <w:szCs w:val="20"/>
                              </w:rPr>
                              <w:t xml:space="preserve">were applied in 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the assessment of the value of biodiversity and ecosystem services in the nine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212121"/>
                                <w:sz w:val="20"/>
                                <w:szCs w:val="20"/>
                              </w:rPr>
                              <w:t>counties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and one district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212121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Pu'er</w:t>
                            </w:r>
                            <w:proofErr w:type="spellEnd"/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City;</w:t>
                            </w:r>
                          </w:p>
                          <w:p w:rsidR="007E57D3" w:rsidRPr="00706588" w:rsidRDefault="007E57D3" w:rsidP="007E57D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napToGrid w:val="0"/>
                              <w:spacing w:line="324" w:lineRule="auto"/>
                              <w:ind w:firstLineChars="200" w:firstLine="400"/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(3) 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Biodiversity has been integrated into the 13th Five-Year Plan in all model counties;</w:t>
                            </w:r>
                          </w:p>
                          <w:p w:rsidR="007E57D3" w:rsidRPr="00702F2E" w:rsidRDefault="007E57D3" w:rsidP="007E57D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napToGrid w:val="0"/>
                              <w:spacing w:line="324" w:lineRule="auto"/>
                              <w:ind w:firstLineChars="200" w:firstLine="400"/>
                              <w:rPr>
                                <w:rFonts w:ascii="Times New Roman" w:hAnsi="Times New Roman" w:cs="Times New Roman"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(4) Project results have been posted 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on the website of the Conference of the Parties to the Convention on Biological Diversity and the United Nations Environment </w:t>
                            </w:r>
                            <w:proofErr w:type="spellStart"/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880425" id="_x0000_t202" coordsize="21600,21600" o:spt="202" path="m,l,21600r21600,l21600,xe">
                <v:stroke joinstyle="miter"/>
                <v:path gradientshapeok="t" o:connecttype="rect"/>
              </v:shapetype>
              <v:shape id="Text Box 586504532" o:spid="_x0000_s1026" type="#_x0000_t202" style="width:415.5pt;height:50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" fillcolor="#bef397" strokecolor="#00b050">
                <v:fill color2="#eafae0" rotate="t" focusposition=".5,.5" focussize="" colors="0 #bef397;.5 #d5f6c0;1 #eafae0" focus="100%" type="gradientRadial"/>
                <v:textbox>
                  <w:txbxContent>
                    <w:p w:rsidR="007E57D3" w:rsidRPr="00706588" w:rsidRDefault="007E57D3" w:rsidP="007E57D3">
                      <w:pPr>
                        <w:spacing w:beforeLines="100" w:before="312" w:afterLines="100" w:after="312" w:line="360" w:lineRule="auto"/>
                        <w:jc w:val="center"/>
                        <w:rPr>
                          <w:rFonts w:ascii="Times New Roman" w:eastAsia="仿宋" w:hAnsi="Times New Roman" w:cs="Times New Roman"/>
                          <w:sz w:val="20"/>
                          <w:szCs w:val="20"/>
                        </w:rPr>
                      </w:pPr>
                      <w:bookmarkStart w:id="2" w:name="_GoBack"/>
                      <w:r>
                        <w:rPr>
                          <w:rFonts w:ascii="Times New Roman" w:eastAsia="仿宋" w:hAnsi="Times New Roman" w:cs="Times New Roman"/>
                          <w:b/>
                          <w:sz w:val="20"/>
                          <w:szCs w:val="20"/>
                        </w:rPr>
                        <w:t>Case Study 2.17</w:t>
                      </w:r>
                      <w:bookmarkEnd w:id="2"/>
                      <w:r w:rsidRPr="00706588">
                        <w:rPr>
                          <w:rFonts w:ascii="Times New Roman" w:eastAsia="仿宋" w:hAnsi="Times New Roman" w:cs="Times New Roman"/>
                          <w:b/>
                          <w:sz w:val="20"/>
                          <w:szCs w:val="20"/>
                        </w:rPr>
                        <w:t xml:space="preserve"> China-Norway Project on Mainstreaming Biodiversity Values and Ecosystem Services</w:t>
                      </w:r>
                      <w:r>
                        <w:rPr>
                          <w:rFonts w:ascii="Times New Roman" w:eastAsia="仿宋" w:hAnsi="Times New Roman" w:cs="Times New Roman"/>
                          <w:b/>
                          <w:sz w:val="20"/>
                          <w:szCs w:val="20"/>
                        </w:rPr>
                        <w:t xml:space="preserve"> in</w:t>
                      </w:r>
                      <w:r w:rsidRPr="00706588">
                        <w:rPr>
                          <w:rFonts w:ascii="Times New Roman" w:eastAsia="仿宋" w:hAnsi="Times New Roman" w:cs="Times New Roman"/>
                          <w:b/>
                          <w:sz w:val="20"/>
                          <w:szCs w:val="20"/>
                        </w:rPr>
                        <w:t>to Decision-making in China</w:t>
                      </w:r>
                    </w:p>
                    <w:p w:rsidR="007E57D3" w:rsidRPr="00706588" w:rsidRDefault="007E57D3" w:rsidP="007E57D3">
                      <w:pPr>
                        <w:snapToGrid w:val="0"/>
                        <w:spacing w:line="324" w:lineRule="auto"/>
                        <w:ind w:firstLineChars="200" w:firstLine="400"/>
                        <w:rPr>
                          <w:rFonts w:ascii="Times New Roman" w:eastAsia="仿宋" w:hAnsi="Times New Roman" w:cs="Times New Roman"/>
                        </w:rPr>
                      </w:pPr>
                      <w:r w:rsidRPr="00FE7F37">
                        <w:rPr>
                          <w:rFonts w:ascii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In December 2014, China and Norway signed a project agreement on Integrating the Value of Biodiversity and Ecosystem Services into China's Decision-Making. The project </w:t>
                      </w:r>
                      <w:r>
                        <w:rPr>
                          <w:rFonts w:ascii="Times New Roman" w:hAnsi="Times New Roman" w:cs="Times New Roman"/>
                          <w:color w:val="212121"/>
                          <w:sz w:val="20"/>
                          <w:szCs w:val="20"/>
                        </w:rPr>
                        <w:t>aims to promote mainstreaming biodiversity into</w:t>
                      </w:r>
                      <w:r w:rsidRPr="00FE7F37">
                        <w:rPr>
                          <w:rFonts w:ascii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policy development</w:t>
                      </w:r>
                      <w:r>
                        <w:rPr>
                          <w:rFonts w:ascii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through linking biodiversity and </w:t>
                      </w:r>
                      <w:r w:rsidRPr="00FE7F37">
                        <w:rPr>
                          <w:rFonts w:ascii="Times New Roman" w:hAnsi="Times New Roman" w:cs="Times New Roman"/>
                          <w:color w:val="212121"/>
                          <w:sz w:val="20"/>
                          <w:szCs w:val="20"/>
                        </w:rPr>
                        <w:t>ecos</w:t>
                      </w:r>
                      <w:r>
                        <w:rPr>
                          <w:rFonts w:ascii="Times New Roman" w:hAnsi="Times New Roman" w:cs="Times New Roman"/>
                          <w:color w:val="212121"/>
                          <w:sz w:val="20"/>
                          <w:szCs w:val="20"/>
                        </w:rPr>
                        <w:t>ystem services, with public well-being and economic assessment</w:t>
                      </w:r>
                      <w:r w:rsidRPr="00FE7F37">
                        <w:rPr>
                          <w:rFonts w:ascii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. The project was officially launched in 2016 with an implementation period of 3 years. The Norwegian side provided </w:t>
                      </w:r>
                      <w:r>
                        <w:rPr>
                          <w:rFonts w:ascii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funds of </w:t>
                      </w:r>
                      <w:r w:rsidRPr="00FE7F37">
                        <w:rPr>
                          <w:rFonts w:ascii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a total of </w:t>
                      </w:r>
                      <w:r>
                        <w:rPr>
                          <w:rFonts w:ascii="Times New Roman" w:hAnsi="Times New Roman" w:cs="Times New Roman"/>
                          <w:color w:val="212121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Times New Roman" w:hAnsi="Times New Roman" w:cs="Times New Roman" w:hint="eastAsia"/>
                          <w:color w:val="21212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3843 </w:t>
                      </w:r>
                      <w:r>
                        <w:rPr>
                          <w:rFonts w:ascii="Times New Roman" w:hAnsi="Times New Roman" w:cs="Times New Roman" w:hint="eastAsia"/>
                          <w:color w:val="212121"/>
                          <w:sz w:val="20"/>
                          <w:szCs w:val="20"/>
                        </w:rPr>
                        <w:t xml:space="preserve">million </w:t>
                      </w:r>
                      <w:r>
                        <w:rPr>
                          <w:rFonts w:ascii="Times New Roman" w:hAnsi="Times New Roman" w:cs="Times New Roman"/>
                          <w:color w:val="212121"/>
                          <w:sz w:val="20"/>
                          <w:szCs w:val="20"/>
                        </w:rPr>
                        <w:t>Norwegian Krone. The i</w:t>
                      </w:r>
                      <w:r w:rsidRPr="00FE7F37">
                        <w:rPr>
                          <w:rFonts w:ascii="Times New Roman" w:hAnsi="Times New Roman" w:cs="Times New Roman"/>
                          <w:color w:val="212121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rFonts w:ascii="Times New Roman" w:hAnsi="Times New Roman" w:cs="Times New Roman"/>
                          <w:color w:val="212121"/>
                          <w:sz w:val="20"/>
                          <w:szCs w:val="20"/>
                        </w:rPr>
                        <w:t>lementing agencies on both sides are the Chinese Research</w:t>
                      </w:r>
                      <w:r w:rsidRPr="00FE7F37">
                        <w:rPr>
                          <w:rFonts w:ascii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Academy of Environmental Sciences and the Norwegian Environment Agency. Since the launch of the project, China and Norway have </w:t>
                      </w:r>
                      <w:r>
                        <w:rPr>
                          <w:rFonts w:ascii="Times New Roman" w:hAnsi="Times New Roman" w:cs="Times New Roman"/>
                          <w:color w:val="212121"/>
                          <w:sz w:val="20"/>
                          <w:szCs w:val="20"/>
                        </w:rPr>
                        <w:t>achieved results in increasing</w:t>
                      </w:r>
                      <w:r w:rsidRPr="00FE7F37">
                        <w:rPr>
                          <w:rFonts w:ascii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awareness of biodiversity conservation in demonstration counties through app</w:t>
                      </w:r>
                      <w:r>
                        <w:rPr>
                          <w:rFonts w:ascii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lied research, case studies and establishing </w:t>
                      </w:r>
                      <w:r w:rsidRPr="00FE7F37">
                        <w:rPr>
                          <w:rFonts w:ascii="Times New Roman" w:hAnsi="Times New Roman" w:cs="Times New Roman"/>
                          <w:color w:val="212121"/>
                          <w:sz w:val="20"/>
                          <w:szCs w:val="20"/>
                        </w:rPr>
                        <w:t>dem</w:t>
                      </w:r>
                      <w:r>
                        <w:rPr>
                          <w:rFonts w:ascii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onstration counties, and promoting </w:t>
                      </w:r>
                      <w:r w:rsidRPr="00FE7F37">
                        <w:rPr>
                          <w:rFonts w:ascii="Times New Roman" w:hAnsi="Times New Roman" w:cs="Times New Roman"/>
                          <w:color w:val="212121"/>
                          <w:sz w:val="20"/>
                          <w:szCs w:val="20"/>
                        </w:rPr>
                        <w:t>the integrati</w:t>
                      </w:r>
                      <w:r>
                        <w:rPr>
                          <w:rFonts w:ascii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on of biodiversity </w:t>
                      </w:r>
                      <w:r w:rsidRPr="00FE7F37">
                        <w:rPr>
                          <w:rFonts w:ascii="Times New Roman" w:hAnsi="Times New Roman" w:cs="Times New Roman"/>
                          <w:color w:val="212121"/>
                          <w:sz w:val="20"/>
                          <w:szCs w:val="20"/>
                        </w:rPr>
                        <w:t>values ​​into county-level decision-making and planning</w:t>
                      </w:r>
                      <w:r>
                        <w:rPr>
                          <w:rFonts w:ascii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processes.</w:t>
                      </w:r>
                    </w:p>
                    <w:p w:rsidR="007E57D3" w:rsidRPr="00706588" w:rsidRDefault="007E57D3" w:rsidP="007E57D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napToGrid w:val="0"/>
                        <w:spacing w:line="324" w:lineRule="auto"/>
                        <w:ind w:firstLineChars="200" w:firstLine="400"/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</w:pP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At present, the project carries out assessments of biodiversity and ecosystem services at different scales and types, including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at 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county and city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level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within nature reserves and ecosystems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at species and other levels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. At the same time, the project has developed a series of indicators and methods for mainstreaming biodiversity, providing strong support for biodiversity inclusion in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government officials’ 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perform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ance appraisal and off-job 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audit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ing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, related planning and decision-making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processes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, some of which have been adopted by the National People's Congress and the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relevant government departments.</w:t>
                      </w:r>
                    </w:p>
                    <w:p w:rsidR="007E57D3" w:rsidRPr="00706588" w:rsidRDefault="007E57D3" w:rsidP="007E57D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napToGrid w:val="0"/>
                        <w:spacing w:line="324" w:lineRule="auto"/>
                        <w:ind w:firstLineChars="200" w:firstLine="400"/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</w:pP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The main results of the project include:</w:t>
                      </w:r>
                    </w:p>
                    <w:p w:rsidR="007E57D3" w:rsidRPr="00706588" w:rsidRDefault="007E57D3" w:rsidP="007E57D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napToGrid w:val="0"/>
                        <w:spacing w:line="324" w:lineRule="auto"/>
                        <w:ind w:firstLineChars="200" w:firstLine="400"/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</w:pP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(1) Direct support to the Ministry of Ecology and Environment's key work –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The Economics of Biodiversity and Ecosystem Services in China (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TEEB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China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);</w:t>
                      </w:r>
                    </w:p>
                    <w:p w:rsidR="007E57D3" w:rsidRPr="00706588" w:rsidRDefault="007E57D3" w:rsidP="007E57D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napToGrid w:val="0"/>
                        <w:spacing w:line="324" w:lineRule="auto"/>
                        <w:ind w:firstLineChars="200" w:firstLine="400"/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</w:pP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(2) The method and indicators of the project </w:t>
                      </w:r>
                      <w:r>
                        <w:rPr>
                          <w:rFonts w:ascii="Times New Roman" w:hAnsi="Times New Roman" w:cs="Times New Roman" w:hint="eastAsia"/>
                          <w:color w:val="212121"/>
                          <w:sz w:val="20"/>
                          <w:szCs w:val="20"/>
                        </w:rPr>
                        <w:t xml:space="preserve">were applied in 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the assessment of the value of biodiversity and ecosystem services in the nine </w:t>
                      </w:r>
                      <w:r>
                        <w:rPr>
                          <w:rFonts w:ascii="Times New Roman" w:hAnsi="Times New Roman" w:cs="Times New Roman" w:hint="eastAsia"/>
                          <w:color w:val="212121"/>
                          <w:sz w:val="20"/>
                          <w:szCs w:val="20"/>
                        </w:rPr>
                        <w:t>counties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and one district</w:t>
                      </w:r>
                      <w:r>
                        <w:rPr>
                          <w:rFonts w:ascii="Times New Roman" w:hAnsi="Times New Roman" w:cs="Times New Roman" w:hint="eastAsia"/>
                          <w:color w:val="212121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Pu'er</w:t>
                      </w:r>
                      <w:proofErr w:type="spellEnd"/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City;</w:t>
                      </w:r>
                    </w:p>
                    <w:p w:rsidR="007E57D3" w:rsidRPr="00706588" w:rsidRDefault="007E57D3" w:rsidP="007E57D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napToGrid w:val="0"/>
                        <w:spacing w:line="324" w:lineRule="auto"/>
                        <w:ind w:firstLineChars="200" w:firstLine="400"/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(3) 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Biodiversity has been integrated into the 13th Five-Year Plan in all model counties;</w:t>
                      </w:r>
                    </w:p>
                    <w:p w:rsidR="007E57D3" w:rsidRPr="00702F2E" w:rsidRDefault="007E57D3" w:rsidP="007E57D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napToGrid w:val="0"/>
                        <w:spacing w:line="324" w:lineRule="auto"/>
                        <w:ind w:firstLineChars="200" w:firstLine="400"/>
                        <w:rPr>
                          <w:rFonts w:ascii="Times New Roman" w:hAnsi="Times New Roman" w:cs="Times New Roman"/>
                          <w:color w:val="212121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(4) Project results have been posted 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on the website of the Conference of the Parties to the Convention on Biological Diversity and the United Nations Environment </w:t>
                      </w:r>
                      <w:proofErr w:type="spellStart"/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Programme</w:t>
                      </w:r>
                      <w:proofErr w:type="spellEnd"/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 w:rsidR="007E57D3" w:rsidRDefault="007E57D3" w:rsidP="007E57D3"/>
    <w:p w:rsidR="007E57D3" w:rsidRDefault="007E57D3"/>
    <w:sectPr w:rsidR="007E5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D3"/>
    <w:rsid w:val="007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3E5A6-413D-48D6-AA30-148C7AEC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7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dandanyu</dc:creator>
  <cp:keywords/>
  <dc:description/>
  <cp:lastModifiedBy>dandanyu</cp:lastModifiedBy>
  <cp:revision>1</cp:revision>
  <dcterms:created xsi:type="dcterms:W3CDTF">2018-12-12T08:13:00Z</dcterms:created>
  <dcterms:modified xsi:type="dcterms:W3CDTF">2018-12-12T08:14:00Z</dcterms:modified>
</cp:coreProperties>
</file>