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A726F" w:rsidRPr="000956C5" w:rsidRDefault="00AA726F" w:rsidP="00E034BA">
      <w:pPr>
        <w:ind w:right="44"/>
        <w:jc w:val="both"/>
        <w:rPr>
          <w:rFonts w:asciiTheme="minorHAnsi" w:hAnsiTheme="minorHAnsi" w:cstheme="minorHAnsi"/>
          <w:sz w:val="22"/>
          <w:szCs w:val="22"/>
          <w:lang w:val="fr-FR"/>
        </w:rPr>
      </w:pPr>
      <w:bookmarkStart w:id="0" w:name="_GoBack"/>
      <w:bookmarkEnd w:id="0"/>
    </w:p>
    <w:p w14:paraId="2460838F" w14:textId="77777777" w:rsidR="00AA726F" w:rsidRPr="000956C5" w:rsidRDefault="00AA726F" w:rsidP="00F61250">
      <w:pPr>
        <w:jc w:val="center"/>
        <w:rPr>
          <w:rFonts w:asciiTheme="minorHAnsi" w:hAnsiTheme="minorHAnsi" w:cstheme="minorHAnsi"/>
          <w:b/>
          <w:sz w:val="22"/>
          <w:szCs w:val="22"/>
        </w:rPr>
      </w:pPr>
      <w:r w:rsidRPr="000956C5">
        <w:rPr>
          <w:rFonts w:asciiTheme="minorHAnsi" w:hAnsiTheme="minorHAnsi" w:cstheme="minorHAnsi"/>
          <w:b/>
          <w:sz w:val="22"/>
          <w:szCs w:val="22"/>
        </w:rPr>
        <w:t>Guidelines</w:t>
      </w:r>
      <w:r w:rsidR="00624FAA" w:rsidRPr="000956C5">
        <w:rPr>
          <w:rFonts w:asciiTheme="minorHAnsi" w:hAnsiTheme="minorHAnsi" w:cstheme="minorHAnsi"/>
          <w:b/>
          <w:sz w:val="22"/>
          <w:szCs w:val="22"/>
        </w:rPr>
        <w:t xml:space="preserve"> and template</w:t>
      </w:r>
      <w:r w:rsidRPr="000956C5">
        <w:rPr>
          <w:rFonts w:asciiTheme="minorHAnsi" w:hAnsiTheme="minorHAnsi" w:cstheme="minorHAnsi"/>
          <w:b/>
          <w:sz w:val="22"/>
          <w:szCs w:val="22"/>
        </w:rPr>
        <w:t xml:space="preserve"> for the review of the </w:t>
      </w:r>
      <w:r w:rsidR="00F61250" w:rsidRPr="000956C5">
        <w:rPr>
          <w:rFonts w:asciiTheme="minorHAnsi" w:hAnsiTheme="minorHAnsi" w:cstheme="minorHAnsi"/>
          <w:b/>
          <w:sz w:val="22"/>
          <w:szCs w:val="22"/>
        </w:rPr>
        <w:t xml:space="preserve">draft </w:t>
      </w:r>
      <w:r w:rsidR="00750EDF" w:rsidRPr="000956C5">
        <w:rPr>
          <w:rFonts w:asciiTheme="minorHAnsi" w:hAnsiTheme="minorHAnsi" w:cstheme="minorHAnsi"/>
          <w:b/>
          <w:sz w:val="22"/>
          <w:szCs w:val="22"/>
        </w:rPr>
        <w:t>monitoring framework for the post-2020 global biodiversity framework</w:t>
      </w:r>
    </w:p>
    <w:p w14:paraId="0A37501D" w14:textId="77777777" w:rsidR="00AA726F" w:rsidRPr="000956C5" w:rsidRDefault="00AA726F" w:rsidP="00DB71FC">
      <w:pPr>
        <w:ind w:left="360"/>
        <w:jc w:val="both"/>
        <w:rPr>
          <w:rFonts w:asciiTheme="minorHAnsi" w:hAnsiTheme="minorHAnsi" w:cstheme="minorHAnsi"/>
          <w:sz w:val="22"/>
          <w:szCs w:val="22"/>
        </w:rPr>
      </w:pPr>
    </w:p>
    <w:p w14:paraId="2E0A6F91" w14:textId="77777777" w:rsidR="00AA726F" w:rsidRPr="000956C5" w:rsidRDefault="00AA726F" w:rsidP="00750EDF">
      <w:pPr>
        <w:pStyle w:val="Heading2"/>
        <w:numPr>
          <w:ilvl w:val="0"/>
          <w:numId w:val="3"/>
        </w:numPr>
        <w:jc w:val="center"/>
        <w:rPr>
          <w:rFonts w:asciiTheme="minorHAnsi" w:hAnsiTheme="minorHAnsi" w:cstheme="minorHAnsi"/>
          <w:sz w:val="22"/>
          <w:szCs w:val="22"/>
        </w:rPr>
      </w:pPr>
      <w:bookmarkStart w:id="1" w:name="_Hlk43493158"/>
      <w:r w:rsidRPr="000956C5">
        <w:rPr>
          <w:rFonts w:asciiTheme="minorHAnsi" w:hAnsiTheme="minorHAnsi" w:cstheme="minorHAnsi"/>
          <w:sz w:val="22"/>
          <w:szCs w:val="22"/>
        </w:rPr>
        <w:t>Background</w:t>
      </w:r>
    </w:p>
    <w:bookmarkEnd w:id="1"/>
    <w:p w14:paraId="5DAB6C7B" w14:textId="77777777" w:rsidR="00750EDF" w:rsidRPr="000956C5" w:rsidRDefault="00750EDF" w:rsidP="00750EDF">
      <w:pPr>
        <w:rPr>
          <w:rFonts w:asciiTheme="minorHAnsi" w:hAnsiTheme="minorHAnsi" w:cstheme="minorHAnsi"/>
        </w:rPr>
      </w:pPr>
    </w:p>
    <w:p w14:paraId="400C1E68" w14:textId="77777777" w:rsidR="00750EDF" w:rsidRPr="000956C5" w:rsidRDefault="00750EDF" w:rsidP="00750EDF">
      <w:pPr>
        <w:pStyle w:val="ListParagraph"/>
        <w:numPr>
          <w:ilvl w:val="0"/>
          <w:numId w:val="4"/>
        </w:numPr>
        <w:spacing w:after="160" w:line="259" w:lineRule="auto"/>
        <w:ind w:left="0" w:firstLine="0"/>
        <w:contextualSpacing/>
        <w:rPr>
          <w:rFonts w:asciiTheme="minorHAnsi" w:hAnsiTheme="minorHAnsi" w:cstheme="minorHAnsi"/>
          <w:sz w:val="22"/>
          <w:szCs w:val="22"/>
        </w:rPr>
      </w:pPr>
      <w:r w:rsidRPr="000956C5">
        <w:rPr>
          <w:rFonts w:asciiTheme="minorHAnsi" w:hAnsiTheme="minorHAnsi" w:cstheme="minorHAnsi"/>
          <w:sz w:val="22"/>
          <w:szCs w:val="22"/>
        </w:rPr>
        <w:t>The second meeting of the Open-ended Working Group</w:t>
      </w:r>
      <w:r w:rsidRPr="000956C5">
        <w:rPr>
          <w:rStyle w:val="FootnoteReference"/>
          <w:rFonts w:asciiTheme="minorHAnsi" w:hAnsiTheme="minorHAnsi" w:cstheme="minorHAnsi"/>
          <w:sz w:val="22"/>
          <w:szCs w:val="22"/>
        </w:rPr>
        <w:footnoteReference w:id="1"/>
      </w:r>
      <w:r w:rsidRPr="000956C5">
        <w:rPr>
          <w:rFonts w:asciiTheme="minorHAnsi" w:hAnsiTheme="minorHAnsi" w:cstheme="minorHAnsi"/>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55D12F37" w14:textId="77777777" w:rsidR="00750EDF" w:rsidRPr="000956C5" w:rsidRDefault="00750EDF" w:rsidP="00750EDF">
      <w:pPr>
        <w:pStyle w:val="ListParagraph"/>
        <w:numPr>
          <w:ilvl w:val="0"/>
          <w:numId w:val="4"/>
        </w:numPr>
        <w:spacing w:after="160" w:line="259" w:lineRule="auto"/>
        <w:ind w:left="0" w:firstLine="0"/>
        <w:contextualSpacing/>
        <w:rPr>
          <w:rFonts w:asciiTheme="minorHAnsi" w:hAnsiTheme="minorHAnsi" w:cstheme="minorHAnsi"/>
          <w:sz w:val="22"/>
          <w:szCs w:val="22"/>
        </w:rPr>
      </w:pPr>
      <w:r w:rsidRPr="000956C5">
        <w:rPr>
          <w:rFonts w:asciiTheme="minorHAnsi" w:hAnsiTheme="minorHAnsi" w:cstheme="minorHAnsi"/>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Columns A, B of the tables provide draft monitoring elements and indicators to be used at the global level to monitor progress in the implementation of the post-2020 global biodiversity framework. Further column C provides information on the baseline year for the indicator and on the frequency that the indicator is updated where known. Review comments are being sought on columns A, B and C only. </w:t>
      </w:r>
    </w:p>
    <w:p w14:paraId="2A128534" w14:textId="77777777" w:rsidR="00A2000C" w:rsidRPr="000956C5" w:rsidRDefault="00AA726F" w:rsidP="00A2000C">
      <w:pPr>
        <w:pStyle w:val="Heading2"/>
        <w:jc w:val="center"/>
        <w:rPr>
          <w:rFonts w:asciiTheme="minorHAnsi" w:hAnsiTheme="minorHAnsi" w:cstheme="minorHAnsi"/>
        </w:rPr>
      </w:pPr>
      <w:r w:rsidRPr="000956C5">
        <w:rPr>
          <w:rFonts w:asciiTheme="minorHAnsi" w:hAnsiTheme="minorHAnsi" w:cstheme="minorHAnsi"/>
          <w:sz w:val="22"/>
          <w:szCs w:val="22"/>
        </w:rPr>
        <w:t>II. Submitting Comments</w:t>
      </w:r>
    </w:p>
    <w:p w14:paraId="02EB378F" w14:textId="77777777" w:rsidR="00A2000C" w:rsidRPr="000956C5" w:rsidRDefault="00A2000C" w:rsidP="00CB6CB9">
      <w:pPr>
        <w:tabs>
          <w:tab w:val="left" w:pos="720"/>
        </w:tabs>
        <w:ind w:left="360"/>
        <w:jc w:val="both"/>
        <w:rPr>
          <w:rFonts w:asciiTheme="minorHAnsi" w:hAnsiTheme="minorHAnsi" w:cstheme="minorHAnsi"/>
          <w:sz w:val="22"/>
          <w:szCs w:val="22"/>
        </w:rPr>
      </w:pPr>
    </w:p>
    <w:p w14:paraId="752F7A42" w14:textId="77777777" w:rsidR="00AA726F" w:rsidRPr="000956C5" w:rsidRDefault="00AA726F" w:rsidP="00DB71FC">
      <w:pPr>
        <w:numPr>
          <w:ilvl w:val="0"/>
          <w:numId w:val="2"/>
        </w:numPr>
        <w:tabs>
          <w:tab w:val="left" w:pos="720"/>
        </w:tabs>
        <w:ind w:left="360" w:firstLine="0"/>
        <w:jc w:val="both"/>
        <w:rPr>
          <w:rFonts w:asciiTheme="minorHAnsi" w:hAnsiTheme="minorHAnsi" w:cstheme="minorHAnsi"/>
          <w:sz w:val="22"/>
          <w:szCs w:val="22"/>
        </w:rPr>
      </w:pPr>
      <w:bookmarkStart w:id="2" w:name="_Hlk24923981"/>
      <w:r w:rsidRPr="000956C5">
        <w:rPr>
          <w:rFonts w:asciiTheme="minorHAnsi" w:hAnsiTheme="minorHAnsi" w:cstheme="minorHAnsi"/>
          <w:sz w:val="22"/>
          <w:szCs w:val="22"/>
        </w:rPr>
        <w:t xml:space="preserve">To ensure that your comments are given due consideration, please send them by e-mail to </w:t>
      </w:r>
      <w:hyperlink r:id="rId10" w:history="1">
        <w:r w:rsidRPr="000956C5">
          <w:rPr>
            <w:rStyle w:val="Hyperlink"/>
            <w:rFonts w:asciiTheme="minorHAnsi" w:hAnsiTheme="minorHAnsi" w:cstheme="minorHAnsi"/>
            <w:sz w:val="22"/>
            <w:szCs w:val="22"/>
          </w:rPr>
          <w:t>secretariat@cbd.int</w:t>
        </w:r>
      </w:hyperlink>
      <w:r w:rsidRPr="000956C5">
        <w:rPr>
          <w:rFonts w:asciiTheme="minorHAnsi" w:hAnsiTheme="minorHAnsi" w:cstheme="minorHAnsi"/>
          <w:sz w:val="22"/>
          <w:szCs w:val="22"/>
        </w:rPr>
        <w:t xml:space="preserve">, at your earliest convenience but </w:t>
      </w:r>
      <w:r w:rsidRPr="000956C5">
        <w:rPr>
          <w:rFonts w:asciiTheme="minorHAnsi" w:hAnsiTheme="minorHAnsi" w:cstheme="minorHAnsi"/>
          <w:b/>
          <w:sz w:val="22"/>
          <w:szCs w:val="22"/>
        </w:rPr>
        <w:t xml:space="preserve">no later than </w:t>
      </w:r>
      <w:r w:rsidR="002337AC" w:rsidRPr="000956C5">
        <w:rPr>
          <w:rFonts w:asciiTheme="minorHAnsi" w:hAnsiTheme="minorHAnsi" w:cstheme="minorHAnsi"/>
          <w:b/>
          <w:sz w:val="22"/>
          <w:szCs w:val="22"/>
        </w:rPr>
        <w:t>25 July 2020</w:t>
      </w:r>
    </w:p>
    <w:bookmarkEnd w:id="2"/>
    <w:p w14:paraId="6A05A809" w14:textId="77777777" w:rsidR="00AA726F" w:rsidRPr="000956C5" w:rsidRDefault="00AA726F" w:rsidP="00DD3897">
      <w:pPr>
        <w:tabs>
          <w:tab w:val="left" w:pos="720"/>
        </w:tabs>
        <w:ind w:left="360"/>
        <w:jc w:val="both"/>
        <w:rPr>
          <w:rFonts w:asciiTheme="minorHAnsi" w:hAnsiTheme="minorHAnsi" w:cstheme="minorHAnsi"/>
          <w:sz w:val="22"/>
          <w:szCs w:val="22"/>
        </w:rPr>
      </w:pPr>
    </w:p>
    <w:p w14:paraId="465567FB" w14:textId="77777777" w:rsidR="00AA726F" w:rsidRPr="000956C5" w:rsidRDefault="00AA726F" w:rsidP="00DB71FC">
      <w:pPr>
        <w:numPr>
          <w:ilvl w:val="0"/>
          <w:numId w:val="2"/>
        </w:numPr>
        <w:tabs>
          <w:tab w:val="left" w:pos="720"/>
        </w:tabs>
        <w:ind w:left="360" w:firstLine="0"/>
        <w:jc w:val="both"/>
        <w:rPr>
          <w:rFonts w:asciiTheme="minorHAnsi" w:hAnsiTheme="minorHAnsi" w:cstheme="minorHAnsi"/>
          <w:sz w:val="22"/>
          <w:szCs w:val="22"/>
        </w:rPr>
      </w:pPr>
      <w:r w:rsidRPr="000956C5">
        <w:rPr>
          <w:rFonts w:asciiTheme="minorHAnsi" w:hAnsiTheme="minorHAnsi" w:cstheme="minorHAnsi"/>
          <w:sz w:val="22"/>
          <w:szCs w:val="22"/>
        </w:rPr>
        <w:t xml:space="preserve">  When submitting comments, please adhere to the following guidelines as much as possible:</w:t>
      </w:r>
    </w:p>
    <w:p w14:paraId="5A39BBE3" w14:textId="77777777" w:rsidR="00AA726F" w:rsidRPr="000956C5" w:rsidRDefault="00AA726F" w:rsidP="00DB71FC">
      <w:pPr>
        <w:ind w:left="1080"/>
        <w:jc w:val="both"/>
        <w:rPr>
          <w:rFonts w:asciiTheme="minorHAnsi" w:hAnsiTheme="minorHAnsi" w:cstheme="minorHAnsi"/>
          <w:sz w:val="22"/>
          <w:szCs w:val="22"/>
        </w:rPr>
      </w:pPr>
    </w:p>
    <w:p w14:paraId="16619233" w14:textId="77777777" w:rsidR="00AA726F" w:rsidRPr="000956C5" w:rsidRDefault="00AA726F" w:rsidP="00DB71FC">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 xml:space="preserve">Please provide all comments in writing and in an MS Word or similar document format using the table provided below. </w:t>
      </w:r>
    </w:p>
    <w:p w14:paraId="41C8F396" w14:textId="77777777" w:rsidR="00AA726F" w:rsidRPr="000956C5" w:rsidRDefault="00AA726F" w:rsidP="00DB71FC">
      <w:pPr>
        <w:ind w:left="1080"/>
        <w:jc w:val="both"/>
        <w:rPr>
          <w:rFonts w:asciiTheme="minorHAnsi" w:hAnsiTheme="minorHAnsi" w:cstheme="minorHAnsi"/>
          <w:sz w:val="22"/>
          <w:szCs w:val="22"/>
        </w:rPr>
      </w:pPr>
    </w:p>
    <w:p w14:paraId="56F2BF2B" w14:textId="77777777" w:rsidR="00AA726F" w:rsidRPr="000956C5" w:rsidRDefault="00AA726F" w:rsidP="00DB71FC">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 xml:space="preserve">Please provide full contact information for the individual/Government/organization submitting the comments. </w:t>
      </w:r>
    </w:p>
    <w:p w14:paraId="72A3D3EC" w14:textId="77777777" w:rsidR="00AA726F" w:rsidRPr="000956C5" w:rsidRDefault="00AA726F" w:rsidP="00DB71FC">
      <w:pPr>
        <w:jc w:val="both"/>
        <w:rPr>
          <w:rFonts w:asciiTheme="minorHAnsi" w:hAnsiTheme="minorHAnsi" w:cstheme="minorHAnsi"/>
          <w:sz w:val="22"/>
          <w:szCs w:val="22"/>
        </w:rPr>
      </w:pPr>
    </w:p>
    <w:p w14:paraId="61A128D2" w14:textId="77777777" w:rsidR="00AA726F" w:rsidRPr="000956C5" w:rsidRDefault="00AA726F" w:rsidP="00DB71FC">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 xml:space="preserve">Please avoid commenting on issues related to grammar, spelling, or punctuation, unless it affects the overall meaning of the text, as the document will be edited as the final draft is prepared. </w:t>
      </w:r>
    </w:p>
    <w:p w14:paraId="0D0B940D" w14:textId="77777777" w:rsidR="00AA726F" w:rsidRPr="000956C5" w:rsidRDefault="00AA726F" w:rsidP="00DB71FC">
      <w:pPr>
        <w:jc w:val="both"/>
        <w:rPr>
          <w:rFonts w:asciiTheme="minorHAnsi" w:hAnsiTheme="minorHAnsi" w:cstheme="minorHAnsi"/>
          <w:sz w:val="22"/>
          <w:szCs w:val="22"/>
        </w:rPr>
      </w:pPr>
    </w:p>
    <w:p w14:paraId="77D03058" w14:textId="77777777" w:rsidR="00AA726F" w:rsidRPr="000956C5" w:rsidRDefault="00AA726F" w:rsidP="00DB71FC">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0E27B00A" w14:textId="77777777" w:rsidR="00AA726F" w:rsidRPr="000956C5" w:rsidRDefault="00AA726F" w:rsidP="00DB71FC">
      <w:pPr>
        <w:jc w:val="both"/>
        <w:rPr>
          <w:rFonts w:asciiTheme="minorHAnsi" w:hAnsiTheme="minorHAnsi" w:cstheme="minorHAnsi"/>
          <w:sz w:val="22"/>
          <w:szCs w:val="22"/>
        </w:rPr>
      </w:pPr>
    </w:p>
    <w:p w14:paraId="100E1BD2" w14:textId="77777777" w:rsidR="00AA726F" w:rsidRPr="000956C5" w:rsidRDefault="00AA726F" w:rsidP="00DB71FC">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 xml:space="preserve">If you refer to additional sources of information, please include these with your comments when possible or provide a complete reference or hyperlink.  </w:t>
      </w:r>
    </w:p>
    <w:p w14:paraId="60061E4C" w14:textId="77777777" w:rsidR="00AA726F" w:rsidRPr="000956C5" w:rsidRDefault="00AA726F" w:rsidP="00DB71FC">
      <w:pPr>
        <w:jc w:val="both"/>
        <w:rPr>
          <w:rFonts w:asciiTheme="minorHAnsi" w:hAnsiTheme="minorHAnsi" w:cstheme="minorHAnsi"/>
          <w:sz w:val="22"/>
          <w:szCs w:val="22"/>
        </w:rPr>
      </w:pPr>
    </w:p>
    <w:p w14:paraId="61221E82" w14:textId="77777777" w:rsidR="00750EDF" w:rsidRPr="000956C5" w:rsidRDefault="00750EDF" w:rsidP="00750EDF">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 xml:space="preserve">Please focus your comments on columns A (monitoring elements), B (indicators) and C (Indicator baseline year and frequency of updates) of the tables 1 and 2. </w:t>
      </w:r>
    </w:p>
    <w:p w14:paraId="44EAFD9C" w14:textId="77777777" w:rsidR="00750EDF" w:rsidRPr="000956C5" w:rsidRDefault="00750EDF" w:rsidP="00750EDF">
      <w:pPr>
        <w:pStyle w:val="ListParagraph"/>
        <w:rPr>
          <w:rFonts w:asciiTheme="minorHAnsi" w:hAnsiTheme="minorHAnsi" w:cstheme="minorHAnsi"/>
          <w:sz w:val="22"/>
          <w:szCs w:val="22"/>
        </w:rPr>
      </w:pPr>
    </w:p>
    <w:p w14:paraId="2877DBAC" w14:textId="77777777" w:rsidR="00AA726F" w:rsidRPr="000956C5" w:rsidRDefault="00AA726F" w:rsidP="00DB71FC">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 xml:space="preserve">If you </w:t>
      </w:r>
      <w:r w:rsidR="00750EDF" w:rsidRPr="000956C5">
        <w:rPr>
          <w:rFonts w:asciiTheme="minorHAnsi" w:hAnsiTheme="minorHAnsi" w:cstheme="minorHAnsi"/>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0956C5">
        <w:rPr>
          <w:rFonts w:asciiTheme="minorHAnsi" w:hAnsiTheme="minorHAnsi" w:cstheme="minorHAnsi"/>
          <w:sz w:val="22"/>
          <w:szCs w:val="22"/>
        </w:rPr>
        <w:t xml:space="preserve">. </w:t>
      </w:r>
    </w:p>
    <w:p w14:paraId="4B94D5A5" w14:textId="77777777" w:rsidR="00750EDF" w:rsidRPr="000956C5" w:rsidRDefault="00750EDF" w:rsidP="00750EDF">
      <w:pPr>
        <w:pStyle w:val="ListParagraph"/>
        <w:rPr>
          <w:rFonts w:asciiTheme="minorHAnsi" w:hAnsiTheme="minorHAnsi" w:cstheme="minorHAnsi"/>
          <w:sz w:val="22"/>
          <w:szCs w:val="22"/>
        </w:rPr>
      </w:pPr>
    </w:p>
    <w:p w14:paraId="2D74868A" w14:textId="77777777" w:rsidR="00750EDF" w:rsidRPr="000956C5" w:rsidRDefault="00750EDF" w:rsidP="00DB71FC">
      <w:pPr>
        <w:numPr>
          <w:ilvl w:val="1"/>
          <w:numId w:val="2"/>
        </w:numPr>
        <w:jc w:val="both"/>
        <w:rPr>
          <w:rFonts w:asciiTheme="minorHAnsi" w:hAnsiTheme="minorHAnsi" w:cstheme="minorHAnsi"/>
          <w:sz w:val="22"/>
          <w:szCs w:val="22"/>
        </w:rPr>
      </w:pPr>
      <w:r w:rsidRPr="000956C5">
        <w:rPr>
          <w:rFonts w:asciiTheme="minorHAnsi" w:hAnsiTheme="minorHAnsi" w:cstheme="minorHAnsi"/>
          <w:sz w:val="22"/>
          <w:szCs w:val="22"/>
        </w:rPr>
        <w:t>All review comments will be posted on the webpage</w:t>
      </w:r>
      <w:r w:rsidRPr="000956C5">
        <w:rPr>
          <w:rStyle w:val="FootnoteReference"/>
          <w:rFonts w:asciiTheme="minorHAnsi" w:hAnsiTheme="minorHAnsi" w:cstheme="minorHAnsi"/>
          <w:sz w:val="22"/>
          <w:szCs w:val="22"/>
        </w:rPr>
        <w:footnoteReference w:id="2"/>
      </w:r>
      <w:r w:rsidRPr="000956C5">
        <w:rPr>
          <w:rFonts w:asciiTheme="minorHAnsi" w:hAnsiTheme="minorHAnsi" w:cstheme="minorHAnsi"/>
          <w:sz w:val="22"/>
          <w:szCs w:val="22"/>
        </w:rPr>
        <w:t xml:space="preserve"> for the post-2020 global biodiversity framework in the interests of transparency</w:t>
      </w:r>
    </w:p>
    <w:p w14:paraId="3DEEC669" w14:textId="77777777" w:rsidR="00AA726F" w:rsidRPr="000956C5" w:rsidRDefault="00AA726F" w:rsidP="00DB71FC">
      <w:pPr>
        <w:ind w:left="360"/>
        <w:jc w:val="both"/>
        <w:rPr>
          <w:rFonts w:asciiTheme="minorHAnsi" w:hAnsiTheme="minorHAnsi" w:cstheme="minorHAnsi"/>
          <w:sz w:val="22"/>
          <w:szCs w:val="22"/>
        </w:rPr>
      </w:pPr>
    </w:p>
    <w:p w14:paraId="04F2BFB0" w14:textId="77777777" w:rsidR="00AA726F" w:rsidRPr="000956C5" w:rsidRDefault="00AA726F" w:rsidP="00DB71FC">
      <w:pPr>
        <w:numPr>
          <w:ilvl w:val="0"/>
          <w:numId w:val="2"/>
        </w:numPr>
        <w:ind w:left="360" w:firstLine="0"/>
        <w:jc w:val="both"/>
        <w:rPr>
          <w:rFonts w:asciiTheme="minorHAnsi" w:hAnsiTheme="minorHAnsi" w:cstheme="minorHAnsi"/>
          <w:sz w:val="22"/>
          <w:szCs w:val="22"/>
        </w:rPr>
      </w:pPr>
      <w:r w:rsidRPr="000956C5">
        <w:rPr>
          <w:rFonts w:asciiTheme="minorHAnsi" w:hAnsiTheme="minorHAnsi" w:cstheme="minorHAnsi"/>
          <w:sz w:val="22"/>
          <w:szCs w:val="22"/>
        </w:rPr>
        <w:t xml:space="preserve">Should you have any questions regarding the review process, please contact </w:t>
      </w:r>
      <w:hyperlink r:id="rId11" w:history="1">
        <w:r w:rsidR="00642AC0" w:rsidRPr="000956C5">
          <w:rPr>
            <w:rStyle w:val="Hyperlink"/>
            <w:rFonts w:asciiTheme="minorHAnsi" w:hAnsiTheme="minorHAnsi" w:cstheme="minorHAnsi"/>
          </w:rPr>
          <w:t>secretariat@cbd.int</w:t>
        </w:r>
      </w:hyperlink>
      <w:r w:rsidR="00642AC0" w:rsidRPr="000956C5">
        <w:rPr>
          <w:rFonts w:asciiTheme="minorHAnsi" w:hAnsiTheme="minorHAnsi" w:cstheme="minorHAnsi"/>
        </w:rPr>
        <w:t xml:space="preserve">. </w:t>
      </w:r>
      <w:r w:rsidRPr="000956C5">
        <w:rPr>
          <w:rFonts w:asciiTheme="minorHAnsi" w:hAnsiTheme="minorHAnsi" w:cstheme="minorHAnsi"/>
          <w:sz w:val="22"/>
          <w:szCs w:val="22"/>
        </w:rPr>
        <w:t xml:space="preserve"> </w:t>
      </w:r>
    </w:p>
    <w:p w14:paraId="3656B9AB" w14:textId="77777777" w:rsidR="00AA726F" w:rsidRPr="000956C5" w:rsidRDefault="00AA726F" w:rsidP="00DB71FC">
      <w:pPr>
        <w:pStyle w:val="Default"/>
        <w:ind w:left="360"/>
        <w:jc w:val="center"/>
        <w:rPr>
          <w:rFonts w:asciiTheme="minorHAnsi" w:hAnsiTheme="minorHAnsi" w:cstheme="minorHAnsi"/>
          <w:b/>
          <w:i/>
          <w:sz w:val="22"/>
          <w:szCs w:val="22"/>
          <w:u w:val="single"/>
        </w:rPr>
      </w:pPr>
    </w:p>
    <w:p w14:paraId="45FB0818" w14:textId="77777777" w:rsidR="00A2000C" w:rsidRPr="000956C5" w:rsidRDefault="00A2000C" w:rsidP="00A2000C">
      <w:pPr>
        <w:pStyle w:val="Default"/>
        <w:ind w:left="360"/>
        <w:jc w:val="center"/>
        <w:rPr>
          <w:rFonts w:asciiTheme="minorHAnsi" w:hAnsiTheme="minorHAnsi" w:cstheme="minorHAnsi"/>
          <w:b/>
          <w:i/>
          <w:sz w:val="22"/>
          <w:szCs w:val="22"/>
          <w:u w:val="single"/>
        </w:rPr>
      </w:pPr>
    </w:p>
    <w:p w14:paraId="6D2115CE" w14:textId="77777777" w:rsidR="00AA726F" w:rsidRPr="000956C5" w:rsidRDefault="00AA726F" w:rsidP="00A2000C">
      <w:pPr>
        <w:pStyle w:val="Default"/>
        <w:ind w:left="360"/>
        <w:jc w:val="center"/>
        <w:rPr>
          <w:rFonts w:asciiTheme="minorHAnsi" w:hAnsiTheme="minorHAnsi" w:cstheme="minorHAnsi"/>
          <w:b/>
          <w:sz w:val="22"/>
          <w:szCs w:val="22"/>
          <w:u w:val="single"/>
        </w:rPr>
      </w:pPr>
      <w:r w:rsidRPr="000956C5">
        <w:rPr>
          <w:rFonts w:asciiTheme="minorHAnsi" w:hAnsiTheme="minorHAnsi" w:cstheme="minorHAnsi"/>
          <w:b/>
          <w:i/>
          <w:sz w:val="22"/>
          <w:szCs w:val="22"/>
          <w:u w:val="single"/>
        </w:rPr>
        <w:t>III. Template for Comments</w:t>
      </w:r>
    </w:p>
    <w:p w14:paraId="049F31CB" w14:textId="77777777" w:rsidR="00A2000C" w:rsidRPr="000956C5" w:rsidRDefault="00A2000C" w:rsidP="00A2000C">
      <w:pPr>
        <w:pStyle w:val="Default"/>
        <w:ind w:left="360"/>
        <w:jc w:val="both"/>
        <w:rPr>
          <w:rFonts w:asciiTheme="minorHAnsi" w:hAnsiTheme="minorHAnsi" w:cstheme="minorHAnsi"/>
          <w:sz w:val="22"/>
          <w:szCs w:val="22"/>
        </w:rPr>
      </w:pPr>
    </w:p>
    <w:p w14:paraId="66C85545" w14:textId="77777777" w:rsidR="00AA726F" w:rsidRPr="000956C5" w:rsidRDefault="00AA726F" w:rsidP="00DB71FC">
      <w:pPr>
        <w:pStyle w:val="Default"/>
        <w:numPr>
          <w:ilvl w:val="0"/>
          <w:numId w:val="2"/>
        </w:numPr>
        <w:ind w:left="360" w:firstLine="0"/>
        <w:jc w:val="both"/>
        <w:rPr>
          <w:rFonts w:asciiTheme="minorHAnsi" w:hAnsiTheme="minorHAnsi" w:cstheme="minorHAnsi"/>
          <w:sz w:val="22"/>
          <w:szCs w:val="22"/>
        </w:rPr>
      </w:pPr>
      <w:r w:rsidRPr="000956C5">
        <w:rPr>
          <w:rFonts w:asciiTheme="minorHAnsi" w:hAnsiTheme="minorHAnsi" w:cstheme="minorHAnsi"/>
          <w:sz w:val="22"/>
          <w:szCs w:val="22"/>
        </w:rPr>
        <w:t xml:space="preserve">Please use the </w:t>
      </w:r>
      <w:r w:rsidR="00EC787C" w:rsidRPr="000956C5">
        <w:rPr>
          <w:rFonts w:asciiTheme="minorHAnsi" w:hAnsiTheme="minorHAnsi" w:cstheme="minorHAnsi"/>
          <w:sz w:val="22"/>
          <w:szCs w:val="22"/>
        </w:rPr>
        <w:t xml:space="preserve">review </w:t>
      </w:r>
      <w:r w:rsidRPr="000956C5">
        <w:rPr>
          <w:rFonts w:asciiTheme="minorHAnsi" w:hAnsiTheme="minorHAnsi" w:cstheme="minorHAnsi"/>
          <w:sz w:val="22"/>
          <w:szCs w:val="22"/>
        </w:rPr>
        <w:t>template</w:t>
      </w:r>
      <w:r w:rsidR="00EC787C" w:rsidRPr="000956C5">
        <w:rPr>
          <w:rFonts w:asciiTheme="minorHAnsi" w:hAnsiTheme="minorHAnsi" w:cstheme="minorHAnsi"/>
          <w:sz w:val="22"/>
          <w:szCs w:val="22"/>
        </w:rPr>
        <w:t xml:space="preserve"> below</w:t>
      </w:r>
      <w:r w:rsidRPr="000956C5">
        <w:rPr>
          <w:rFonts w:asciiTheme="minorHAnsi" w:hAnsiTheme="minorHAnsi" w:cstheme="minorHAnsi"/>
          <w:sz w:val="22"/>
          <w:szCs w:val="22"/>
        </w:rPr>
        <w:t xml:space="preserve"> when providing comments.</w:t>
      </w:r>
      <w:r w:rsidR="00EC787C" w:rsidRPr="000956C5">
        <w:rPr>
          <w:rFonts w:asciiTheme="minorHAnsi" w:hAnsiTheme="minorHAnsi" w:cstheme="minorHAnsi"/>
          <w:sz w:val="22"/>
          <w:szCs w:val="22"/>
        </w:rPr>
        <w:t xml:space="preserve"> </w:t>
      </w:r>
    </w:p>
    <w:p w14:paraId="53128261" w14:textId="77777777" w:rsidR="00AA726F" w:rsidRPr="000956C5" w:rsidRDefault="00AA726F" w:rsidP="00DB71FC">
      <w:pPr>
        <w:jc w:val="both"/>
        <w:rPr>
          <w:rFonts w:asciiTheme="minorHAnsi" w:hAnsiTheme="minorHAnsi" w:cstheme="minorHAnsi"/>
          <w:sz w:val="22"/>
          <w:szCs w:val="22"/>
        </w:rPr>
      </w:pPr>
    </w:p>
    <w:p w14:paraId="4CEB783F" w14:textId="0C7337AA" w:rsidR="00AA726F" w:rsidRDefault="00AA726F" w:rsidP="00642AC0">
      <w:pPr>
        <w:pStyle w:val="Default"/>
        <w:numPr>
          <w:ilvl w:val="0"/>
          <w:numId w:val="2"/>
        </w:numPr>
        <w:ind w:left="360" w:firstLine="0"/>
        <w:jc w:val="both"/>
        <w:rPr>
          <w:rFonts w:asciiTheme="minorHAnsi" w:hAnsiTheme="minorHAnsi" w:cstheme="minorHAnsi"/>
          <w:sz w:val="22"/>
          <w:szCs w:val="22"/>
        </w:rPr>
      </w:pPr>
      <w:r w:rsidRPr="000956C5">
        <w:rPr>
          <w:rFonts w:asciiTheme="minorHAnsi" w:hAnsiTheme="minorHAnsi" w:cstheme="minorHAnsi"/>
          <w:sz w:val="22"/>
          <w:szCs w:val="22"/>
        </w:rPr>
        <w:t xml:space="preserve">The </w:t>
      </w:r>
      <w:r w:rsidR="00EC787C" w:rsidRPr="000956C5">
        <w:rPr>
          <w:rFonts w:asciiTheme="minorHAnsi" w:hAnsiTheme="minorHAnsi" w:cstheme="minorHAnsi"/>
          <w:sz w:val="22"/>
          <w:szCs w:val="22"/>
        </w:rPr>
        <w:t xml:space="preserve">complete draft of </w:t>
      </w:r>
      <w:r w:rsidR="00750EDF" w:rsidRPr="000956C5">
        <w:rPr>
          <w:rFonts w:asciiTheme="minorHAnsi" w:hAnsiTheme="minorHAnsi" w:cstheme="minorHAnsi"/>
          <w:sz w:val="22"/>
          <w:szCs w:val="22"/>
        </w:rPr>
        <w:t>the monitoring framework</w:t>
      </w:r>
      <w:r w:rsidR="00642AC0" w:rsidRPr="000956C5">
        <w:rPr>
          <w:rFonts w:asciiTheme="minorHAnsi" w:hAnsiTheme="minorHAnsi" w:cstheme="minorHAnsi"/>
          <w:sz w:val="22"/>
          <w:szCs w:val="22"/>
        </w:rPr>
        <w:t xml:space="preserve"> has</w:t>
      </w:r>
      <w:r w:rsidRPr="000956C5">
        <w:rPr>
          <w:rFonts w:asciiTheme="minorHAnsi" w:hAnsiTheme="minorHAnsi" w:cstheme="minorHAnsi"/>
          <w:sz w:val="22"/>
          <w:szCs w:val="22"/>
        </w:rPr>
        <w:t xml:space="preserve"> been released in a portable document format (PDF). </w:t>
      </w:r>
      <w:r w:rsidR="00750EDF" w:rsidRPr="000956C5">
        <w:rPr>
          <w:rFonts w:asciiTheme="minorHAnsi" w:hAnsiTheme="minorHAnsi" w:cstheme="minorHAnsi"/>
          <w:sz w:val="22"/>
          <w:szCs w:val="22"/>
        </w:rPr>
        <w:t>For tables 1, 2 and 3 column letters and row numbers have been provided as well as page numbers. P</w:t>
      </w:r>
      <w:r w:rsidRPr="000956C5">
        <w:rPr>
          <w:rFonts w:asciiTheme="minorHAnsi" w:hAnsiTheme="minorHAnsi" w:cstheme="minorHAnsi"/>
          <w:sz w:val="22"/>
          <w:szCs w:val="22"/>
        </w:rPr>
        <w:t>lease use these as a reference as i</w:t>
      </w:r>
      <w:r w:rsidR="00EC787C" w:rsidRPr="000956C5">
        <w:rPr>
          <w:rFonts w:asciiTheme="minorHAnsi" w:hAnsiTheme="minorHAnsi" w:cstheme="minorHAnsi"/>
          <w:sz w:val="22"/>
          <w:szCs w:val="22"/>
        </w:rPr>
        <w:t xml:space="preserve">llustrated in the table below. </w:t>
      </w:r>
      <w:r w:rsidRPr="000956C5">
        <w:rPr>
          <w:rFonts w:asciiTheme="minorHAnsi" w:hAnsiTheme="minorHAnsi" w:cstheme="minorHAnsi"/>
          <w:sz w:val="22"/>
          <w:szCs w:val="22"/>
        </w:rPr>
        <w:t>General comments can be included in the table by referring to Page 0 and Line 0.</w:t>
      </w:r>
    </w:p>
    <w:p w14:paraId="029C29AA" w14:textId="77777777" w:rsidR="0083218B" w:rsidRDefault="0083218B" w:rsidP="00F87C4F">
      <w:pPr>
        <w:pStyle w:val="ListParagraph"/>
        <w:rPr>
          <w:rFonts w:asciiTheme="minorHAnsi" w:hAnsiTheme="minorHAnsi" w:cstheme="minorHAnsi"/>
          <w:sz w:val="22"/>
          <w:szCs w:val="22"/>
        </w:rPr>
      </w:pPr>
    </w:p>
    <w:p w14:paraId="62486C05" w14:textId="77777777" w:rsidR="00EC787C" w:rsidRPr="000956C5" w:rsidRDefault="00EC787C" w:rsidP="00EC787C">
      <w:pPr>
        <w:pStyle w:val="ListParagraph"/>
        <w:rPr>
          <w:rFonts w:asciiTheme="minorHAnsi" w:hAnsiTheme="minorHAnsi" w:cstheme="minorHAnsi"/>
          <w:sz w:val="22"/>
          <w:szCs w:val="22"/>
        </w:rPr>
      </w:pPr>
    </w:p>
    <w:p w14:paraId="2E19AE4C" w14:textId="77777777" w:rsidR="00624FAA" w:rsidRPr="000956C5" w:rsidRDefault="00624FAA" w:rsidP="005D2E65">
      <w:pPr>
        <w:pStyle w:val="Default"/>
        <w:jc w:val="center"/>
        <w:rPr>
          <w:rFonts w:asciiTheme="minorHAnsi" w:hAnsiTheme="minorHAnsi" w:cstheme="minorHAnsi"/>
          <w:b/>
          <w:sz w:val="22"/>
          <w:szCs w:val="22"/>
          <w:u w:val="single"/>
        </w:rPr>
      </w:pPr>
      <w:r w:rsidRPr="000956C5">
        <w:rPr>
          <w:rFonts w:asciiTheme="minorHAnsi" w:hAnsiTheme="minorHAnsi" w:cstheme="minorHAnsi"/>
          <w:b/>
          <w:sz w:val="22"/>
          <w:szCs w:val="22"/>
          <w:u w:val="single"/>
        </w:rPr>
        <w:t>TEMPLATE FOR COMMENTS</w:t>
      </w:r>
    </w:p>
    <w:p w14:paraId="4101652C" w14:textId="77777777" w:rsidR="00624FAA" w:rsidRPr="000956C5" w:rsidRDefault="00624FAA" w:rsidP="00DB71FC">
      <w:pPr>
        <w:pStyle w:val="Default"/>
        <w:jc w:val="center"/>
        <w:rPr>
          <w:rFonts w:asciiTheme="minorHAnsi" w:hAnsiTheme="minorHAnsi" w:cstheme="minorHAnsi"/>
          <w:b/>
          <w:sz w:val="22"/>
          <w:szCs w:val="22"/>
          <w:u w:val="single"/>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668"/>
        <w:gridCol w:w="968"/>
        <w:gridCol w:w="959"/>
        <w:gridCol w:w="39"/>
        <w:gridCol w:w="6961"/>
      </w:tblGrid>
      <w:tr w:rsidR="005D2E65" w:rsidRPr="000956C5" w14:paraId="6941DE5B" w14:textId="77777777" w:rsidTr="00F87C4F">
        <w:trPr>
          <w:trHeight w:val="242"/>
        </w:trPr>
        <w:tc>
          <w:tcPr>
            <w:tcW w:w="10345" w:type="dxa"/>
            <w:gridSpan w:val="6"/>
          </w:tcPr>
          <w:p w14:paraId="2EB00C77" w14:textId="77777777" w:rsidR="005D2E65" w:rsidRPr="000956C5" w:rsidRDefault="005F748E" w:rsidP="00642AC0">
            <w:pPr>
              <w:jc w:val="center"/>
              <w:rPr>
                <w:rFonts w:asciiTheme="minorHAnsi" w:hAnsiTheme="minorHAnsi" w:cstheme="minorHAnsi"/>
                <w:b/>
              </w:rPr>
            </w:pPr>
            <w:r w:rsidRPr="000956C5">
              <w:rPr>
                <w:rFonts w:asciiTheme="minorHAnsi" w:hAnsiTheme="minorHAnsi" w:cstheme="minorHAnsi"/>
                <w:b/>
              </w:rPr>
              <w:t xml:space="preserve">FAO </w:t>
            </w:r>
            <w:r w:rsidR="005D2E65" w:rsidRPr="000956C5">
              <w:rPr>
                <w:rFonts w:asciiTheme="minorHAnsi" w:hAnsiTheme="minorHAnsi" w:cstheme="minorHAnsi"/>
                <w:b/>
              </w:rPr>
              <w:t>Review comments on the draft monitoring framework for the post-2020 global biodiversity framework</w:t>
            </w:r>
          </w:p>
        </w:tc>
      </w:tr>
      <w:tr w:rsidR="005D2E65" w:rsidRPr="000956C5" w14:paraId="17CEACD9" w14:textId="77777777" w:rsidTr="00F87C4F">
        <w:trPr>
          <w:trHeight w:val="233"/>
        </w:trPr>
        <w:tc>
          <w:tcPr>
            <w:tcW w:w="10345" w:type="dxa"/>
            <w:gridSpan w:val="6"/>
            <w:shd w:val="clear" w:color="auto" w:fill="C0C0C0"/>
          </w:tcPr>
          <w:p w14:paraId="08A63FE4" w14:textId="77777777" w:rsidR="005D2E65" w:rsidRPr="000956C5" w:rsidRDefault="005D2E65" w:rsidP="00690111">
            <w:pPr>
              <w:jc w:val="center"/>
              <w:rPr>
                <w:rFonts w:asciiTheme="minorHAnsi" w:hAnsiTheme="minorHAnsi" w:cstheme="minorHAnsi"/>
                <w:i/>
              </w:rPr>
            </w:pPr>
            <w:r w:rsidRPr="000956C5">
              <w:rPr>
                <w:rFonts w:asciiTheme="minorHAnsi" w:hAnsiTheme="minorHAnsi" w:cstheme="minorHAnsi"/>
                <w:i/>
              </w:rPr>
              <w:t>Contact information</w:t>
            </w:r>
          </w:p>
        </w:tc>
      </w:tr>
      <w:tr w:rsidR="005D2E65" w:rsidRPr="000956C5" w14:paraId="611F9FC2" w14:textId="77777777" w:rsidTr="00F87C4F">
        <w:trPr>
          <w:trHeight w:val="270"/>
        </w:trPr>
        <w:tc>
          <w:tcPr>
            <w:tcW w:w="3345" w:type="dxa"/>
            <w:gridSpan w:val="4"/>
          </w:tcPr>
          <w:p w14:paraId="52EC665E" w14:textId="77777777" w:rsidR="005D2E65" w:rsidRPr="000956C5" w:rsidRDefault="005D2E65" w:rsidP="00690111">
            <w:pPr>
              <w:pStyle w:val="Form"/>
              <w:rPr>
                <w:rFonts w:asciiTheme="minorHAnsi" w:hAnsiTheme="minorHAnsi" w:cstheme="minorHAnsi"/>
                <w:b/>
                <w:sz w:val="22"/>
              </w:rPr>
            </w:pPr>
            <w:r w:rsidRPr="000956C5">
              <w:rPr>
                <w:rFonts w:asciiTheme="minorHAnsi" w:hAnsiTheme="minorHAnsi" w:cstheme="minorHAnsi"/>
                <w:b/>
                <w:sz w:val="22"/>
                <w:szCs w:val="22"/>
              </w:rPr>
              <w:t>Surname:</w:t>
            </w:r>
          </w:p>
        </w:tc>
        <w:tc>
          <w:tcPr>
            <w:tcW w:w="7000" w:type="dxa"/>
            <w:gridSpan w:val="2"/>
          </w:tcPr>
          <w:p w14:paraId="7188C277" w14:textId="5B822026" w:rsidR="005D2E65" w:rsidRPr="000956C5" w:rsidRDefault="005F748E" w:rsidP="00690111">
            <w:pPr>
              <w:rPr>
                <w:rFonts w:asciiTheme="minorHAnsi" w:hAnsiTheme="minorHAnsi" w:cstheme="minorHAnsi"/>
              </w:rPr>
            </w:pPr>
            <w:r w:rsidRPr="000956C5">
              <w:rPr>
                <w:rFonts w:asciiTheme="minorHAnsi" w:hAnsiTheme="minorHAnsi" w:cstheme="minorHAnsi"/>
              </w:rPr>
              <w:t>Hoffmann</w:t>
            </w:r>
            <w:r w:rsidR="0008695F" w:rsidRPr="000956C5">
              <w:rPr>
                <w:rFonts w:asciiTheme="minorHAnsi" w:hAnsiTheme="minorHAnsi" w:cstheme="minorHAnsi"/>
              </w:rPr>
              <w:t xml:space="preserve">, Wertz, </w:t>
            </w:r>
            <w:r w:rsidR="00306A75" w:rsidRPr="000956C5">
              <w:rPr>
                <w:rFonts w:asciiTheme="minorHAnsi" w:hAnsiTheme="minorHAnsi" w:cstheme="minorHAnsi"/>
              </w:rPr>
              <w:t xml:space="preserve">Friedman, </w:t>
            </w:r>
            <w:r w:rsidR="0008695F" w:rsidRPr="000956C5">
              <w:rPr>
                <w:rFonts w:asciiTheme="minorHAnsi" w:hAnsiTheme="minorHAnsi" w:cstheme="minorHAnsi"/>
              </w:rPr>
              <w:t xml:space="preserve">Baumung, Diulgheroff, </w:t>
            </w:r>
            <w:r w:rsidR="00306A75" w:rsidRPr="000956C5">
              <w:rPr>
                <w:rFonts w:asciiTheme="minorHAnsi" w:hAnsiTheme="minorHAnsi" w:cstheme="minorHAnsi"/>
              </w:rPr>
              <w:t xml:space="preserve">Gill, </w:t>
            </w:r>
            <w:r w:rsidR="00BE62B3" w:rsidRPr="000956C5">
              <w:rPr>
                <w:rFonts w:asciiTheme="minorHAnsi" w:hAnsiTheme="minorHAnsi" w:cstheme="minorHAnsi"/>
              </w:rPr>
              <w:t xml:space="preserve">Lidder, </w:t>
            </w:r>
            <w:r w:rsidR="00455B4F">
              <w:rPr>
                <w:rFonts w:asciiTheme="minorHAnsi" w:hAnsiTheme="minorHAnsi" w:cstheme="minorHAnsi"/>
              </w:rPr>
              <w:t xml:space="preserve">Ye, Camilleri, </w:t>
            </w:r>
          </w:p>
        </w:tc>
      </w:tr>
      <w:tr w:rsidR="005D2E65" w:rsidRPr="000956C5" w14:paraId="6442FA39" w14:textId="77777777" w:rsidTr="00F87C4F">
        <w:trPr>
          <w:trHeight w:val="270"/>
        </w:trPr>
        <w:tc>
          <w:tcPr>
            <w:tcW w:w="3345" w:type="dxa"/>
            <w:gridSpan w:val="4"/>
          </w:tcPr>
          <w:p w14:paraId="6660BD13" w14:textId="77777777" w:rsidR="005D2E65" w:rsidRPr="000956C5" w:rsidRDefault="005D2E65" w:rsidP="00690111">
            <w:pPr>
              <w:pStyle w:val="Form"/>
              <w:rPr>
                <w:rFonts w:asciiTheme="minorHAnsi" w:hAnsiTheme="minorHAnsi" w:cstheme="minorHAnsi"/>
                <w:b/>
                <w:sz w:val="22"/>
              </w:rPr>
            </w:pPr>
            <w:r w:rsidRPr="000956C5">
              <w:rPr>
                <w:rFonts w:asciiTheme="minorHAnsi" w:hAnsiTheme="minorHAnsi" w:cstheme="minorHAnsi"/>
                <w:b/>
                <w:sz w:val="22"/>
                <w:szCs w:val="22"/>
              </w:rPr>
              <w:t>Given Name:</w:t>
            </w:r>
          </w:p>
        </w:tc>
        <w:tc>
          <w:tcPr>
            <w:tcW w:w="7000" w:type="dxa"/>
            <w:gridSpan w:val="2"/>
          </w:tcPr>
          <w:p w14:paraId="4B99056E" w14:textId="77777777" w:rsidR="005D2E65" w:rsidRPr="000956C5" w:rsidRDefault="005D2E65" w:rsidP="00690111">
            <w:pPr>
              <w:rPr>
                <w:rFonts w:asciiTheme="minorHAnsi" w:hAnsiTheme="minorHAnsi" w:cstheme="minorHAnsi"/>
              </w:rPr>
            </w:pPr>
          </w:p>
        </w:tc>
      </w:tr>
      <w:tr w:rsidR="005D2E65" w:rsidRPr="000956C5" w14:paraId="0BE05EC0" w14:textId="77777777" w:rsidTr="00F87C4F">
        <w:trPr>
          <w:trHeight w:val="280"/>
        </w:trPr>
        <w:tc>
          <w:tcPr>
            <w:tcW w:w="3345" w:type="dxa"/>
            <w:gridSpan w:val="4"/>
          </w:tcPr>
          <w:p w14:paraId="0845B43A" w14:textId="77777777" w:rsidR="005D2E65" w:rsidRPr="000956C5" w:rsidRDefault="005D2E65" w:rsidP="00690111">
            <w:pPr>
              <w:pStyle w:val="Form"/>
              <w:rPr>
                <w:rFonts w:asciiTheme="minorHAnsi" w:hAnsiTheme="minorHAnsi" w:cstheme="minorHAnsi"/>
                <w:b/>
                <w:sz w:val="22"/>
              </w:rPr>
            </w:pPr>
            <w:r w:rsidRPr="000956C5">
              <w:rPr>
                <w:rFonts w:asciiTheme="minorHAnsi" w:hAnsiTheme="minorHAnsi" w:cstheme="minorHAnsi"/>
                <w:b/>
                <w:sz w:val="22"/>
                <w:szCs w:val="22"/>
              </w:rPr>
              <w:t xml:space="preserve">Government </w:t>
            </w:r>
            <w:r w:rsidRPr="000956C5">
              <w:rPr>
                <w:rFonts w:asciiTheme="minorHAnsi" w:hAnsiTheme="minorHAnsi" w:cstheme="minorHAnsi"/>
                <w:sz w:val="22"/>
                <w:szCs w:val="22"/>
              </w:rPr>
              <w:t>(if applicable)</w:t>
            </w:r>
            <w:r w:rsidRPr="000956C5">
              <w:rPr>
                <w:rFonts w:asciiTheme="minorHAnsi" w:hAnsiTheme="minorHAnsi" w:cstheme="minorHAnsi"/>
                <w:b/>
                <w:sz w:val="22"/>
                <w:szCs w:val="22"/>
              </w:rPr>
              <w:t xml:space="preserve">: </w:t>
            </w:r>
          </w:p>
        </w:tc>
        <w:tc>
          <w:tcPr>
            <w:tcW w:w="7000" w:type="dxa"/>
            <w:gridSpan w:val="2"/>
          </w:tcPr>
          <w:p w14:paraId="1299C43A" w14:textId="77777777" w:rsidR="005D2E65" w:rsidRPr="000956C5" w:rsidRDefault="005D2E65" w:rsidP="00690111">
            <w:pPr>
              <w:rPr>
                <w:rFonts w:asciiTheme="minorHAnsi" w:hAnsiTheme="minorHAnsi" w:cstheme="minorHAnsi"/>
              </w:rPr>
            </w:pPr>
          </w:p>
        </w:tc>
      </w:tr>
      <w:tr w:rsidR="005D2E65" w:rsidRPr="000956C5" w14:paraId="046331D0" w14:textId="77777777" w:rsidTr="00F87C4F">
        <w:trPr>
          <w:trHeight w:val="270"/>
        </w:trPr>
        <w:tc>
          <w:tcPr>
            <w:tcW w:w="3345" w:type="dxa"/>
            <w:gridSpan w:val="4"/>
          </w:tcPr>
          <w:p w14:paraId="66F7C730" w14:textId="77777777" w:rsidR="005D2E65" w:rsidRPr="000956C5" w:rsidRDefault="005D2E65" w:rsidP="00690111">
            <w:pPr>
              <w:pStyle w:val="Form"/>
              <w:rPr>
                <w:rFonts w:asciiTheme="minorHAnsi" w:hAnsiTheme="minorHAnsi" w:cstheme="minorHAnsi"/>
                <w:b/>
                <w:sz w:val="22"/>
              </w:rPr>
            </w:pPr>
            <w:r w:rsidRPr="000956C5">
              <w:rPr>
                <w:rFonts w:asciiTheme="minorHAnsi" w:hAnsiTheme="minorHAnsi" w:cstheme="minorHAnsi"/>
                <w:b/>
                <w:sz w:val="22"/>
                <w:szCs w:val="22"/>
              </w:rPr>
              <w:t>Organization:</w:t>
            </w:r>
          </w:p>
        </w:tc>
        <w:tc>
          <w:tcPr>
            <w:tcW w:w="7000" w:type="dxa"/>
            <w:gridSpan w:val="2"/>
          </w:tcPr>
          <w:p w14:paraId="4CE3193B" w14:textId="77777777" w:rsidR="005D2E65" w:rsidRPr="000956C5" w:rsidRDefault="005F748E" w:rsidP="00690111">
            <w:pPr>
              <w:rPr>
                <w:rFonts w:asciiTheme="minorHAnsi" w:hAnsiTheme="minorHAnsi" w:cstheme="minorHAnsi"/>
              </w:rPr>
            </w:pPr>
            <w:r w:rsidRPr="000956C5">
              <w:rPr>
                <w:rFonts w:asciiTheme="minorHAnsi" w:hAnsiTheme="minorHAnsi" w:cstheme="minorHAnsi"/>
              </w:rPr>
              <w:t>FAO</w:t>
            </w:r>
          </w:p>
        </w:tc>
      </w:tr>
      <w:tr w:rsidR="005D2E65" w:rsidRPr="000956C5" w14:paraId="23262DD9" w14:textId="77777777" w:rsidTr="00F87C4F">
        <w:trPr>
          <w:trHeight w:val="280"/>
        </w:trPr>
        <w:tc>
          <w:tcPr>
            <w:tcW w:w="3345" w:type="dxa"/>
            <w:gridSpan w:val="4"/>
          </w:tcPr>
          <w:p w14:paraId="6387A788" w14:textId="77777777" w:rsidR="005D2E65" w:rsidRPr="000956C5" w:rsidRDefault="005D2E65" w:rsidP="00690111">
            <w:pPr>
              <w:pStyle w:val="Form"/>
              <w:rPr>
                <w:rFonts w:asciiTheme="minorHAnsi" w:hAnsiTheme="minorHAnsi" w:cstheme="minorHAnsi"/>
                <w:b/>
                <w:sz w:val="22"/>
              </w:rPr>
            </w:pPr>
            <w:r w:rsidRPr="000956C5">
              <w:rPr>
                <w:rFonts w:asciiTheme="minorHAnsi" w:hAnsiTheme="minorHAnsi" w:cstheme="minorHAnsi"/>
                <w:b/>
                <w:sz w:val="22"/>
                <w:szCs w:val="22"/>
              </w:rPr>
              <w:t xml:space="preserve">Address:  </w:t>
            </w:r>
          </w:p>
        </w:tc>
        <w:tc>
          <w:tcPr>
            <w:tcW w:w="7000" w:type="dxa"/>
            <w:gridSpan w:val="2"/>
          </w:tcPr>
          <w:p w14:paraId="4DDBEF00" w14:textId="77777777" w:rsidR="005D2E65" w:rsidRPr="000956C5" w:rsidRDefault="005D2E65" w:rsidP="00690111">
            <w:pPr>
              <w:rPr>
                <w:rFonts w:asciiTheme="minorHAnsi" w:hAnsiTheme="minorHAnsi" w:cstheme="minorHAnsi"/>
              </w:rPr>
            </w:pPr>
          </w:p>
        </w:tc>
      </w:tr>
      <w:tr w:rsidR="005D2E65" w:rsidRPr="000956C5" w14:paraId="14E48EA1" w14:textId="77777777" w:rsidTr="00F87C4F">
        <w:trPr>
          <w:trHeight w:val="270"/>
        </w:trPr>
        <w:tc>
          <w:tcPr>
            <w:tcW w:w="3345" w:type="dxa"/>
            <w:gridSpan w:val="4"/>
          </w:tcPr>
          <w:p w14:paraId="7820E858" w14:textId="77777777" w:rsidR="005D2E65" w:rsidRPr="000956C5" w:rsidRDefault="005D2E65" w:rsidP="00690111">
            <w:pPr>
              <w:pStyle w:val="Form"/>
              <w:rPr>
                <w:rFonts w:asciiTheme="minorHAnsi" w:hAnsiTheme="minorHAnsi" w:cstheme="minorHAnsi"/>
                <w:b/>
                <w:sz w:val="22"/>
              </w:rPr>
            </w:pPr>
            <w:r w:rsidRPr="000956C5">
              <w:rPr>
                <w:rFonts w:asciiTheme="minorHAnsi" w:hAnsiTheme="minorHAnsi" w:cstheme="minorHAnsi"/>
                <w:b/>
                <w:sz w:val="22"/>
                <w:szCs w:val="22"/>
              </w:rPr>
              <w:t>City:</w:t>
            </w:r>
          </w:p>
        </w:tc>
        <w:tc>
          <w:tcPr>
            <w:tcW w:w="7000" w:type="dxa"/>
            <w:gridSpan w:val="2"/>
          </w:tcPr>
          <w:p w14:paraId="5FC38755" w14:textId="77777777" w:rsidR="005D2E65" w:rsidRPr="000956C5" w:rsidRDefault="005F748E" w:rsidP="00690111">
            <w:pPr>
              <w:rPr>
                <w:rFonts w:asciiTheme="minorHAnsi" w:hAnsiTheme="minorHAnsi" w:cstheme="minorHAnsi"/>
              </w:rPr>
            </w:pPr>
            <w:r w:rsidRPr="000956C5">
              <w:rPr>
                <w:rFonts w:asciiTheme="minorHAnsi" w:hAnsiTheme="minorHAnsi" w:cstheme="minorHAnsi"/>
              </w:rPr>
              <w:t>Rome</w:t>
            </w:r>
          </w:p>
        </w:tc>
      </w:tr>
      <w:tr w:rsidR="005D2E65" w:rsidRPr="000956C5" w14:paraId="782D1C1C" w14:textId="77777777" w:rsidTr="00F87C4F">
        <w:trPr>
          <w:trHeight w:val="280"/>
        </w:trPr>
        <w:tc>
          <w:tcPr>
            <w:tcW w:w="3345" w:type="dxa"/>
            <w:gridSpan w:val="4"/>
          </w:tcPr>
          <w:p w14:paraId="2A7B6AFE" w14:textId="77777777" w:rsidR="005D2E65" w:rsidRPr="000956C5" w:rsidRDefault="005D2E65" w:rsidP="00690111">
            <w:pPr>
              <w:pStyle w:val="Form"/>
              <w:rPr>
                <w:rFonts w:asciiTheme="minorHAnsi" w:hAnsiTheme="minorHAnsi" w:cstheme="minorHAnsi"/>
                <w:b/>
                <w:sz w:val="22"/>
              </w:rPr>
            </w:pPr>
            <w:r w:rsidRPr="000956C5">
              <w:rPr>
                <w:rFonts w:asciiTheme="minorHAnsi" w:hAnsiTheme="minorHAnsi" w:cstheme="minorHAnsi"/>
                <w:b/>
                <w:sz w:val="22"/>
                <w:szCs w:val="22"/>
              </w:rPr>
              <w:t>Country:</w:t>
            </w:r>
          </w:p>
        </w:tc>
        <w:tc>
          <w:tcPr>
            <w:tcW w:w="7000" w:type="dxa"/>
            <w:gridSpan w:val="2"/>
          </w:tcPr>
          <w:p w14:paraId="64AD8E95" w14:textId="77777777" w:rsidR="005D2E65" w:rsidRPr="000956C5" w:rsidRDefault="005F748E" w:rsidP="00690111">
            <w:pPr>
              <w:rPr>
                <w:rFonts w:asciiTheme="minorHAnsi" w:hAnsiTheme="minorHAnsi" w:cstheme="minorHAnsi"/>
              </w:rPr>
            </w:pPr>
            <w:r w:rsidRPr="000956C5">
              <w:rPr>
                <w:rFonts w:asciiTheme="minorHAnsi" w:hAnsiTheme="minorHAnsi" w:cstheme="minorHAnsi"/>
              </w:rPr>
              <w:t>Italy</w:t>
            </w:r>
          </w:p>
        </w:tc>
      </w:tr>
      <w:tr w:rsidR="005D2E65" w:rsidRPr="000956C5" w14:paraId="7460E84D" w14:textId="77777777" w:rsidTr="00F87C4F">
        <w:trPr>
          <w:trHeight w:val="233"/>
        </w:trPr>
        <w:tc>
          <w:tcPr>
            <w:tcW w:w="3345" w:type="dxa"/>
            <w:gridSpan w:val="4"/>
          </w:tcPr>
          <w:p w14:paraId="4ED34C8C" w14:textId="77777777" w:rsidR="005D2E65" w:rsidRPr="000956C5" w:rsidRDefault="005D2E65" w:rsidP="00690111">
            <w:pPr>
              <w:pStyle w:val="CommentSubject"/>
              <w:rPr>
                <w:rFonts w:asciiTheme="minorHAnsi" w:hAnsiTheme="minorHAnsi" w:cstheme="minorHAnsi"/>
                <w:sz w:val="22"/>
                <w:szCs w:val="22"/>
              </w:rPr>
            </w:pPr>
            <w:r w:rsidRPr="000956C5">
              <w:rPr>
                <w:rFonts w:asciiTheme="minorHAnsi" w:hAnsiTheme="minorHAnsi" w:cstheme="minorHAnsi"/>
                <w:sz w:val="22"/>
                <w:szCs w:val="22"/>
              </w:rPr>
              <w:t>E-mail:</w:t>
            </w:r>
          </w:p>
        </w:tc>
        <w:tc>
          <w:tcPr>
            <w:tcW w:w="7000" w:type="dxa"/>
            <w:gridSpan w:val="2"/>
          </w:tcPr>
          <w:p w14:paraId="4C4CEC65" w14:textId="77777777" w:rsidR="005D2E65" w:rsidRPr="000956C5" w:rsidRDefault="0008695F" w:rsidP="0008695F">
            <w:pPr>
              <w:rPr>
                <w:rFonts w:asciiTheme="minorHAnsi" w:hAnsiTheme="minorHAnsi" w:cstheme="minorHAnsi"/>
              </w:rPr>
            </w:pPr>
            <w:r w:rsidRPr="000956C5">
              <w:rPr>
                <w:rFonts w:asciiTheme="minorHAnsi" w:hAnsiTheme="minorHAnsi" w:cstheme="minorHAnsi"/>
              </w:rPr>
              <w:t>cgrfa</w:t>
            </w:r>
            <w:r w:rsidR="005F748E" w:rsidRPr="000956C5">
              <w:rPr>
                <w:rFonts w:asciiTheme="minorHAnsi" w:hAnsiTheme="minorHAnsi" w:cstheme="minorHAnsi"/>
              </w:rPr>
              <w:t>@fao.org</w:t>
            </w:r>
          </w:p>
        </w:tc>
      </w:tr>
      <w:tr w:rsidR="005D2E65" w:rsidRPr="000956C5" w14:paraId="3CB4E697" w14:textId="77777777" w:rsidTr="00F87C4F">
        <w:trPr>
          <w:trHeight w:val="224"/>
        </w:trPr>
        <w:tc>
          <w:tcPr>
            <w:tcW w:w="750" w:type="dxa"/>
            <w:shd w:val="clear" w:color="auto" w:fill="C0C0C0"/>
          </w:tcPr>
          <w:p w14:paraId="3461D779" w14:textId="77777777" w:rsidR="005D2E65" w:rsidRPr="000956C5" w:rsidRDefault="005D2E65" w:rsidP="00690111">
            <w:pPr>
              <w:jc w:val="center"/>
              <w:rPr>
                <w:rFonts w:asciiTheme="minorHAnsi" w:hAnsiTheme="minorHAnsi" w:cstheme="minorHAnsi"/>
                <w:b/>
                <w:i/>
                <w:highlight w:val="lightGray"/>
              </w:rPr>
            </w:pPr>
          </w:p>
        </w:tc>
        <w:tc>
          <w:tcPr>
            <w:tcW w:w="668" w:type="dxa"/>
            <w:shd w:val="clear" w:color="auto" w:fill="C0C0C0"/>
          </w:tcPr>
          <w:p w14:paraId="3CF2D8B6" w14:textId="77777777" w:rsidR="005D2E65" w:rsidRPr="000956C5" w:rsidRDefault="005D2E65" w:rsidP="00690111">
            <w:pPr>
              <w:jc w:val="center"/>
              <w:rPr>
                <w:rFonts w:asciiTheme="minorHAnsi" w:hAnsiTheme="minorHAnsi" w:cstheme="minorHAnsi"/>
                <w:b/>
                <w:i/>
                <w:highlight w:val="lightGray"/>
              </w:rPr>
            </w:pPr>
          </w:p>
        </w:tc>
        <w:tc>
          <w:tcPr>
            <w:tcW w:w="8927" w:type="dxa"/>
            <w:gridSpan w:val="4"/>
            <w:shd w:val="clear" w:color="auto" w:fill="C0C0C0"/>
          </w:tcPr>
          <w:p w14:paraId="7D5409AA" w14:textId="77777777" w:rsidR="005D2E65" w:rsidRPr="000956C5" w:rsidRDefault="005D2E65" w:rsidP="00690111">
            <w:pPr>
              <w:jc w:val="center"/>
              <w:rPr>
                <w:rFonts w:asciiTheme="minorHAnsi" w:hAnsiTheme="minorHAnsi" w:cstheme="minorHAnsi"/>
                <w:b/>
                <w:i/>
              </w:rPr>
            </w:pPr>
            <w:r w:rsidRPr="000956C5">
              <w:rPr>
                <w:rFonts w:asciiTheme="minorHAnsi" w:hAnsiTheme="minorHAnsi" w:cstheme="minorHAnsi"/>
                <w:b/>
                <w:i/>
                <w:highlight w:val="lightGray"/>
              </w:rPr>
              <w:t>Comments</w:t>
            </w:r>
          </w:p>
        </w:tc>
      </w:tr>
      <w:tr w:rsidR="0000393E" w:rsidRPr="000956C5" w14:paraId="5C4733BE" w14:textId="77777777" w:rsidTr="00F87C4F">
        <w:trPr>
          <w:trHeight w:val="224"/>
        </w:trPr>
        <w:tc>
          <w:tcPr>
            <w:tcW w:w="10345" w:type="dxa"/>
            <w:gridSpan w:val="6"/>
          </w:tcPr>
          <w:p w14:paraId="71491BF6" w14:textId="3948193C" w:rsidR="0000393E" w:rsidRPr="000956C5" w:rsidRDefault="0000393E" w:rsidP="0000393E">
            <w:pPr>
              <w:rPr>
                <w:rFonts w:asciiTheme="minorHAnsi" w:hAnsiTheme="minorHAnsi" w:cstheme="minorHAnsi"/>
                <w:b/>
                <w:sz w:val="22"/>
                <w:szCs w:val="22"/>
              </w:rPr>
            </w:pPr>
            <w:r>
              <w:rPr>
                <w:rFonts w:asciiTheme="minorHAnsi" w:hAnsiTheme="minorHAnsi" w:cstheme="minorHAnsi"/>
                <w:b/>
                <w:sz w:val="22"/>
                <w:szCs w:val="22"/>
              </w:rPr>
              <w:t>General c</w:t>
            </w:r>
            <w:r w:rsidRPr="000956C5">
              <w:rPr>
                <w:rFonts w:asciiTheme="minorHAnsi" w:hAnsiTheme="minorHAnsi" w:cstheme="minorHAnsi"/>
                <w:b/>
                <w:sz w:val="22"/>
                <w:szCs w:val="22"/>
              </w:rPr>
              <w:t>omment</w:t>
            </w:r>
            <w:r>
              <w:rPr>
                <w:rFonts w:asciiTheme="minorHAnsi" w:hAnsiTheme="minorHAnsi" w:cstheme="minorHAnsi"/>
                <w:b/>
                <w:sz w:val="22"/>
                <w:szCs w:val="22"/>
              </w:rPr>
              <w:t>s</w:t>
            </w:r>
          </w:p>
        </w:tc>
      </w:tr>
      <w:tr w:rsidR="00AD3EA1" w:rsidRPr="000956C5" w14:paraId="3A335305" w14:textId="77777777" w:rsidTr="00F87C4F">
        <w:trPr>
          <w:trHeight w:val="224"/>
        </w:trPr>
        <w:tc>
          <w:tcPr>
            <w:tcW w:w="10345" w:type="dxa"/>
            <w:gridSpan w:val="6"/>
          </w:tcPr>
          <w:p w14:paraId="5AFEB654" w14:textId="0763CC8F" w:rsidR="000858A8" w:rsidRPr="00F87C4F" w:rsidRDefault="001F46AB" w:rsidP="00F87C4F">
            <w:pPr>
              <w:rPr>
                <w:rFonts w:asciiTheme="minorHAnsi" w:hAnsiTheme="minorHAnsi" w:cstheme="minorHAnsi"/>
                <w:sz w:val="22"/>
                <w:szCs w:val="22"/>
              </w:rPr>
            </w:pPr>
            <w:r w:rsidRPr="00F87C4F">
              <w:rPr>
                <w:rFonts w:asciiTheme="minorHAnsi" w:hAnsiTheme="minorHAnsi" w:cstheme="minorHAnsi"/>
                <w:sz w:val="22"/>
                <w:szCs w:val="22"/>
              </w:rPr>
              <w:t>T</w:t>
            </w:r>
            <w:r w:rsidR="00AD3EA1" w:rsidRPr="00F87C4F">
              <w:rPr>
                <w:rFonts w:asciiTheme="minorHAnsi" w:hAnsiTheme="minorHAnsi" w:cstheme="minorHAnsi"/>
                <w:sz w:val="22"/>
                <w:szCs w:val="22"/>
              </w:rPr>
              <w:t xml:space="preserve">he importance for the indicators to be based on </w:t>
            </w:r>
            <w:r w:rsidR="00AD3EA1" w:rsidRPr="00F87C4F">
              <w:rPr>
                <w:rFonts w:asciiTheme="minorHAnsi" w:hAnsiTheme="minorHAnsi" w:cstheme="minorHAnsi"/>
                <w:b/>
                <w:sz w:val="22"/>
                <w:szCs w:val="22"/>
              </w:rPr>
              <w:t>agreed international statistical standards and methodologies</w:t>
            </w:r>
            <w:r w:rsidR="00AD3EA1" w:rsidRPr="00F87C4F">
              <w:rPr>
                <w:rFonts w:asciiTheme="minorHAnsi" w:hAnsiTheme="minorHAnsi" w:cstheme="minorHAnsi"/>
                <w:sz w:val="22"/>
                <w:szCs w:val="22"/>
              </w:rPr>
              <w:t>, for easier adoption in countries</w:t>
            </w:r>
            <w:r w:rsidRPr="00F87C4F">
              <w:rPr>
                <w:rFonts w:asciiTheme="minorHAnsi" w:hAnsiTheme="minorHAnsi" w:cstheme="minorHAnsi"/>
                <w:sz w:val="22"/>
                <w:szCs w:val="22"/>
              </w:rPr>
              <w:t>,</w:t>
            </w:r>
            <w:r w:rsidRPr="00F87C4F">
              <w:rPr>
                <w:rFonts w:asciiTheme="minorHAnsi" w:hAnsiTheme="minorHAnsi" w:cstheme="minorHAnsi"/>
                <w:b/>
                <w:sz w:val="22"/>
                <w:szCs w:val="22"/>
              </w:rPr>
              <w:t xml:space="preserve"> </w:t>
            </w:r>
            <w:r w:rsidRPr="00F87C4F">
              <w:rPr>
                <w:rFonts w:asciiTheme="minorHAnsi" w:hAnsiTheme="minorHAnsi" w:cstheme="minorHAnsi"/>
                <w:sz w:val="22"/>
                <w:szCs w:val="22"/>
              </w:rPr>
              <w:t>is emphasized</w:t>
            </w:r>
            <w:r w:rsidR="00AD3EA1" w:rsidRPr="00F87C4F">
              <w:rPr>
                <w:rFonts w:asciiTheme="minorHAnsi" w:hAnsiTheme="minorHAnsi" w:cstheme="minorHAnsi"/>
                <w:sz w:val="22"/>
                <w:szCs w:val="22"/>
              </w:rPr>
              <w:t>. This will likewise facilitate the development of a unified data collection, monitoring and reporting process, to ensure that biodiversity data are integrated into and add value to the processes already in place under the sustainable development and climate change data frameworks.</w:t>
            </w:r>
            <w:r w:rsidR="006A0CA5" w:rsidRPr="00F87C4F">
              <w:rPr>
                <w:rFonts w:asciiTheme="minorHAnsi" w:hAnsiTheme="minorHAnsi" w:cstheme="minorHAnsi"/>
                <w:sz w:val="22"/>
                <w:szCs w:val="22"/>
              </w:rPr>
              <w:t xml:space="preserve"> </w:t>
            </w:r>
            <w:r w:rsidR="000858A8" w:rsidRPr="00F87C4F">
              <w:rPr>
                <w:rFonts w:asciiTheme="minorHAnsi" w:hAnsiTheme="minorHAnsi" w:cstheme="minorHAnsi"/>
                <w:sz w:val="22"/>
                <w:szCs w:val="22"/>
              </w:rPr>
              <w:t xml:space="preserve">It should also promote the </w:t>
            </w:r>
            <w:r w:rsidR="000858A8" w:rsidRPr="00F87C4F">
              <w:rPr>
                <w:rFonts w:asciiTheme="minorHAnsi" w:hAnsiTheme="minorHAnsi" w:cstheme="minorHAnsi"/>
                <w:b/>
                <w:bCs/>
                <w:sz w:val="22"/>
                <w:szCs w:val="22"/>
              </w:rPr>
              <w:t>use of existing indicator frameworks</w:t>
            </w:r>
            <w:r w:rsidR="000858A8" w:rsidRPr="00F87C4F">
              <w:rPr>
                <w:rFonts w:asciiTheme="minorHAnsi" w:hAnsiTheme="minorHAnsi" w:cstheme="minorHAnsi"/>
                <w:sz w:val="22"/>
                <w:szCs w:val="22"/>
              </w:rPr>
              <w:t xml:space="preserve"> in order to reduce reporting burden on Parties.</w:t>
            </w:r>
          </w:p>
          <w:p w14:paraId="7C19DF29" w14:textId="0862D033" w:rsidR="000858A8" w:rsidRPr="00F87C4F" w:rsidRDefault="000858A8" w:rsidP="0000393E">
            <w:pPr>
              <w:rPr>
                <w:rFonts w:asciiTheme="minorHAnsi" w:hAnsiTheme="minorHAnsi" w:cstheme="minorHAnsi"/>
                <w:sz w:val="22"/>
                <w:szCs w:val="22"/>
              </w:rPr>
            </w:pPr>
          </w:p>
          <w:p w14:paraId="6DB45525" w14:textId="0F3E48FC" w:rsidR="00AD3EA1" w:rsidRPr="00EA24B8" w:rsidRDefault="000858A8" w:rsidP="00F87C4F">
            <w:pPr>
              <w:rPr>
                <w:rFonts w:asciiTheme="minorHAnsi" w:hAnsiTheme="minorHAnsi" w:cstheme="minorHAnsi"/>
                <w:b/>
                <w:sz w:val="22"/>
                <w:szCs w:val="22"/>
              </w:rPr>
            </w:pPr>
            <w:r w:rsidRPr="00F87C4F">
              <w:rPr>
                <w:rFonts w:ascii="Calibri" w:eastAsia="Calibri" w:hAnsi="Calibri" w:cs="Calibri"/>
                <w:sz w:val="22"/>
                <w:szCs w:val="22"/>
              </w:rPr>
              <w:t>The Post 2020 Global Biodiversity Framework should strengthen bottom up national statistical systems. As a fundamental aim, any framework proposed for measuring progress on delivery of Post 2020 Framework’s Goals and Targets should seek to support and strengthen national statistical systems and other relevant offices to promote country engagement in biodiversity monitoring for reasons of improving country ownership and bottom up engagement</w:t>
            </w:r>
            <w:r w:rsidR="006A0CA5" w:rsidRPr="00F87C4F">
              <w:rPr>
                <w:rFonts w:ascii="Calibri" w:eastAsia="Calibri" w:hAnsi="Calibri" w:cs="Calibri"/>
                <w:sz w:val="22"/>
                <w:szCs w:val="22"/>
              </w:rPr>
              <w:t>.</w:t>
            </w:r>
          </w:p>
        </w:tc>
      </w:tr>
      <w:tr w:rsidR="000858A8" w:rsidRPr="000956C5" w14:paraId="541874BE" w14:textId="77777777" w:rsidTr="00F87C4F">
        <w:trPr>
          <w:trHeight w:val="224"/>
        </w:trPr>
        <w:tc>
          <w:tcPr>
            <w:tcW w:w="10345" w:type="dxa"/>
            <w:gridSpan w:val="6"/>
          </w:tcPr>
          <w:p w14:paraId="1CE9E590" w14:textId="7EBD2EA1" w:rsidR="000858A8" w:rsidRPr="00F87C4F" w:rsidRDefault="000858A8">
            <w:pPr>
              <w:rPr>
                <w:rFonts w:asciiTheme="minorHAnsi" w:hAnsiTheme="minorHAnsi" w:cstheme="minorHAnsi"/>
                <w:sz w:val="22"/>
                <w:szCs w:val="22"/>
              </w:rPr>
            </w:pPr>
            <w:r w:rsidRPr="00F87C4F">
              <w:rPr>
                <w:rFonts w:ascii="Calibri" w:eastAsia="Calibri" w:hAnsi="Calibri" w:cs="Calibri"/>
                <w:sz w:val="22"/>
                <w:szCs w:val="22"/>
              </w:rPr>
              <w:t xml:space="preserve">The </w:t>
            </w:r>
            <w:r w:rsidRPr="00F87C4F">
              <w:rPr>
                <w:rFonts w:ascii="Calibri" w:eastAsia="Calibri" w:hAnsi="Calibri" w:cs="Calibri"/>
                <w:b/>
                <w:sz w:val="22"/>
                <w:szCs w:val="22"/>
              </w:rPr>
              <w:t>links to the current SDG</w:t>
            </w:r>
            <w:r w:rsidRPr="00F87C4F">
              <w:rPr>
                <w:rFonts w:ascii="Calibri" w:eastAsia="Calibri" w:hAnsi="Calibri" w:cs="Calibri"/>
                <w:sz w:val="22"/>
                <w:szCs w:val="22"/>
              </w:rPr>
              <w:t xml:space="preserve"> frameworks should be clearer. Aligning the Post- 2020 GBF with existing global institutional commitments like the SDGs will enable connected conservation actions that build on each other, thus improving both effectiveness and efficiency of individual actions that local and regional actors will take. For example, while the SDGs are mentioned in the Zero Draft, there are no clear operational links to them. The absence of this will undermine the effectiveness of the framework.</w:t>
            </w:r>
          </w:p>
        </w:tc>
      </w:tr>
      <w:tr w:rsidR="0000393E" w:rsidRPr="000956C5" w14:paraId="1DBB243B" w14:textId="77777777" w:rsidTr="00F87C4F">
        <w:trPr>
          <w:trHeight w:val="224"/>
        </w:trPr>
        <w:tc>
          <w:tcPr>
            <w:tcW w:w="10345" w:type="dxa"/>
            <w:gridSpan w:val="6"/>
          </w:tcPr>
          <w:p w14:paraId="77F4711C" w14:textId="3AB2C2FC" w:rsidR="006A0CA5" w:rsidRPr="00F87C4F" w:rsidRDefault="0000393E" w:rsidP="0000393E">
            <w:pPr>
              <w:autoSpaceDE w:val="0"/>
              <w:autoSpaceDN w:val="0"/>
              <w:adjustRightInd w:val="0"/>
              <w:rPr>
                <w:rFonts w:asciiTheme="minorHAnsi" w:hAnsiTheme="minorHAnsi" w:cstheme="minorHAnsi"/>
                <w:sz w:val="22"/>
                <w:szCs w:val="22"/>
                <w:lang w:eastAsia="ja-JP"/>
              </w:rPr>
            </w:pPr>
            <w:r w:rsidRPr="00F87C4F">
              <w:rPr>
                <w:rFonts w:ascii="Calibri" w:eastAsia="Calibri" w:hAnsi="Calibri" w:cs="Calibri"/>
                <w:sz w:val="22"/>
                <w:szCs w:val="22"/>
              </w:rPr>
              <w:t xml:space="preserve">FAO does not support the idea of setting in place a core set of indicators for the Post 2020 Framework prior to the definition of the Frameworks Goals and Targets. </w:t>
            </w:r>
            <w:r w:rsidRPr="00F87C4F">
              <w:rPr>
                <w:rFonts w:asciiTheme="minorHAnsi" w:hAnsiTheme="minorHAnsi" w:cstheme="minorHAnsi"/>
                <w:sz w:val="22"/>
                <w:szCs w:val="22"/>
                <w:lang w:eastAsia="ja-JP"/>
              </w:rPr>
              <w:t xml:space="preserve">FAO is concerned that indicators are being developed before goals and targets have been agreed. Parties have not yet negotiated the complete set of goals, milestones and targets, nor the specific formulation of each goal, milestone and target, and one assumes that these will substantially change during the course of the negotiations. A very likely challenge may occur that new or substantially altered goals, milestones and targets are agreed by parties but that there will be no opportunity to discuss indicators for these new elements, at least not in SBSTTA24. </w:t>
            </w:r>
          </w:p>
          <w:p w14:paraId="76EF17FB" w14:textId="77777777" w:rsidR="001F46AB" w:rsidRPr="00F87C4F" w:rsidRDefault="001F46AB" w:rsidP="0000393E">
            <w:pPr>
              <w:autoSpaceDE w:val="0"/>
              <w:autoSpaceDN w:val="0"/>
              <w:adjustRightInd w:val="0"/>
              <w:rPr>
                <w:rFonts w:asciiTheme="minorHAnsi" w:hAnsiTheme="minorHAnsi" w:cstheme="minorHAnsi"/>
                <w:sz w:val="22"/>
                <w:szCs w:val="22"/>
                <w:lang w:eastAsia="ja-JP"/>
              </w:rPr>
            </w:pPr>
          </w:p>
          <w:p w14:paraId="12D541E9" w14:textId="7C87CCB7" w:rsidR="0000393E" w:rsidRPr="00F87C4F" w:rsidRDefault="006A0CA5" w:rsidP="0000393E">
            <w:pPr>
              <w:autoSpaceDE w:val="0"/>
              <w:autoSpaceDN w:val="0"/>
              <w:adjustRightInd w:val="0"/>
              <w:rPr>
                <w:rFonts w:asciiTheme="minorHAnsi" w:hAnsiTheme="minorHAnsi" w:cstheme="minorHAnsi"/>
                <w:sz w:val="22"/>
                <w:szCs w:val="22"/>
                <w:lang w:eastAsia="ja-JP"/>
              </w:rPr>
            </w:pPr>
            <w:r w:rsidRPr="00F87C4F">
              <w:rPr>
                <w:rFonts w:ascii="Calibri" w:eastAsia="Calibri" w:hAnsi="Calibri" w:cs="Calibri"/>
                <w:sz w:val="22"/>
                <w:szCs w:val="22"/>
              </w:rPr>
              <w:t xml:space="preserve">FAO does support the establishment of a standard indicator </w:t>
            </w:r>
            <w:r w:rsidRPr="00F87C4F">
              <w:rPr>
                <w:rFonts w:ascii="Calibri" w:eastAsia="Calibri" w:hAnsi="Calibri" w:cs="Calibri"/>
                <w:b/>
                <w:iCs/>
                <w:sz w:val="22"/>
                <w:szCs w:val="22"/>
              </w:rPr>
              <w:t>assessment process</w:t>
            </w:r>
            <w:r w:rsidRPr="00F87C4F">
              <w:rPr>
                <w:rFonts w:ascii="Calibri" w:eastAsia="Calibri" w:hAnsi="Calibri" w:cs="Calibri"/>
                <w:sz w:val="22"/>
                <w:szCs w:val="22"/>
              </w:rPr>
              <w:t xml:space="preserve">, with criteria described in the monitoring framework. </w:t>
            </w:r>
            <w:r w:rsidRPr="00F87C4F">
              <w:rPr>
                <w:rFonts w:asciiTheme="minorHAnsi" w:hAnsiTheme="minorHAnsi" w:cstheme="minorHAnsi"/>
                <w:sz w:val="22"/>
                <w:szCs w:val="22"/>
                <w:lang w:eastAsia="ja-JP"/>
              </w:rPr>
              <w:t>I</w:t>
            </w:r>
            <w:r w:rsidRPr="00F87C4F">
              <w:rPr>
                <w:rFonts w:ascii="Calibri" w:eastAsia="Calibri" w:hAnsi="Calibri" w:cs="Calibri"/>
                <w:sz w:val="22"/>
                <w:szCs w:val="22"/>
              </w:rPr>
              <w:t>ndicators may need to respond to changes in the decade(s) ahead, recognizing the shifting availability of information and availability of innovative technology.</w:t>
            </w:r>
          </w:p>
          <w:p w14:paraId="6B1E463F" w14:textId="20439949" w:rsidR="006A0CA5" w:rsidRPr="00F87C4F" w:rsidRDefault="006A0CA5" w:rsidP="0000393E">
            <w:pPr>
              <w:autoSpaceDE w:val="0"/>
              <w:autoSpaceDN w:val="0"/>
              <w:adjustRightInd w:val="0"/>
              <w:rPr>
                <w:rFonts w:asciiTheme="minorHAnsi" w:hAnsiTheme="minorHAnsi" w:cstheme="minorHAnsi"/>
                <w:sz w:val="22"/>
                <w:szCs w:val="22"/>
                <w:lang w:eastAsia="ja-JP"/>
              </w:rPr>
            </w:pPr>
          </w:p>
          <w:p w14:paraId="6C16D19F" w14:textId="260CEFFD" w:rsidR="00922D57" w:rsidRPr="00F87C4F" w:rsidRDefault="00922D57" w:rsidP="00922D57">
            <w:pPr>
              <w:ind w:left="-5"/>
              <w:rPr>
                <w:rFonts w:ascii="Calibri" w:eastAsia="Calibri" w:hAnsi="Calibri" w:cs="Calibri"/>
                <w:sz w:val="22"/>
                <w:szCs w:val="22"/>
              </w:rPr>
            </w:pPr>
            <w:r w:rsidRPr="00F87C4F">
              <w:rPr>
                <w:rFonts w:ascii="Calibri" w:eastAsia="Calibri" w:hAnsi="Calibri" w:cs="Calibri"/>
                <w:sz w:val="22"/>
                <w:szCs w:val="22"/>
              </w:rPr>
              <w:t xml:space="preserve">The process of making commitments (against Targets) and encouraging engagement in monitoring across national, regional and international levels could be promoted by setting in place a standard </w:t>
            </w:r>
            <w:r w:rsidR="001F46AB" w:rsidRPr="00F87C4F">
              <w:rPr>
                <w:rFonts w:ascii="Calibri" w:eastAsia="Calibri" w:hAnsi="Calibri" w:cs="Calibri"/>
                <w:sz w:val="22"/>
                <w:szCs w:val="22"/>
              </w:rPr>
              <w:t xml:space="preserve">indicator </w:t>
            </w:r>
            <w:r w:rsidRPr="00F87C4F">
              <w:rPr>
                <w:rFonts w:ascii="Calibri" w:eastAsia="Calibri" w:hAnsi="Calibri" w:cs="Calibri"/>
                <w:sz w:val="22"/>
                <w:szCs w:val="22"/>
              </w:rPr>
              <w:t xml:space="preserve">methodology, linked to competent UN Agencies. The methodology for assessing the suitability and utility of indicators would encourage clarity in the definition of Targets, and deliver a tier’ing score for potential indicators, with the hope that there will be more harmonized adoption of Targets and Tier 1 indicators by countries within the first decade of the Frameworks delivery. </w:t>
            </w:r>
          </w:p>
          <w:p w14:paraId="0A9C0010" w14:textId="24E15059" w:rsidR="00AD3EA1" w:rsidRPr="00EA24B8" w:rsidRDefault="00922D57" w:rsidP="00AD3EA1">
            <w:pPr>
              <w:rPr>
                <w:rFonts w:asciiTheme="minorHAnsi" w:hAnsiTheme="minorHAnsi" w:cstheme="minorHAnsi"/>
                <w:b/>
                <w:sz w:val="22"/>
                <w:szCs w:val="22"/>
              </w:rPr>
            </w:pPr>
            <w:r w:rsidRPr="00F87C4F">
              <w:rPr>
                <w:rFonts w:ascii="Calibri" w:eastAsia="Calibri" w:hAnsi="Calibri" w:cs="Calibri"/>
                <w:sz w:val="22"/>
                <w:szCs w:val="22"/>
              </w:rPr>
              <w:t>T</w:t>
            </w:r>
            <w:r w:rsidR="006A0CA5" w:rsidRPr="00F87C4F">
              <w:rPr>
                <w:rFonts w:ascii="Calibri" w:eastAsia="Calibri" w:hAnsi="Calibri" w:cs="Calibri"/>
                <w:sz w:val="22"/>
                <w:szCs w:val="22"/>
              </w:rPr>
              <w:t xml:space="preserve">he CBD, UN Agencies and Multi-Lateral Environmental Agreements (MEAs) </w:t>
            </w:r>
            <w:r w:rsidRPr="00F87C4F">
              <w:rPr>
                <w:rFonts w:ascii="Calibri" w:eastAsia="Calibri" w:hAnsi="Calibri" w:cs="Calibri"/>
                <w:sz w:val="22"/>
                <w:szCs w:val="22"/>
              </w:rPr>
              <w:t xml:space="preserve">would </w:t>
            </w:r>
            <w:r w:rsidR="006A0CA5" w:rsidRPr="00F87C4F">
              <w:rPr>
                <w:rFonts w:ascii="Calibri" w:eastAsia="Calibri" w:hAnsi="Calibri" w:cs="Calibri"/>
                <w:sz w:val="22"/>
                <w:szCs w:val="22"/>
              </w:rPr>
              <w:t>support their Parties/Members and consolidat</w:t>
            </w:r>
            <w:r w:rsidRPr="00F87C4F">
              <w:rPr>
                <w:rFonts w:ascii="Calibri" w:eastAsia="Calibri" w:hAnsi="Calibri" w:cs="Calibri"/>
                <w:sz w:val="22"/>
                <w:szCs w:val="22"/>
              </w:rPr>
              <w:t>e</w:t>
            </w:r>
            <w:r w:rsidR="006A0CA5" w:rsidRPr="00F87C4F">
              <w:rPr>
                <w:rFonts w:ascii="Calibri" w:eastAsia="Calibri" w:hAnsi="Calibri" w:cs="Calibri"/>
                <w:sz w:val="22"/>
                <w:szCs w:val="22"/>
              </w:rPr>
              <w:t xml:space="preserve"> what has been learnt</w:t>
            </w:r>
            <w:r w:rsidR="00645993" w:rsidRPr="00F87C4F">
              <w:rPr>
                <w:rFonts w:ascii="Calibri" w:eastAsia="Calibri" w:hAnsi="Calibri" w:cs="Calibri"/>
                <w:sz w:val="22"/>
                <w:szCs w:val="22"/>
              </w:rPr>
              <w:t xml:space="preserve"> while moving Tier 1 indicators to the next level.</w:t>
            </w:r>
          </w:p>
        </w:tc>
      </w:tr>
      <w:tr w:rsidR="00E1449E" w:rsidRPr="000956C5" w14:paraId="5E0D00D6" w14:textId="77777777" w:rsidTr="00F87C4F">
        <w:trPr>
          <w:trHeight w:val="224"/>
        </w:trPr>
        <w:tc>
          <w:tcPr>
            <w:tcW w:w="10345" w:type="dxa"/>
            <w:gridSpan w:val="6"/>
          </w:tcPr>
          <w:p w14:paraId="1ED0F402" w14:textId="77777777" w:rsidR="00E1449E" w:rsidRPr="00F87C4F" w:rsidRDefault="00E1449E" w:rsidP="00E1449E">
            <w:pPr>
              <w:shd w:val="clear" w:color="auto" w:fill="FFFFFF"/>
              <w:spacing w:after="120"/>
              <w:rPr>
                <w:rFonts w:ascii="Calibri" w:eastAsia="Calibri" w:hAnsi="Calibri" w:cs="Calibri"/>
                <w:sz w:val="22"/>
                <w:szCs w:val="22"/>
              </w:rPr>
            </w:pPr>
            <w:r w:rsidRPr="00F87C4F">
              <w:rPr>
                <w:rFonts w:ascii="Calibri" w:eastAsia="Calibri" w:hAnsi="Calibri" w:cs="Calibri"/>
                <w:sz w:val="22"/>
                <w:szCs w:val="22"/>
              </w:rPr>
              <w:t xml:space="preserve">Targets, Tools and Indicators need to facilitate action (and recording of progress against action) for a range of activities across highly variable CBD Parties, and different actors within individual countries’ contexts. </w:t>
            </w:r>
          </w:p>
          <w:p w14:paraId="4D0F4669" w14:textId="512DB429" w:rsidR="00E1449E" w:rsidRPr="00F87C4F" w:rsidRDefault="00E1449E" w:rsidP="00E1449E">
            <w:pPr>
              <w:autoSpaceDE w:val="0"/>
              <w:autoSpaceDN w:val="0"/>
              <w:adjustRightInd w:val="0"/>
              <w:rPr>
                <w:rFonts w:ascii="Calibri" w:eastAsia="Calibri" w:hAnsi="Calibri" w:cs="Calibri"/>
                <w:sz w:val="22"/>
                <w:szCs w:val="22"/>
              </w:rPr>
            </w:pPr>
            <w:r w:rsidRPr="00F87C4F">
              <w:rPr>
                <w:rFonts w:ascii="Calibri" w:eastAsia="Calibri" w:hAnsi="Calibri" w:cs="Calibri"/>
                <w:sz w:val="22"/>
                <w:szCs w:val="22"/>
              </w:rPr>
              <w:t>Therefore, the Post 2020 Framework needs to present a menu of scale’able options for biodiversity conservation and management rather than a prescriptive ‘one size fits all’ approach, to facilitate effective action and buy in. C</w:t>
            </w:r>
            <w:r w:rsidRPr="00F87C4F">
              <w:rPr>
                <w:rFonts w:asciiTheme="minorHAnsi" w:hAnsiTheme="minorHAnsi" w:cstheme="minorHAnsi"/>
                <w:bCs/>
                <w:sz w:val="22"/>
                <w:szCs w:val="22"/>
              </w:rPr>
              <w:t xml:space="preserve">ountries may choose targets </w:t>
            </w:r>
            <w:r w:rsidRPr="00F87C4F">
              <w:rPr>
                <w:rFonts w:asciiTheme="minorHAnsi" w:hAnsiTheme="minorHAnsi" w:cstheme="minorHAnsi"/>
                <w:sz w:val="22"/>
                <w:szCs w:val="22"/>
              </w:rPr>
              <w:t xml:space="preserve">(from a menu) </w:t>
            </w:r>
            <w:r w:rsidRPr="00F87C4F">
              <w:rPr>
                <w:rFonts w:asciiTheme="minorHAnsi" w:hAnsiTheme="minorHAnsi" w:cstheme="minorHAnsi"/>
                <w:bCs/>
                <w:sz w:val="22"/>
                <w:szCs w:val="22"/>
              </w:rPr>
              <w:t>based on local context</w:t>
            </w:r>
            <w:r w:rsidRPr="00F87C4F">
              <w:rPr>
                <w:rFonts w:asciiTheme="minorHAnsi" w:hAnsiTheme="minorHAnsi" w:cstheme="minorHAnsi"/>
                <w:sz w:val="22"/>
                <w:szCs w:val="22"/>
              </w:rPr>
              <w:t xml:space="preserve"> (instead of a standard set for all).</w:t>
            </w:r>
          </w:p>
        </w:tc>
      </w:tr>
      <w:tr w:rsidR="002D2AD1" w:rsidRPr="000956C5" w14:paraId="0002F2AF" w14:textId="77777777" w:rsidTr="00F87C4F">
        <w:trPr>
          <w:trHeight w:val="224"/>
        </w:trPr>
        <w:tc>
          <w:tcPr>
            <w:tcW w:w="10345" w:type="dxa"/>
            <w:gridSpan w:val="6"/>
          </w:tcPr>
          <w:p w14:paraId="7CD97BF6" w14:textId="77777777" w:rsidR="001F46AB" w:rsidRPr="00F87C4F" w:rsidRDefault="002D2AD1" w:rsidP="002D2AD1">
            <w:pPr>
              <w:autoSpaceDE w:val="0"/>
              <w:autoSpaceDN w:val="0"/>
              <w:adjustRightInd w:val="0"/>
              <w:rPr>
                <w:rFonts w:ascii="Calibri" w:eastAsia="Calibri" w:hAnsi="Calibri" w:cs="Calibri"/>
                <w:sz w:val="22"/>
                <w:szCs w:val="22"/>
              </w:rPr>
            </w:pPr>
            <w:r w:rsidRPr="00F87C4F">
              <w:rPr>
                <w:rFonts w:ascii="Calibri" w:eastAsia="Calibri" w:hAnsi="Calibri" w:cs="Calibri"/>
                <w:sz w:val="22"/>
                <w:szCs w:val="22"/>
              </w:rPr>
              <w:t xml:space="preserve">In order to facilitate full engagement and buy-in in the implementation of the Post-2020 Framework, to facilitate transparency and help locate significant gaps in resources and capacity that can impact the implementation of the framework, a new approach is needed.  </w:t>
            </w:r>
          </w:p>
          <w:p w14:paraId="6B15A7D8" w14:textId="20925FFF" w:rsidR="001F46AB" w:rsidRPr="00F87C4F" w:rsidRDefault="002D2AD1">
            <w:pPr>
              <w:autoSpaceDE w:val="0"/>
              <w:autoSpaceDN w:val="0"/>
              <w:adjustRightInd w:val="0"/>
              <w:rPr>
                <w:rFonts w:ascii="Calibri" w:eastAsia="Calibri" w:hAnsi="Calibri" w:cs="Calibri"/>
                <w:sz w:val="22"/>
                <w:szCs w:val="22"/>
              </w:rPr>
            </w:pPr>
            <w:r w:rsidRPr="00F87C4F">
              <w:rPr>
                <w:rFonts w:ascii="Calibri" w:eastAsia="Calibri" w:hAnsi="Calibri" w:cs="Calibri"/>
                <w:sz w:val="22"/>
                <w:szCs w:val="22"/>
              </w:rPr>
              <w:t>For example, the CBD secretariat</w:t>
            </w:r>
            <w:r w:rsidR="001F46AB" w:rsidRPr="00F87C4F">
              <w:rPr>
                <w:rFonts w:ascii="Calibri" w:eastAsia="Calibri" w:hAnsi="Calibri" w:cs="Calibri"/>
                <w:sz w:val="22"/>
                <w:szCs w:val="22"/>
              </w:rPr>
              <w:t>,</w:t>
            </w:r>
            <w:r w:rsidRPr="00F87C4F">
              <w:rPr>
                <w:rFonts w:ascii="Calibri" w:eastAsia="Calibri" w:hAnsi="Calibri" w:cs="Calibri"/>
                <w:sz w:val="22"/>
                <w:szCs w:val="22"/>
              </w:rPr>
              <w:t xml:space="preserve"> with help from relevant UN Agencies could provide a mechanism for countries to select and describe their commitments, the target(s) and indicator(s) they choose based on local context. </w:t>
            </w:r>
          </w:p>
          <w:p w14:paraId="0E896C1D" w14:textId="51BB5BEE" w:rsidR="001F46AB" w:rsidRPr="00F87C4F" w:rsidRDefault="001F46AB">
            <w:pPr>
              <w:autoSpaceDE w:val="0"/>
              <w:autoSpaceDN w:val="0"/>
              <w:adjustRightInd w:val="0"/>
              <w:rPr>
                <w:rFonts w:ascii="Calibri" w:eastAsia="Calibri" w:hAnsi="Calibri" w:cs="Calibri"/>
                <w:sz w:val="22"/>
                <w:szCs w:val="22"/>
              </w:rPr>
            </w:pPr>
          </w:p>
          <w:p w14:paraId="02152396" w14:textId="5670D1F2" w:rsidR="002D2AD1" w:rsidRPr="00F87C4F" w:rsidRDefault="002D2AD1">
            <w:pPr>
              <w:autoSpaceDE w:val="0"/>
              <w:autoSpaceDN w:val="0"/>
              <w:adjustRightInd w:val="0"/>
              <w:rPr>
                <w:rFonts w:ascii="Calibri" w:eastAsia="Calibri" w:hAnsi="Calibri" w:cs="Calibri"/>
                <w:sz w:val="22"/>
                <w:szCs w:val="22"/>
              </w:rPr>
            </w:pPr>
            <w:r w:rsidRPr="00F87C4F">
              <w:rPr>
                <w:rFonts w:ascii="Calibri" w:eastAsia="Calibri" w:hAnsi="Calibri" w:cs="Calibri"/>
                <w:sz w:val="22"/>
                <w:szCs w:val="22"/>
              </w:rPr>
              <w:t xml:space="preserve">By putting in </w:t>
            </w:r>
            <w:r w:rsidR="00E1449E" w:rsidRPr="00F87C4F">
              <w:rPr>
                <w:rFonts w:ascii="Calibri" w:eastAsia="Calibri" w:hAnsi="Calibri" w:cs="Calibri"/>
                <w:sz w:val="22"/>
                <w:szCs w:val="22"/>
              </w:rPr>
              <w:t xml:space="preserve">place a </w:t>
            </w:r>
            <w:r w:rsidRPr="00F87C4F">
              <w:rPr>
                <w:rFonts w:ascii="Calibri" w:eastAsia="Calibri" w:hAnsi="Calibri" w:cs="Calibri"/>
                <w:sz w:val="22"/>
                <w:szCs w:val="22"/>
              </w:rPr>
              <w:t xml:space="preserve">mechanisms to help countries </w:t>
            </w:r>
            <w:r w:rsidRPr="00F87C4F">
              <w:rPr>
                <w:rFonts w:ascii="Calibri" w:eastAsia="Calibri" w:hAnsi="Calibri" w:cs="Calibri"/>
                <w:b/>
                <w:sz w:val="22"/>
                <w:szCs w:val="22"/>
              </w:rPr>
              <w:t>self-propose commitments</w:t>
            </w:r>
            <w:r w:rsidRPr="00F87C4F">
              <w:rPr>
                <w:rFonts w:ascii="Calibri" w:eastAsia="Calibri" w:hAnsi="Calibri" w:cs="Calibri"/>
                <w:sz w:val="22"/>
                <w:szCs w:val="22"/>
              </w:rPr>
              <w:t xml:space="preserve">, countries are more likely to be engaged and note any shortfall in capacity and resourcing to achieve their stated aim(s); this would </w:t>
            </w:r>
            <w:r w:rsidR="00E1449E" w:rsidRPr="00F87C4F">
              <w:rPr>
                <w:rFonts w:ascii="Calibri" w:eastAsia="Calibri" w:hAnsi="Calibri" w:cs="Calibri"/>
                <w:sz w:val="22"/>
                <w:szCs w:val="22"/>
              </w:rPr>
              <w:t xml:space="preserve">be visible to potential donors or collaborators and would </w:t>
            </w:r>
            <w:r w:rsidRPr="00F87C4F">
              <w:rPr>
                <w:rFonts w:ascii="Calibri" w:eastAsia="Calibri" w:hAnsi="Calibri" w:cs="Calibri"/>
                <w:sz w:val="22"/>
                <w:szCs w:val="22"/>
              </w:rPr>
              <w:t>likely stimulate more effective partnerships, collaborations and external support activity</w:t>
            </w:r>
            <w:r w:rsidR="00E1449E" w:rsidRPr="00F87C4F">
              <w:rPr>
                <w:rFonts w:asciiTheme="minorHAnsi" w:hAnsiTheme="minorHAnsi" w:cstheme="minorHAnsi"/>
                <w:sz w:val="22"/>
                <w:szCs w:val="22"/>
              </w:rPr>
              <w:t xml:space="preserve"> and increase transparency</w:t>
            </w:r>
            <w:r w:rsidRPr="00F87C4F">
              <w:rPr>
                <w:rFonts w:ascii="Calibri" w:eastAsia="Calibri" w:hAnsi="Calibri" w:cs="Calibri"/>
                <w:sz w:val="22"/>
                <w:szCs w:val="22"/>
              </w:rPr>
              <w:t>. Most importantly this would increase effective implementation of the framework through a variety of centralized (central government) and distributed (local scale public and private) activity.</w:t>
            </w:r>
          </w:p>
        </w:tc>
      </w:tr>
      <w:tr w:rsidR="00AD3EA1" w:rsidRPr="000956C5" w14:paraId="0F320488" w14:textId="77777777" w:rsidTr="00F87C4F">
        <w:trPr>
          <w:trHeight w:val="224"/>
        </w:trPr>
        <w:tc>
          <w:tcPr>
            <w:tcW w:w="10345" w:type="dxa"/>
            <w:gridSpan w:val="6"/>
          </w:tcPr>
          <w:p w14:paraId="1B940B3F" w14:textId="53FF55F1" w:rsidR="00AD3EA1" w:rsidRPr="00EA24B8" w:rsidRDefault="002D2AD1" w:rsidP="00F87C4F">
            <w:pPr>
              <w:spacing w:after="120"/>
              <w:rPr>
                <w:sz w:val="22"/>
                <w:szCs w:val="22"/>
              </w:rPr>
            </w:pPr>
            <w:r w:rsidRPr="00F87C4F">
              <w:rPr>
                <w:rFonts w:ascii="Calibri" w:eastAsia="Calibri" w:hAnsi="Calibri" w:cs="Calibri"/>
                <w:sz w:val="22"/>
                <w:szCs w:val="22"/>
              </w:rPr>
              <w:t>T</w:t>
            </w:r>
            <w:r w:rsidR="00AD3EA1" w:rsidRPr="00F87C4F">
              <w:rPr>
                <w:rFonts w:ascii="Calibri" w:eastAsia="Calibri" w:hAnsi="Calibri" w:cs="Calibri"/>
                <w:sz w:val="22"/>
                <w:szCs w:val="22"/>
              </w:rPr>
              <w:t xml:space="preserve">he current Zero Draft start to firm up language around Targets and Indicators with terminology for which there is currently no </w:t>
            </w:r>
            <w:r w:rsidR="00AD3EA1" w:rsidRPr="00F87C4F">
              <w:rPr>
                <w:rFonts w:ascii="Calibri" w:eastAsia="Calibri" w:hAnsi="Calibri" w:cs="Calibri"/>
                <w:b/>
                <w:sz w:val="22"/>
                <w:szCs w:val="22"/>
              </w:rPr>
              <w:t>clear definition</w:t>
            </w:r>
            <w:r w:rsidR="00AD3EA1" w:rsidRPr="00F87C4F">
              <w:rPr>
                <w:rFonts w:ascii="Calibri" w:eastAsia="Calibri" w:hAnsi="Calibri" w:cs="Calibri"/>
                <w:sz w:val="22"/>
                <w:szCs w:val="22"/>
              </w:rPr>
              <w:t xml:space="preserve"> or general understanding (e.g. “intact areas”; “wilderness”; “sites of particular importance for biodiversity“; “strict protection”). With man-made climate change rapidly evolving, there is likely no locations where human pressures are absent. </w:t>
            </w:r>
          </w:p>
          <w:p w14:paraId="198034F9" w14:textId="77777777" w:rsidR="00AD3EA1" w:rsidRPr="00EA24B8" w:rsidRDefault="00AD3EA1" w:rsidP="00F87C4F">
            <w:pPr>
              <w:spacing w:after="120"/>
              <w:rPr>
                <w:sz w:val="22"/>
                <w:szCs w:val="22"/>
              </w:rPr>
            </w:pPr>
            <w:r w:rsidRPr="00F87C4F">
              <w:rPr>
                <w:rFonts w:ascii="Calibri" w:eastAsia="Calibri" w:hAnsi="Calibri" w:cs="Calibri"/>
                <w:sz w:val="22"/>
                <w:szCs w:val="22"/>
              </w:rPr>
              <w:t>History has proven that definitions of key terms need to be clear from the beginning so that time is not wasted in the years following formal adoption arguing about what those definitions should be.  Making a process for defining such terms is needed.</w:t>
            </w:r>
          </w:p>
          <w:p w14:paraId="667CFA10" w14:textId="64E75EE3" w:rsidR="00AD3EA1" w:rsidRPr="00F87C4F" w:rsidRDefault="00AD3EA1" w:rsidP="00F87C4F">
            <w:pPr>
              <w:shd w:val="clear" w:color="auto" w:fill="FFFFFF"/>
              <w:spacing w:after="120"/>
              <w:rPr>
                <w:rFonts w:ascii="Calibri" w:eastAsia="Calibri" w:hAnsi="Calibri" w:cs="Calibri"/>
                <w:sz w:val="22"/>
                <w:szCs w:val="22"/>
              </w:rPr>
            </w:pPr>
            <w:r w:rsidRPr="00F87C4F">
              <w:rPr>
                <w:rFonts w:ascii="Calibri" w:eastAsia="Calibri" w:hAnsi="Calibri" w:cs="Calibri"/>
                <w:sz w:val="22"/>
                <w:szCs w:val="22"/>
              </w:rPr>
              <w:t xml:space="preserve">Reference should be made to clear and concise definitions of each term so that Parties to the CBD are more adequately set up for successfully implementing measures that fulfills the intent of the target. Where continued work is needed this should also be flagged in a related Post 2020 process/workplan, to make sure there is harmonized understanding amongst Post 2020 Framework participants. </w:t>
            </w:r>
          </w:p>
          <w:p w14:paraId="7A033410" w14:textId="77777777" w:rsidR="00AD3EA1" w:rsidRPr="00EA24B8" w:rsidRDefault="00AD3EA1" w:rsidP="00F87C4F">
            <w:pPr>
              <w:spacing w:after="120"/>
              <w:rPr>
                <w:sz w:val="22"/>
                <w:szCs w:val="22"/>
              </w:rPr>
            </w:pPr>
            <w:r w:rsidRPr="00F87C4F">
              <w:rPr>
                <w:rFonts w:ascii="Calibri" w:eastAsia="Calibri" w:hAnsi="Calibri" w:cs="Calibri"/>
                <w:b/>
                <w:bCs/>
                <w:sz w:val="22"/>
                <w:szCs w:val="22"/>
              </w:rPr>
              <w:t>Operational definition of biodiversity</w:t>
            </w:r>
          </w:p>
          <w:p w14:paraId="67F14C56" w14:textId="77777777" w:rsidR="00AD3EA1" w:rsidRPr="00EA24B8" w:rsidRDefault="00AD3EA1" w:rsidP="00F87C4F">
            <w:pPr>
              <w:spacing w:after="120"/>
              <w:rPr>
                <w:sz w:val="22"/>
                <w:szCs w:val="22"/>
              </w:rPr>
            </w:pPr>
            <w:r w:rsidRPr="00F87C4F">
              <w:rPr>
                <w:rFonts w:ascii="Calibri" w:eastAsia="Calibri" w:hAnsi="Calibri" w:cs="Calibri"/>
                <w:sz w:val="22"/>
                <w:szCs w:val="22"/>
              </w:rPr>
              <w:t>An immediate impediment to any analysis is the lack of an operational definition of biodiversity in relation to sustainable use sectors. For fishing, there are a wide range of measures of biodiversity, none of which are broadly accepted as preferred. At present we tend to fall back to ranking species by the risk of extinction when looking at biodiversity concerns (Hilborn et al. 2020, doi:10.1093/icesjms/fsaa139), which is an unsatisfactory end point of biodiversity decline.</w:t>
            </w:r>
          </w:p>
          <w:p w14:paraId="2F0A6944" w14:textId="77777777" w:rsidR="00AD3EA1" w:rsidRPr="00EA24B8" w:rsidRDefault="00AD3EA1" w:rsidP="00F87C4F">
            <w:pPr>
              <w:spacing w:after="120"/>
              <w:rPr>
                <w:sz w:val="22"/>
                <w:szCs w:val="22"/>
              </w:rPr>
            </w:pPr>
            <w:r w:rsidRPr="00F87C4F">
              <w:rPr>
                <w:rFonts w:ascii="Calibri" w:eastAsia="Calibri" w:hAnsi="Calibri" w:cs="Calibri"/>
                <w:b/>
                <w:bCs/>
                <w:sz w:val="22"/>
                <w:szCs w:val="22"/>
              </w:rPr>
              <w:t>Operational definition of Ecosystem Measures</w:t>
            </w:r>
          </w:p>
          <w:p w14:paraId="3D75305E" w14:textId="77777777" w:rsidR="00AD3EA1" w:rsidRPr="00EA24B8" w:rsidRDefault="00AD3EA1" w:rsidP="00F87C4F">
            <w:pPr>
              <w:spacing w:after="120"/>
              <w:rPr>
                <w:sz w:val="22"/>
                <w:szCs w:val="22"/>
              </w:rPr>
            </w:pPr>
            <w:r w:rsidRPr="00F87C4F">
              <w:rPr>
                <w:rFonts w:ascii="Calibri" w:eastAsia="Calibri" w:hAnsi="Calibri" w:cs="Calibri"/>
                <w:sz w:val="22"/>
                <w:szCs w:val="22"/>
              </w:rPr>
              <w:t xml:space="preserve">Since 2019, Parties have signed off a requirement for monitoring the “Health of Ecosystems” (CBD/COP/14/L.19). As of today, there still no working and accepted definition of what that is.  Many ecosystem component measures are available, and a few indexes amalgamate these measures, but few diverse system measures are recognized as accurate or sufficient, and these still require improvement and global agreement of their resulting measures. </w:t>
            </w:r>
          </w:p>
          <w:p w14:paraId="53CD57BF" w14:textId="77777777" w:rsidR="00AD3EA1" w:rsidRPr="00EA24B8" w:rsidRDefault="00AD3EA1" w:rsidP="00F87C4F">
            <w:pPr>
              <w:spacing w:after="120"/>
              <w:rPr>
                <w:sz w:val="22"/>
                <w:szCs w:val="22"/>
              </w:rPr>
            </w:pPr>
            <w:r w:rsidRPr="00F87C4F">
              <w:rPr>
                <w:rFonts w:ascii="Calibri" w:eastAsia="Calibri" w:hAnsi="Calibri" w:cs="Calibri"/>
                <w:b/>
                <w:bCs/>
                <w:sz w:val="22"/>
                <w:szCs w:val="22"/>
              </w:rPr>
              <w:t>Operational definition of Acceptable levels of risk</w:t>
            </w:r>
          </w:p>
          <w:p w14:paraId="07AC0CD0" w14:textId="77777777" w:rsidR="00AD3EA1" w:rsidRPr="00EA24B8" w:rsidRDefault="00AD3EA1" w:rsidP="00F87C4F">
            <w:pPr>
              <w:spacing w:after="120"/>
              <w:rPr>
                <w:sz w:val="22"/>
                <w:szCs w:val="22"/>
              </w:rPr>
            </w:pPr>
            <w:r w:rsidRPr="00F87C4F">
              <w:rPr>
                <w:rFonts w:ascii="Calibri" w:eastAsia="Calibri" w:hAnsi="Calibri" w:cs="Calibri"/>
                <w:sz w:val="22"/>
                <w:szCs w:val="22"/>
              </w:rPr>
              <w:t>"Acceptable adverse impact". At present this term is used in relation to deep sea benthic environments for example. The thresholds for these types of measures need to be discussed/negotiated.</w:t>
            </w:r>
          </w:p>
          <w:p w14:paraId="28F9B8C4" w14:textId="35CB3E55" w:rsidR="00AD3EA1" w:rsidRPr="00F87C4F" w:rsidRDefault="00AD3EA1" w:rsidP="00F87C4F">
            <w:pPr>
              <w:autoSpaceDE w:val="0"/>
              <w:autoSpaceDN w:val="0"/>
              <w:adjustRightInd w:val="0"/>
              <w:spacing w:after="120"/>
              <w:rPr>
                <w:rFonts w:ascii="Calibri" w:eastAsia="Calibri" w:hAnsi="Calibri" w:cs="Calibri"/>
                <w:sz w:val="22"/>
                <w:szCs w:val="22"/>
              </w:rPr>
            </w:pPr>
            <w:r w:rsidRPr="00F87C4F">
              <w:rPr>
                <w:rFonts w:ascii="Calibri" w:eastAsia="Calibri" w:hAnsi="Calibri" w:cs="Calibri"/>
                <w:sz w:val="22"/>
                <w:szCs w:val="22"/>
              </w:rPr>
              <w:t xml:space="preserve">Setting up </w:t>
            </w:r>
            <w:r w:rsidR="006A0CA5" w:rsidRPr="00F87C4F">
              <w:rPr>
                <w:rFonts w:ascii="Calibri" w:eastAsia="Calibri" w:hAnsi="Calibri" w:cs="Calibri"/>
                <w:sz w:val="22"/>
                <w:szCs w:val="22"/>
              </w:rPr>
              <w:t xml:space="preserve">the Post 2020 </w:t>
            </w:r>
            <w:r w:rsidRPr="00F87C4F">
              <w:rPr>
                <w:rFonts w:ascii="Calibri" w:eastAsia="Calibri" w:hAnsi="Calibri" w:cs="Calibri"/>
                <w:sz w:val="22"/>
                <w:szCs w:val="22"/>
              </w:rPr>
              <w:t>framework, on definitions that have no agreed meaning or accepted mechanism for measurement of change strengthens the argument for the need to support on-going cooperation and flexibility in the development of Targets and Indicators for monitoring. Our collective view of the systems we wish to influence will need to be progressed over the next 10 years, and the CBD, in concert with relevant UN Agencies, can play a fundamental role in progressing both understanding and practices in a collaborative and iterative fashion.</w:t>
            </w:r>
          </w:p>
        </w:tc>
      </w:tr>
      <w:tr w:rsidR="00AD3EA1" w:rsidRPr="000956C5" w14:paraId="001E2EAD" w14:textId="77777777" w:rsidTr="00F87C4F">
        <w:trPr>
          <w:trHeight w:val="224"/>
        </w:trPr>
        <w:tc>
          <w:tcPr>
            <w:tcW w:w="10345" w:type="dxa"/>
            <w:gridSpan w:val="6"/>
          </w:tcPr>
          <w:p w14:paraId="09431C0B" w14:textId="2DBD5FF9" w:rsidR="00AD3EA1" w:rsidRPr="00EA24B8" w:rsidRDefault="00E1449E" w:rsidP="00AD3EA1">
            <w:pPr>
              <w:ind w:left="-5"/>
              <w:rPr>
                <w:rFonts w:asciiTheme="minorHAnsi" w:hAnsiTheme="minorHAnsi" w:cstheme="minorHAnsi"/>
                <w:sz w:val="22"/>
                <w:szCs w:val="22"/>
              </w:rPr>
            </w:pPr>
            <w:r w:rsidRPr="00EA24B8">
              <w:rPr>
                <w:rFonts w:asciiTheme="minorHAnsi" w:hAnsiTheme="minorHAnsi" w:cstheme="minorHAnsi"/>
                <w:sz w:val="22"/>
                <w:szCs w:val="22"/>
              </w:rPr>
              <w:t>G</w:t>
            </w:r>
            <w:r w:rsidR="00AD3EA1" w:rsidRPr="00EA24B8">
              <w:rPr>
                <w:rFonts w:asciiTheme="minorHAnsi" w:hAnsiTheme="minorHAnsi" w:cstheme="minorHAnsi"/>
                <w:sz w:val="22"/>
                <w:szCs w:val="22"/>
              </w:rPr>
              <w:t xml:space="preserve">oals and targets </w:t>
            </w:r>
            <w:r w:rsidRPr="00EA24B8">
              <w:rPr>
                <w:rFonts w:asciiTheme="minorHAnsi" w:hAnsiTheme="minorHAnsi" w:cstheme="minorHAnsi"/>
                <w:sz w:val="22"/>
                <w:szCs w:val="22"/>
              </w:rPr>
              <w:t xml:space="preserve">should </w:t>
            </w:r>
            <w:r w:rsidR="00AD3EA1" w:rsidRPr="00EA24B8">
              <w:rPr>
                <w:rFonts w:asciiTheme="minorHAnsi" w:hAnsiTheme="minorHAnsi" w:cstheme="minorHAnsi"/>
                <w:sz w:val="22"/>
                <w:szCs w:val="22"/>
              </w:rPr>
              <w:t xml:space="preserve">guide </w:t>
            </w:r>
            <w:r w:rsidR="00AD3EA1" w:rsidRPr="00EA24B8">
              <w:rPr>
                <w:rFonts w:asciiTheme="minorHAnsi" w:hAnsiTheme="minorHAnsi" w:cstheme="minorHAnsi"/>
                <w:b/>
                <w:sz w:val="22"/>
                <w:szCs w:val="22"/>
              </w:rPr>
              <w:t>action</w:t>
            </w:r>
            <w:r w:rsidR="00AD3EA1" w:rsidRPr="00EA24B8">
              <w:rPr>
                <w:rFonts w:asciiTheme="minorHAnsi" w:hAnsiTheme="minorHAnsi" w:cstheme="minorHAnsi"/>
                <w:sz w:val="22"/>
                <w:szCs w:val="22"/>
              </w:rPr>
              <w:t xml:space="preserve"> until 2030. The </w:t>
            </w:r>
            <w:r w:rsidR="00AD3EA1" w:rsidRPr="00F87C4F">
              <w:rPr>
                <w:rFonts w:asciiTheme="minorHAnsi" w:hAnsiTheme="minorHAnsi" w:cstheme="minorHAnsi"/>
                <w:b/>
                <w:sz w:val="22"/>
                <w:szCs w:val="22"/>
              </w:rPr>
              <w:t>logical framework</w:t>
            </w:r>
            <w:r w:rsidR="00AD3EA1" w:rsidRPr="00EA24B8">
              <w:rPr>
                <w:rFonts w:asciiTheme="minorHAnsi" w:hAnsiTheme="minorHAnsi" w:cstheme="minorHAnsi"/>
                <w:sz w:val="22"/>
                <w:szCs w:val="22"/>
              </w:rPr>
              <w:t xml:space="preserve"> should be much more simplified and strengthened, e.g. A6 belongs to milestone 1rather than 2. So far, it is not really possible to align 2030 targets to 2030 milestones and 2050 goals. There are far too many indicators at the different levels.</w:t>
            </w:r>
          </w:p>
          <w:p w14:paraId="6E977822" w14:textId="77777777" w:rsidR="00AD3EA1" w:rsidRPr="00EA24B8" w:rsidRDefault="00AD3EA1" w:rsidP="00AD3EA1">
            <w:pPr>
              <w:ind w:left="-5"/>
              <w:rPr>
                <w:rFonts w:asciiTheme="minorHAnsi" w:hAnsiTheme="minorHAnsi" w:cstheme="minorHAnsi"/>
                <w:sz w:val="22"/>
                <w:szCs w:val="22"/>
              </w:rPr>
            </w:pPr>
          </w:p>
          <w:p w14:paraId="73E700FF" w14:textId="43E89BA6" w:rsidR="00AD3EA1" w:rsidRPr="00F87C4F" w:rsidRDefault="00AD3EA1" w:rsidP="00AD3EA1">
            <w:pPr>
              <w:spacing w:after="120" w:line="257" w:lineRule="auto"/>
              <w:rPr>
                <w:rFonts w:ascii="Calibri" w:eastAsia="Calibri" w:hAnsi="Calibri" w:cs="Calibri"/>
                <w:sz w:val="22"/>
                <w:szCs w:val="22"/>
              </w:rPr>
            </w:pPr>
            <w:r w:rsidRPr="00EA24B8">
              <w:rPr>
                <w:rFonts w:asciiTheme="minorHAnsi" w:hAnsiTheme="minorHAnsi" w:cstheme="minorHAnsi"/>
                <w:sz w:val="22"/>
                <w:szCs w:val="22"/>
              </w:rPr>
              <w:t>The 2030 milestones should be a result of the 2030 targets, and the monitoring should support the 2030 targets and aggregate up to 2050 goals. Indicators for goals and targets should be mostly the same, and aggregate up, so that action at different levels achieves the 2030 target, the 2030 milestone and moved towards the 2050 goal.</w:t>
            </w:r>
          </w:p>
        </w:tc>
      </w:tr>
      <w:tr w:rsidR="00AD3EA1" w:rsidRPr="000956C5" w14:paraId="088635CE" w14:textId="77777777" w:rsidTr="00F87C4F">
        <w:trPr>
          <w:trHeight w:val="224"/>
        </w:trPr>
        <w:tc>
          <w:tcPr>
            <w:tcW w:w="10345" w:type="dxa"/>
            <w:gridSpan w:val="6"/>
          </w:tcPr>
          <w:p w14:paraId="2EE025AB" w14:textId="77777777" w:rsidR="00AD3EA1" w:rsidRPr="00EA24B8" w:rsidRDefault="00AD3EA1" w:rsidP="00AD3EA1">
            <w:pPr>
              <w:ind w:left="-5"/>
              <w:rPr>
                <w:rFonts w:asciiTheme="minorHAnsi" w:hAnsiTheme="minorHAnsi" w:cstheme="minorHAnsi"/>
                <w:sz w:val="22"/>
                <w:szCs w:val="22"/>
              </w:rPr>
            </w:pPr>
            <w:r w:rsidRPr="00EA24B8">
              <w:rPr>
                <w:rFonts w:asciiTheme="minorHAnsi" w:hAnsiTheme="minorHAnsi" w:cstheme="minorHAnsi"/>
                <w:sz w:val="22"/>
                <w:szCs w:val="22"/>
              </w:rPr>
              <w:t xml:space="preserve">The monitoring framework and the information document on indicators differ in several places. As mentioned above, the presentation of goals, targets and indicators could be much simplified, and criteria for selecting indicators should be provided in the monitoring framework. In view of the urgency to act, we recommend to adhere to the SDG framework, the use of existing indicators or proxies; and have provided a list of other monitoring systems in use. </w:t>
            </w:r>
          </w:p>
          <w:p w14:paraId="0ECC5AF2" w14:textId="77777777" w:rsidR="00AD3EA1" w:rsidRPr="00EA24B8" w:rsidRDefault="00AD3EA1" w:rsidP="00AD3EA1">
            <w:pPr>
              <w:ind w:left="-5"/>
              <w:rPr>
                <w:rFonts w:asciiTheme="minorHAnsi" w:hAnsiTheme="minorHAnsi" w:cstheme="minorHAnsi"/>
                <w:sz w:val="22"/>
                <w:szCs w:val="22"/>
              </w:rPr>
            </w:pPr>
          </w:p>
          <w:p w14:paraId="624380B5" w14:textId="77777777" w:rsidR="00AD3EA1" w:rsidRPr="00EA24B8" w:rsidRDefault="00AD3EA1" w:rsidP="00AD3EA1">
            <w:pPr>
              <w:ind w:left="-5"/>
              <w:rPr>
                <w:rFonts w:asciiTheme="minorHAnsi" w:hAnsiTheme="minorHAnsi" w:cstheme="minorHAnsi"/>
                <w:sz w:val="22"/>
                <w:szCs w:val="22"/>
              </w:rPr>
            </w:pPr>
            <w:r w:rsidRPr="00EA24B8">
              <w:rPr>
                <w:rFonts w:asciiTheme="minorHAnsi" w:hAnsiTheme="minorHAnsi" w:cstheme="minorHAnsi"/>
                <w:sz w:val="22"/>
                <w:szCs w:val="22"/>
              </w:rPr>
              <w:t xml:space="preserve">The multiple appearance of the same indicator is confusing. </w:t>
            </w:r>
            <w:r w:rsidRPr="00F87C4F">
              <w:rPr>
                <w:rFonts w:asciiTheme="minorHAnsi" w:hAnsiTheme="minorHAnsi" w:cstheme="minorHAnsi"/>
                <w:bCs/>
                <w:sz w:val="22"/>
                <w:szCs w:val="22"/>
              </w:rPr>
              <w:t>There are repetitions of indicators</w:t>
            </w:r>
            <w:r w:rsidRPr="00EA24B8">
              <w:rPr>
                <w:rFonts w:asciiTheme="minorHAnsi" w:hAnsiTheme="minorHAnsi" w:cstheme="minorHAnsi"/>
                <w:sz w:val="22"/>
                <w:szCs w:val="22"/>
              </w:rPr>
              <w:t xml:space="preserve"> (sustainable harvesting from aquatic ecosystems in both T4 and T8 for example, conservation of genetic resources for food and agriculture in T8 and T9), </w:t>
            </w:r>
            <w:r w:rsidRPr="00F87C4F">
              <w:rPr>
                <w:rFonts w:asciiTheme="minorHAnsi" w:hAnsiTheme="minorHAnsi" w:cstheme="minorHAnsi"/>
                <w:bCs/>
                <w:sz w:val="22"/>
                <w:szCs w:val="22"/>
              </w:rPr>
              <w:t>and examples of indicators not used appropriately</w:t>
            </w:r>
            <w:r w:rsidRPr="00EA24B8">
              <w:rPr>
                <w:rFonts w:asciiTheme="minorHAnsi" w:hAnsiTheme="minorHAnsi" w:cstheme="minorHAnsi"/>
                <w:sz w:val="22"/>
                <w:szCs w:val="22"/>
              </w:rPr>
              <w:t xml:space="preserve">. In T8 for example </w:t>
            </w:r>
            <w:r w:rsidRPr="00EA24B8">
              <w:rPr>
                <w:rFonts w:asciiTheme="minorHAnsi" w:hAnsiTheme="minorHAnsi" w:cstheme="minorHAnsi"/>
                <w:i/>
                <w:iCs/>
                <w:sz w:val="22"/>
                <w:szCs w:val="22"/>
              </w:rPr>
              <w:t>ex situ</w:t>
            </w:r>
            <w:r w:rsidRPr="00EA24B8">
              <w:rPr>
                <w:rFonts w:asciiTheme="minorHAnsi" w:hAnsiTheme="minorHAnsi" w:cstheme="minorHAnsi"/>
                <w:sz w:val="22"/>
                <w:szCs w:val="22"/>
              </w:rPr>
              <w:t xml:space="preserve"> conservation of plant and animal genetic resources (SDG indicator 2.5.1) is used to monitor ‘Trends in terrestrial wild species of fauna used for food and medicine’. </w:t>
            </w:r>
          </w:p>
          <w:p w14:paraId="6646750F" w14:textId="77777777" w:rsidR="00AD3EA1" w:rsidRPr="00EA24B8" w:rsidRDefault="00AD3EA1" w:rsidP="00AD3EA1">
            <w:pPr>
              <w:ind w:left="-5"/>
              <w:rPr>
                <w:rFonts w:asciiTheme="minorHAnsi" w:hAnsiTheme="minorHAnsi" w:cstheme="minorHAnsi"/>
                <w:sz w:val="22"/>
                <w:szCs w:val="22"/>
              </w:rPr>
            </w:pPr>
          </w:p>
          <w:p w14:paraId="0864BE67" w14:textId="76980741" w:rsidR="00AD3EA1" w:rsidRPr="00F87C4F" w:rsidRDefault="006A0CA5" w:rsidP="00F87C4F">
            <w:pPr>
              <w:ind w:left="-5"/>
              <w:rPr>
                <w:rFonts w:asciiTheme="minorHAnsi" w:hAnsiTheme="minorHAnsi" w:cstheme="minorHAnsi"/>
                <w:sz w:val="22"/>
                <w:szCs w:val="22"/>
              </w:rPr>
            </w:pPr>
            <w:r w:rsidRPr="00F87C4F">
              <w:rPr>
                <w:rFonts w:ascii="Calibri" w:eastAsia="Calibri" w:hAnsi="Calibri" w:cs="Calibri"/>
                <w:sz w:val="22"/>
                <w:szCs w:val="22"/>
              </w:rPr>
              <w:t xml:space="preserve">Considering the process of limiting the number of Targets and Indicators versus supporting engagement, </w:t>
            </w:r>
            <w:r w:rsidR="00E1449E" w:rsidRPr="00F87C4F">
              <w:rPr>
                <w:rFonts w:asciiTheme="minorHAnsi" w:hAnsiTheme="minorHAnsi" w:cstheme="minorHAnsi"/>
                <w:sz w:val="22"/>
                <w:szCs w:val="22"/>
              </w:rPr>
              <w:t>s</w:t>
            </w:r>
            <w:r w:rsidR="00AD3EA1" w:rsidRPr="00F87C4F">
              <w:rPr>
                <w:rFonts w:asciiTheme="minorHAnsi" w:hAnsiTheme="minorHAnsi" w:cstheme="minorHAnsi"/>
                <w:sz w:val="22"/>
                <w:szCs w:val="22"/>
              </w:rPr>
              <w:t>uggestion for indicator prioritization</w:t>
            </w:r>
            <w:r w:rsidR="00E1449E" w:rsidRPr="00F87C4F">
              <w:rPr>
                <w:rFonts w:asciiTheme="minorHAnsi" w:hAnsiTheme="minorHAnsi" w:cstheme="minorHAnsi"/>
                <w:sz w:val="22"/>
                <w:szCs w:val="22"/>
              </w:rPr>
              <w:t xml:space="preserve"> include</w:t>
            </w:r>
            <w:r w:rsidR="00AD3EA1" w:rsidRPr="00F87C4F">
              <w:rPr>
                <w:rFonts w:asciiTheme="minorHAnsi" w:hAnsiTheme="minorHAnsi" w:cstheme="minorHAnsi"/>
                <w:sz w:val="22"/>
                <w:szCs w:val="22"/>
              </w:rPr>
              <w:t>:</w:t>
            </w:r>
            <w:r w:rsidRPr="00F87C4F">
              <w:rPr>
                <w:rFonts w:asciiTheme="minorHAnsi" w:hAnsiTheme="minorHAnsi" w:cstheme="minorHAnsi"/>
                <w:sz w:val="22"/>
                <w:szCs w:val="22"/>
              </w:rPr>
              <w:t xml:space="preserve"> </w:t>
            </w:r>
          </w:p>
          <w:p w14:paraId="1BE91929" w14:textId="77777777" w:rsidR="00AD3EA1" w:rsidRPr="00F87C4F" w:rsidRDefault="00AD3EA1" w:rsidP="00AD3EA1">
            <w:pPr>
              <w:numPr>
                <w:ilvl w:val="0"/>
                <w:numId w:val="9"/>
              </w:numPr>
              <w:rPr>
                <w:rFonts w:asciiTheme="minorHAnsi" w:hAnsiTheme="minorHAnsi" w:cstheme="minorHAnsi"/>
                <w:sz w:val="22"/>
                <w:szCs w:val="22"/>
              </w:rPr>
            </w:pPr>
            <w:r w:rsidRPr="00F87C4F">
              <w:rPr>
                <w:rFonts w:asciiTheme="minorHAnsi" w:hAnsiTheme="minorHAnsi" w:cstheme="minorHAnsi"/>
                <w:b/>
                <w:bCs/>
                <w:sz w:val="22"/>
                <w:szCs w:val="22"/>
              </w:rPr>
              <w:t>reduce number of indicators</w:t>
            </w:r>
            <w:r w:rsidRPr="00F87C4F">
              <w:rPr>
                <w:rFonts w:asciiTheme="minorHAnsi" w:hAnsiTheme="minorHAnsi" w:cstheme="minorHAnsi"/>
                <w:sz w:val="22"/>
                <w:szCs w:val="22"/>
              </w:rPr>
              <w:t> (lack of data; costs and resources vis-a-vis data-intensive reporting)</w:t>
            </w:r>
          </w:p>
          <w:p w14:paraId="58770605" w14:textId="77777777" w:rsidR="00AD3EA1" w:rsidRPr="00F87C4F" w:rsidRDefault="00AD3EA1" w:rsidP="00AD3EA1">
            <w:pPr>
              <w:numPr>
                <w:ilvl w:val="0"/>
                <w:numId w:val="9"/>
              </w:numPr>
              <w:rPr>
                <w:rFonts w:asciiTheme="minorHAnsi" w:hAnsiTheme="minorHAnsi" w:cstheme="minorHAnsi"/>
                <w:sz w:val="22"/>
                <w:szCs w:val="22"/>
              </w:rPr>
            </w:pPr>
            <w:r w:rsidRPr="00F87C4F">
              <w:rPr>
                <w:rFonts w:asciiTheme="minorHAnsi" w:hAnsiTheme="minorHAnsi" w:cstheme="minorHAnsi"/>
                <w:sz w:val="22"/>
                <w:szCs w:val="22"/>
              </w:rPr>
              <w:t>focus on better understanding the </w:t>
            </w:r>
            <w:r w:rsidRPr="00F87C4F">
              <w:rPr>
                <w:rFonts w:asciiTheme="minorHAnsi" w:hAnsiTheme="minorHAnsi" w:cstheme="minorHAnsi"/>
                <w:b/>
                <w:bCs/>
                <w:sz w:val="22"/>
                <w:szCs w:val="22"/>
              </w:rPr>
              <w:t>baseline </w:t>
            </w:r>
            <w:r w:rsidRPr="00F87C4F">
              <w:rPr>
                <w:rFonts w:asciiTheme="minorHAnsi" w:hAnsiTheme="minorHAnsi" w:cstheme="minorHAnsi"/>
                <w:sz w:val="22"/>
                <w:szCs w:val="22"/>
              </w:rPr>
              <w:t>of threats (instead of progress towards threat minimization)</w:t>
            </w:r>
          </w:p>
          <w:p w14:paraId="692EDCA2" w14:textId="77777777" w:rsidR="00AD3EA1" w:rsidRPr="00F87C4F" w:rsidRDefault="00AD3EA1" w:rsidP="00AD3EA1">
            <w:pPr>
              <w:numPr>
                <w:ilvl w:val="0"/>
                <w:numId w:val="9"/>
              </w:numPr>
              <w:rPr>
                <w:rFonts w:asciiTheme="minorHAnsi" w:hAnsiTheme="minorHAnsi" w:cstheme="minorHAnsi"/>
                <w:sz w:val="22"/>
                <w:szCs w:val="22"/>
              </w:rPr>
            </w:pPr>
            <w:r w:rsidRPr="00F87C4F">
              <w:rPr>
                <w:rFonts w:asciiTheme="minorHAnsi" w:hAnsiTheme="minorHAnsi" w:cstheme="minorHAnsi"/>
                <w:sz w:val="22"/>
                <w:szCs w:val="22"/>
                <w:shd w:val="clear" w:color="auto" w:fill="FFFFFF"/>
              </w:rPr>
              <w:t>focus on </w:t>
            </w:r>
            <w:r w:rsidRPr="00F87C4F">
              <w:rPr>
                <w:rFonts w:asciiTheme="minorHAnsi" w:hAnsiTheme="minorHAnsi" w:cstheme="minorHAnsi"/>
                <w:b/>
                <w:bCs/>
                <w:sz w:val="22"/>
                <w:szCs w:val="22"/>
                <w:shd w:val="clear" w:color="auto" w:fill="FFFFFF"/>
              </w:rPr>
              <w:t>clear, measurable and feasible </w:t>
            </w:r>
            <w:r w:rsidRPr="00F87C4F">
              <w:rPr>
                <w:rFonts w:asciiTheme="minorHAnsi" w:hAnsiTheme="minorHAnsi" w:cstheme="minorHAnsi"/>
                <w:sz w:val="22"/>
                <w:szCs w:val="22"/>
                <w:shd w:val="clear" w:color="auto" w:fill="FFFFFF"/>
              </w:rPr>
              <w:t>indicators (currently still ambiguous indicators and lack of data)</w:t>
            </w:r>
          </w:p>
          <w:p w14:paraId="43149ADF" w14:textId="45D3257E" w:rsidR="00AD3EA1" w:rsidRPr="00EA24B8" w:rsidRDefault="00AD3EA1" w:rsidP="00AD3EA1">
            <w:pPr>
              <w:pStyle w:val="ListParagraph"/>
              <w:numPr>
                <w:ilvl w:val="0"/>
                <w:numId w:val="9"/>
              </w:numPr>
              <w:rPr>
                <w:rFonts w:asciiTheme="minorHAnsi" w:hAnsiTheme="minorHAnsi" w:cstheme="minorHAnsi"/>
                <w:sz w:val="22"/>
                <w:szCs w:val="22"/>
              </w:rPr>
            </w:pPr>
            <w:r w:rsidRPr="00F87C4F">
              <w:rPr>
                <w:rFonts w:asciiTheme="minorHAnsi" w:hAnsiTheme="minorHAnsi" w:cstheme="minorHAnsi"/>
                <w:b/>
                <w:bCs/>
                <w:sz w:val="22"/>
                <w:szCs w:val="22"/>
              </w:rPr>
              <w:t>(re)assessment </w:t>
            </w:r>
            <w:r w:rsidRPr="00F87C4F">
              <w:rPr>
                <w:rFonts w:asciiTheme="minorHAnsi" w:hAnsiTheme="minorHAnsi" w:cstheme="minorHAnsi"/>
                <w:sz w:val="22"/>
                <w:szCs w:val="22"/>
              </w:rPr>
              <w:t>(the ability) </w:t>
            </w:r>
            <w:r w:rsidRPr="00F87C4F">
              <w:rPr>
                <w:rFonts w:asciiTheme="minorHAnsi" w:hAnsiTheme="minorHAnsi" w:cstheme="minorHAnsi"/>
                <w:b/>
                <w:bCs/>
                <w:sz w:val="22"/>
                <w:szCs w:val="22"/>
              </w:rPr>
              <w:t>of indicators</w:t>
            </w:r>
            <w:r w:rsidRPr="00F87C4F">
              <w:rPr>
                <w:rFonts w:asciiTheme="minorHAnsi" w:hAnsiTheme="minorHAnsi" w:cstheme="minorHAnsi"/>
                <w:sz w:val="22"/>
                <w:szCs w:val="22"/>
              </w:rPr>
              <w:t> (to deliver information on progress) based on indicator aspects such as: </w:t>
            </w:r>
            <w:r w:rsidRPr="00F87C4F">
              <w:rPr>
                <w:rFonts w:asciiTheme="minorHAnsi" w:hAnsiTheme="minorHAnsi" w:cstheme="minorHAnsi"/>
                <w:b/>
                <w:bCs/>
                <w:sz w:val="22"/>
                <w:szCs w:val="22"/>
              </w:rPr>
              <w:t>alignment </w:t>
            </w:r>
            <w:r w:rsidRPr="00F87C4F">
              <w:rPr>
                <w:rFonts w:asciiTheme="minorHAnsi" w:hAnsiTheme="minorHAnsi" w:cstheme="minorHAnsi"/>
                <w:sz w:val="22"/>
                <w:szCs w:val="22"/>
              </w:rPr>
              <w:t>with goal/target; </w:t>
            </w:r>
            <w:r w:rsidRPr="00F87C4F">
              <w:rPr>
                <w:rFonts w:asciiTheme="minorHAnsi" w:hAnsiTheme="minorHAnsi" w:cstheme="minorHAnsi"/>
                <w:b/>
                <w:bCs/>
                <w:sz w:val="22"/>
                <w:szCs w:val="22"/>
              </w:rPr>
              <w:t>geographical </w:t>
            </w:r>
            <w:r w:rsidRPr="00F87C4F">
              <w:rPr>
                <w:rFonts w:asciiTheme="minorHAnsi" w:hAnsiTheme="minorHAnsi" w:cstheme="minorHAnsi"/>
                <w:sz w:val="22"/>
                <w:szCs w:val="22"/>
              </w:rPr>
              <w:t>coverage; fit for </w:t>
            </w:r>
            <w:r w:rsidRPr="00F87C4F">
              <w:rPr>
                <w:rFonts w:asciiTheme="minorHAnsi" w:hAnsiTheme="minorHAnsi" w:cstheme="minorHAnsi"/>
                <w:b/>
                <w:bCs/>
                <w:sz w:val="22"/>
                <w:szCs w:val="22"/>
              </w:rPr>
              <w:t>national </w:t>
            </w:r>
            <w:r w:rsidRPr="00F87C4F">
              <w:rPr>
                <w:rFonts w:asciiTheme="minorHAnsi" w:hAnsiTheme="minorHAnsi" w:cstheme="minorHAnsi"/>
                <w:sz w:val="22"/>
                <w:szCs w:val="22"/>
              </w:rPr>
              <w:t>use; etc. (for instance, the traffic light model) </w:t>
            </w:r>
            <w:r w:rsidRPr="00EA24B8">
              <w:rPr>
                <w:rFonts w:asciiTheme="minorHAnsi" w:hAnsiTheme="minorHAnsi" w:cstheme="minorHAnsi"/>
                <w:sz w:val="22"/>
                <w:szCs w:val="22"/>
              </w:rPr>
              <w:t xml:space="preserve"> </w:t>
            </w:r>
          </w:p>
        </w:tc>
      </w:tr>
      <w:tr w:rsidR="0000393E" w:rsidRPr="000956C5" w14:paraId="6D7CF35F" w14:textId="77777777" w:rsidTr="00F87C4F">
        <w:trPr>
          <w:trHeight w:val="224"/>
        </w:trPr>
        <w:tc>
          <w:tcPr>
            <w:tcW w:w="750" w:type="dxa"/>
          </w:tcPr>
          <w:p w14:paraId="04F95959" w14:textId="218FA25E" w:rsidR="0000393E" w:rsidRPr="000956C5" w:rsidRDefault="0000393E" w:rsidP="0000393E">
            <w:pPr>
              <w:rPr>
                <w:rFonts w:asciiTheme="minorHAnsi" w:hAnsiTheme="minorHAnsi" w:cstheme="minorHAnsi"/>
                <w:b/>
                <w:sz w:val="22"/>
                <w:szCs w:val="22"/>
              </w:rPr>
            </w:pPr>
            <w:r w:rsidRPr="000956C5">
              <w:rPr>
                <w:rFonts w:asciiTheme="minorHAnsi" w:hAnsiTheme="minorHAnsi" w:cstheme="minorHAnsi"/>
                <w:b/>
                <w:sz w:val="22"/>
                <w:szCs w:val="22"/>
              </w:rPr>
              <w:t>Table</w:t>
            </w:r>
          </w:p>
        </w:tc>
        <w:tc>
          <w:tcPr>
            <w:tcW w:w="668" w:type="dxa"/>
          </w:tcPr>
          <w:p w14:paraId="6CE5664C" w14:textId="1E54AE0B" w:rsidR="0000393E" w:rsidRPr="000956C5" w:rsidRDefault="0000393E" w:rsidP="0000393E">
            <w:pPr>
              <w:rPr>
                <w:rFonts w:asciiTheme="minorHAnsi" w:hAnsiTheme="minorHAnsi" w:cstheme="minorHAnsi"/>
                <w:b/>
                <w:sz w:val="22"/>
                <w:szCs w:val="22"/>
              </w:rPr>
            </w:pPr>
            <w:r w:rsidRPr="000956C5">
              <w:rPr>
                <w:rFonts w:asciiTheme="minorHAnsi" w:hAnsiTheme="minorHAnsi" w:cstheme="minorHAnsi"/>
                <w:b/>
                <w:sz w:val="22"/>
                <w:szCs w:val="22"/>
              </w:rPr>
              <w:t>Page</w:t>
            </w:r>
          </w:p>
        </w:tc>
        <w:tc>
          <w:tcPr>
            <w:tcW w:w="968" w:type="dxa"/>
          </w:tcPr>
          <w:p w14:paraId="37926FF0" w14:textId="31A590D2" w:rsidR="0000393E" w:rsidRPr="000956C5" w:rsidRDefault="0000393E" w:rsidP="0000393E">
            <w:pPr>
              <w:rPr>
                <w:rFonts w:asciiTheme="minorHAnsi" w:hAnsiTheme="minorHAnsi" w:cstheme="minorHAnsi"/>
                <w:b/>
                <w:sz w:val="22"/>
                <w:szCs w:val="22"/>
              </w:rPr>
            </w:pPr>
            <w:r w:rsidRPr="000956C5">
              <w:rPr>
                <w:rFonts w:asciiTheme="minorHAnsi" w:hAnsiTheme="minorHAnsi" w:cstheme="minorHAnsi"/>
                <w:b/>
                <w:sz w:val="22"/>
                <w:szCs w:val="22"/>
              </w:rPr>
              <w:t>Column letter</w:t>
            </w:r>
          </w:p>
        </w:tc>
        <w:tc>
          <w:tcPr>
            <w:tcW w:w="998" w:type="dxa"/>
            <w:gridSpan w:val="2"/>
          </w:tcPr>
          <w:p w14:paraId="07DD2D9F" w14:textId="37B1A44D" w:rsidR="0000393E" w:rsidRPr="000956C5" w:rsidRDefault="0000393E" w:rsidP="0000393E">
            <w:pPr>
              <w:rPr>
                <w:rFonts w:asciiTheme="minorHAnsi" w:hAnsiTheme="minorHAnsi" w:cstheme="minorHAnsi"/>
                <w:b/>
                <w:sz w:val="22"/>
                <w:szCs w:val="22"/>
              </w:rPr>
            </w:pPr>
            <w:r w:rsidRPr="000956C5">
              <w:rPr>
                <w:rFonts w:asciiTheme="minorHAnsi" w:hAnsiTheme="minorHAnsi" w:cstheme="minorHAnsi"/>
                <w:b/>
                <w:sz w:val="22"/>
                <w:szCs w:val="22"/>
              </w:rPr>
              <w:t>Row n</w:t>
            </w:r>
            <w:r>
              <w:rPr>
                <w:rFonts w:asciiTheme="minorHAnsi" w:hAnsiTheme="minorHAnsi" w:cstheme="minorHAnsi"/>
                <w:b/>
                <w:sz w:val="22"/>
                <w:szCs w:val="22"/>
              </w:rPr>
              <w:t>o</w:t>
            </w:r>
          </w:p>
        </w:tc>
        <w:tc>
          <w:tcPr>
            <w:tcW w:w="6961" w:type="dxa"/>
          </w:tcPr>
          <w:p w14:paraId="4B2BE1A9" w14:textId="40274420" w:rsidR="0000393E" w:rsidRPr="000956C5" w:rsidRDefault="0000393E" w:rsidP="0000393E">
            <w:pPr>
              <w:rPr>
                <w:rFonts w:asciiTheme="minorHAnsi" w:hAnsiTheme="minorHAnsi" w:cstheme="minorHAnsi"/>
                <w:b/>
                <w:sz w:val="22"/>
                <w:szCs w:val="22"/>
              </w:rPr>
            </w:pPr>
            <w:r w:rsidRPr="000956C5">
              <w:rPr>
                <w:rFonts w:asciiTheme="minorHAnsi" w:hAnsiTheme="minorHAnsi" w:cstheme="minorHAnsi"/>
                <w:b/>
                <w:sz w:val="22"/>
                <w:szCs w:val="22"/>
              </w:rPr>
              <w:t>Comment</w:t>
            </w:r>
          </w:p>
        </w:tc>
      </w:tr>
      <w:tr w:rsidR="0000393E" w:rsidRPr="000956C5" w14:paraId="3681991C" w14:textId="77777777" w:rsidTr="00F87C4F">
        <w:trPr>
          <w:trHeight w:val="233"/>
        </w:trPr>
        <w:tc>
          <w:tcPr>
            <w:tcW w:w="750" w:type="dxa"/>
          </w:tcPr>
          <w:p w14:paraId="649841B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w:t>
            </w:r>
          </w:p>
        </w:tc>
        <w:tc>
          <w:tcPr>
            <w:tcW w:w="668" w:type="dxa"/>
          </w:tcPr>
          <w:p w14:paraId="2598DEE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4</w:t>
            </w:r>
          </w:p>
        </w:tc>
        <w:tc>
          <w:tcPr>
            <w:tcW w:w="968" w:type="dxa"/>
          </w:tcPr>
          <w:p w14:paraId="61ED4E7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w:t>
            </w:r>
          </w:p>
        </w:tc>
        <w:tc>
          <w:tcPr>
            <w:tcW w:w="998" w:type="dxa"/>
            <w:gridSpan w:val="2"/>
          </w:tcPr>
          <w:p w14:paraId="5AFB958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36</w:t>
            </w:r>
          </w:p>
        </w:tc>
        <w:tc>
          <w:tcPr>
            <w:tcW w:w="6961" w:type="dxa"/>
          </w:tcPr>
          <w:p w14:paraId="2E81C1C9" w14:textId="77777777" w:rsidR="0000393E" w:rsidRPr="000956C5" w:rsidRDefault="0000393E" w:rsidP="0000393E">
            <w:pPr>
              <w:ind w:left="-5"/>
              <w:rPr>
                <w:rFonts w:asciiTheme="minorHAnsi" w:hAnsiTheme="minorHAnsi" w:cstheme="minorHAnsi"/>
                <w:b/>
                <w:bCs/>
                <w:sz w:val="22"/>
                <w:szCs w:val="22"/>
              </w:rPr>
            </w:pPr>
            <w:r w:rsidRPr="000956C5">
              <w:rPr>
                <w:rFonts w:asciiTheme="minorHAnsi" w:hAnsiTheme="minorHAnsi" w:cstheme="minorHAnsi"/>
                <w:sz w:val="22"/>
                <w:szCs w:val="22"/>
              </w:rPr>
              <w:t>Under Goal A,</w:t>
            </w:r>
            <w:r w:rsidRPr="000956C5">
              <w:rPr>
                <w:rFonts w:asciiTheme="minorHAnsi" w:hAnsiTheme="minorHAnsi" w:cstheme="minorHAnsi"/>
                <w:b/>
                <w:bCs/>
                <w:sz w:val="22"/>
                <w:szCs w:val="22"/>
              </w:rPr>
              <w:t xml:space="preserve"> </w:t>
            </w:r>
            <w:r w:rsidRPr="000956C5">
              <w:rPr>
                <w:rFonts w:asciiTheme="minorHAnsi" w:hAnsiTheme="minorHAnsi" w:cstheme="minorHAnsi"/>
                <w:sz w:val="22"/>
                <w:szCs w:val="22"/>
                <w:lang w:val="en-GB" w:eastAsia="en-GB"/>
              </w:rPr>
              <w:t>A5. Maintain Genetic diversity, it is not clear why ‘Trends in the diversity of wild species’ is included, given that the target is at genetic level. There is already an indicator for wild relatives. Maybe it is meant to be under A4?</w:t>
            </w:r>
          </w:p>
        </w:tc>
      </w:tr>
      <w:tr w:rsidR="00AD3EA1" w:rsidRPr="000956C5" w14:paraId="68F38080" w14:textId="77777777" w:rsidTr="00F87C4F">
        <w:trPr>
          <w:trHeight w:val="233"/>
        </w:trPr>
        <w:tc>
          <w:tcPr>
            <w:tcW w:w="750" w:type="dxa"/>
          </w:tcPr>
          <w:p w14:paraId="34F904A4" w14:textId="60958BF0" w:rsidR="00AD3EA1" w:rsidRPr="000956C5" w:rsidRDefault="00AD3EA1" w:rsidP="0000393E">
            <w:pPr>
              <w:rPr>
                <w:rFonts w:asciiTheme="minorHAnsi" w:hAnsiTheme="minorHAnsi" w:cstheme="minorHAnsi"/>
                <w:sz w:val="22"/>
                <w:szCs w:val="22"/>
              </w:rPr>
            </w:pPr>
            <w:r>
              <w:rPr>
                <w:rFonts w:asciiTheme="minorHAnsi" w:hAnsiTheme="minorHAnsi" w:cstheme="minorHAnsi"/>
                <w:sz w:val="22"/>
                <w:szCs w:val="22"/>
              </w:rPr>
              <w:t>2</w:t>
            </w:r>
          </w:p>
        </w:tc>
        <w:tc>
          <w:tcPr>
            <w:tcW w:w="668" w:type="dxa"/>
          </w:tcPr>
          <w:p w14:paraId="5033DA39" w14:textId="2D74273C" w:rsidR="00AD3EA1" w:rsidRPr="000956C5" w:rsidRDefault="00AD3EA1" w:rsidP="0000393E">
            <w:pPr>
              <w:rPr>
                <w:rFonts w:asciiTheme="minorHAnsi" w:hAnsiTheme="minorHAnsi" w:cstheme="minorHAnsi"/>
                <w:sz w:val="22"/>
                <w:szCs w:val="22"/>
              </w:rPr>
            </w:pPr>
            <w:r>
              <w:rPr>
                <w:rFonts w:asciiTheme="minorHAnsi" w:hAnsiTheme="minorHAnsi" w:cstheme="minorHAnsi"/>
                <w:sz w:val="22"/>
                <w:szCs w:val="22"/>
              </w:rPr>
              <w:t>10</w:t>
            </w:r>
          </w:p>
        </w:tc>
        <w:tc>
          <w:tcPr>
            <w:tcW w:w="968" w:type="dxa"/>
          </w:tcPr>
          <w:p w14:paraId="7047A3F5" w14:textId="5C11E377" w:rsidR="00AD3EA1" w:rsidRPr="000956C5" w:rsidRDefault="00AD3EA1" w:rsidP="0000393E">
            <w:pPr>
              <w:rPr>
                <w:rFonts w:asciiTheme="minorHAnsi" w:hAnsiTheme="minorHAnsi" w:cstheme="minorHAnsi"/>
                <w:sz w:val="22"/>
                <w:szCs w:val="22"/>
              </w:rPr>
            </w:pPr>
            <w:r>
              <w:rPr>
                <w:rFonts w:asciiTheme="minorHAnsi" w:hAnsiTheme="minorHAnsi" w:cstheme="minorHAnsi"/>
                <w:sz w:val="22"/>
                <w:szCs w:val="22"/>
              </w:rPr>
              <w:t>C</w:t>
            </w:r>
          </w:p>
        </w:tc>
        <w:tc>
          <w:tcPr>
            <w:tcW w:w="998" w:type="dxa"/>
            <w:gridSpan w:val="2"/>
          </w:tcPr>
          <w:p w14:paraId="0769D363" w14:textId="77777777" w:rsidR="00AD3EA1" w:rsidRPr="000956C5" w:rsidRDefault="00AD3EA1" w:rsidP="0000393E">
            <w:pPr>
              <w:rPr>
                <w:rFonts w:asciiTheme="minorHAnsi" w:hAnsiTheme="minorHAnsi" w:cstheme="minorHAnsi"/>
                <w:sz w:val="22"/>
                <w:szCs w:val="22"/>
              </w:rPr>
            </w:pPr>
          </w:p>
        </w:tc>
        <w:tc>
          <w:tcPr>
            <w:tcW w:w="6961" w:type="dxa"/>
          </w:tcPr>
          <w:p w14:paraId="01DF274E" w14:textId="7BD94464" w:rsidR="00AD3EA1" w:rsidRPr="000956C5" w:rsidRDefault="00AD3EA1" w:rsidP="0092241A">
            <w:pPr>
              <w:ind w:left="-5"/>
              <w:rPr>
                <w:rFonts w:asciiTheme="minorHAnsi" w:hAnsiTheme="minorHAnsi" w:cstheme="minorHAnsi"/>
                <w:sz w:val="22"/>
                <w:szCs w:val="22"/>
              </w:rPr>
            </w:pPr>
            <w:r>
              <w:rPr>
                <w:rFonts w:asciiTheme="minorHAnsi" w:hAnsiTheme="minorHAnsi" w:cstheme="minorHAnsi"/>
                <w:sz w:val="22"/>
                <w:szCs w:val="22"/>
              </w:rPr>
              <w:t xml:space="preserve">T1.4. (area of converted agricultural land) add SDG 2.4.1. sub-indicator 8 (10% of </w:t>
            </w:r>
            <w:r w:rsidR="0092241A">
              <w:rPr>
                <w:rFonts w:asciiTheme="minorHAnsi" w:hAnsiTheme="minorHAnsi" w:cstheme="minorHAnsi"/>
                <w:sz w:val="22"/>
                <w:szCs w:val="22"/>
              </w:rPr>
              <w:t>natural land …</w:t>
            </w:r>
            <w:r>
              <w:rPr>
                <w:rFonts w:asciiTheme="minorHAnsi" w:hAnsiTheme="minorHAnsi" w:cstheme="minorHAnsi"/>
                <w:sz w:val="22"/>
                <w:szCs w:val="22"/>
              </w:rPr>
              <w:t>)</w:t>
            </w:r>
          </w:p>
        </w:tc>
      </w:tr>
      <w:tr w:rsidR="0000393E" w:rsidRPr="000956C5" w14:paraId="2AA45D6B" w14:textId="77777777" w:rsidTr="00F87C4F">
        <w:trPr>
          <w:trHeight w:val="233"/>
        </w:trPr>
        <w:tc>
          <w:tcPr>
            <w:tcW w:w="750" w:type="dxa"/>
          </w:tcPr>
          <w:p w14:paraId="18F999B5"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4B73E58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12</w:t>
            </w:r>
          </w:p>
        </w:tc>
        <w:tc>
          <w:tcPr>
            <w:tcW w:w="968" w:type="dxa"/>
          </w:tcPr>
          <w:p w14:paraId="37AAF84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3F6FB1E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53</w:t>
            </w:r>
          </w:p>
        </w:tc>
        <w:tc>
          <w:tcPr>
            <w:tcW w:w="6961" w:type="dxa"/>
          </w:tcPr>
          <w:p w14:paraId="02F2F20E" w14:textId="77777777" w:rsidR="0000393E" w:rsidRPr="000956C5" w:rsidRDefault="0000393E" w:rsidP="0000393E">
            <w:pPr>
              <w:ind w:left="-5"/>
              <w:rPr>
                <w:rFonts w:asciiTheme="minorHAnsi" w:hAnsiTheme="minorHAnsi" w:cstheme="minorHAnsi"/>
                <w:sz w:val="22"/>
                <w:szCs w:val="22"/>
              </w:rPr>
            </w:pPr>
            <w:r w:rsidRPr="000956C5">
              <w:rPr>
                <w:rFonts w:asciiTheme="minorHAnsi" w:hAnsiTheme="minorHAnsi" w:cstheme="minorHAnsi"/>
                <w:sz w:val="22"/>
                <w:szCs w:val="22"/>
              </w:rPr>
              <w:t>‘Red List Index (SDG indicator 15.5.1)’ which is the indicator for SDG Target 15.5: Take urgent and significant action to reduce the degradation of natural habitats, halt the loss of biodiversity and, by 2020, protect and prevent the extinction of threatened species, does not measure what is in column B of this line, i.e. Trend in ex-situ conservation measures. This indicator seems inappropriate.</w:t>
            </w:r>
          </w:p>
        </w:tc>
      </w:tr>
      <w:tr w:rsidR="0000393E" w:rsidRPr="000956C5" w14:paraId="6BBBE7C3" w14:textId="77777777" w:rsidTr="00F87C4F">
        <w:trPr>
          <w:trHeight w:val="224"/>
        </w:trPr>
        <w:tc>
          <w:tcPr>
            <w:tcW w:w="750" w:type="dxa"/>
          </w:tcPr>
          <w:p w14:paraId="3081C80F"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668" w:type="dxa"/>
          </w:tcPr>
          <w:p w14:paraId="3209E21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968" w:type="dxa"/>
          </w:tcPr>
          <w:p w14:paraId="62D7B3B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998" w:type="dxa"/>
            <w:gridSpan w:val="2"/>
          </w:tcPr>
          <w:p w14:paraId="1E6EE34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6961" w:type="dxa"/>
          </w:tcPr>
          <w:p w14:paraId="6626065E" w14:textId="367C409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 xml:space="preserve">Always make reference to the correct SDG target or indicator numbers </w:t>
            </w:r>
          </w:p>
        </w:tc>
      </w:tr>
      <w:tr w:rsidR="0000393E" w:rsidRPr="000956C5" w14:paraId="0AC1C29B" w14:textId="77777777" w:rsidTr="00F87C4F">
        <w:trPr>
          <w:trHeight w:val="224"/>
        </w:trPr>
        <w:tc>
          <w:tcPr>
            <w:tcW w:w="750" w:type="dxa"/>
          </w:tcPr>
          <w:p w14:paraId="56B20A0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0"/>
                <w:szCs w:val="20"/>
              </w:rPr>
              <w:t>1</w:t>
            </w:r>
          </w:p>
        </w:tc>
        <w:tc>
          <w:tcPr>
            <w:tcW w:w="668" w:type="dxa"/>
          </w:tcPr>
          <w:p w14:paraId="7144751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968" w:type="dxa"/>
          </w:tcPr>
          <w:p w14:paraId="42EFDDC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998" w:type="dxa"/>
            <w:gridSpan w:val="2"/>
          </w:tcPr>
          <w:p w14:paraId="624370D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6961" w:type="dxa"/>
          </w:tcPr>
          <w:p w14:paraId="2E1E7C6F" w14:textId="77777777" w:rsidR="0000393E" w:rsidRDefault="0000393E" w:rsidP="0000393E">
            <w:pPr>
              <w:rPr>
                <w:rFonts w:asciiTheme="minorHAnsi" w:hAnsiTheme="minorHAnsi" w:cstheme="minorHAnsi"/>
                <w:color w:val="000000"/>
                <w:sz w:val="22"/>
                <w:szCs w:val="22"/>
                <w:lang w:val="en-GB"/>
              </w:rPr>
            </w:pPr>
            <w:r w:rsidRPr="000956C5">
              <w:rPr>
                <w:rFonts w:asciiTheme="minorHAnsi" w:hAnsiTheme="minorHAnsi" w:cstheme="minorHAnsi"/>
                <w:sz w:val="22"/>
                <w:szCs w:val="22"/>
              </w:rPr>
              <w:t xml:space="preserve">General approach to the monitoring framework: </w:t>
            </w:r>
            <w:r w:rsidRPr="000956C5">
              <w:rPr>
                <w:rFonts w:asciiTheme="minorHAnsi" w:hAnsiTheme="minorHAnsi" w:cstheme="minorHAnsi"/>
                <w:color w:val="000000"/>
                <w:sz w:val="22"/>
                <w:szCs w:val="22"/>
                <w:lang w:val="en-GB"/>
              </w:rPr>
              <w:t xml:space="preserve">there is already a well-tested and understood hierarchy of assessment tools, i.e. goals - targets/objectives - indicators - verifiers. </w:t>
            </w:r>
          </w:p>
          <w:p w14:paraId="5A42F1F7" w14:textId="3DFD010F"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color w:val="000000"/>
                <w:sz w:val="22"/>
                <w:szCs w:val="22"/>
                <w:lang w:val="en-GB"/>
              </w:rPr>
              <w:t>What is called "milestone" in the proposed post-2020 monitoring framework would actually be a target or objective, "element" an indicators, and what is called an "indicator" would be a verifier. This application of terms as done here risks generating confusion.</w:t>
            </w:r>
          </w:p>
        </w:tc>
      </w:tr>
      <w:tr w:rsidR="0000393E" w:rsidRPr="000956C5" w14:paraId="39C307A6" w14:textId="77777777" w:rsidTr="00F87C4F">
        <w:trPr>
          <w:trHeight w:val="224"/>
        </w:trPr>
        <w:tc>
          <w:tcPr>
            <w:tcW w:w="750" w:type="dxa"/>
          </w:tcPr>
          <w:p w14:paraId="249FAAB8"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0"/>
                <w:szCs w:val="20"/>
              </w:rPr>
              <w:t>1</w:t>
            </w:r>
          </w:p>
        </w:tc>
        <w:tc>
          <w:tcPr>
            <w:tcW w:w="668" w:type="dxa"/>
          </w:tcPr>
          <w:p w14:paraId="78E884C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968" w:type="dxa"/>
          </w:tcPr>
          <w:p w14:paraId="32497ED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7842F59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961" w:type="dxa"/>
          </w:tcPr>
          <w:p w14:paraId="0F7BD98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color w:val="000000"/>
                <w:sz w:val="22"/>
                <w:szCs w:val="22"/>
                <w:lang w:val="en-GB"/>
              </w:rPr>
              <w:t>FAO pointed out already that this indicator (tree cover loss) is different from the global definition of "forests" and recommends its deletion.</w:t>
            </w:r>
          </w:p>
        </w:tc>
      </w:tr>
      <w:tr w:rsidR="0000393E" w:rsidRPr="000956C5" w14:paraId="489E47B3" w14:textId="77777777" w:rsidTr="00F87C4F">
        <w:trPr>
          <w:trHeight w:val="233"/>
        </w:trPr>
        <w:tc>
          <w:tcPr>
            <w:tcW w:w="750" w:type="dxa"/>
          </w:tcPr>
          <w:p w14:paraId="19F14E3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w:t>
            </w:r>
          </w:p>
        </w:tc>
        <w:tc>
          <w:tcPr>
            <w:tcW w:w="668" w:type="dxa"/>
          </w:tcPr>
          <w:p w14:paraId="279935FF"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4</w:t>
            </w:r>
          </w:p>
        </w:tc>
        <w:tc>
          <w:tcPr>
            <w:tcW w:w="968" w:type="dxa"/>
          </w:tcPr>
          <w:p w14:paraId="430505F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61A51A7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39</w:t>
            </w:r>
          </w:p>
        </w:tc>
        <w:tc>
          <w:tcPr>
            <w:tcW w:w="6961" w:type="dxa"/>
          </w:tcPr>
          <w:p w14:paraId="5BA6671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This is SDG 2.5.2.</w:t>
            </w:r>
          </w:p>
        </w:tc>
      </w:tr>
      <w:tr w:rsidR="0000393E" w:rsidRPr="000956C5" w14:paraId="4F74C3D4" w14:textId="77777777" w:rsidTr="00F87C4F">
        <w:trPr>
          <w:trHeight w:val="233"/>
        </w:trPr>
        <w:tc>
          <w:tcPr>
            <w:tcW w:w="750" w:type="dxa"/>
          </w:tcPr>
          <w:p w14:paraId="065D241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0"/>
                <w:szCs w:val="20"/>
              </w:rPr>
              <w:t>1</w:t>
            </w:r>
          </w:p>
        </w:tc>
        <w:tc>
          <w:tcPr>
            <w:tcW w:w="668" w:type="dxa"/>
          </w:tcPr>
          <w:p w14:paraId="78941E4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w:t>
            </w:r>
          </w:p>
        </w:tc>
        <w:tc>
          <w:tcPr>
            <w:tcW w:w="968" w:type="dxa"/>
          </w:tcPr>
          <w:p w14:paraId="6843B7A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3CBA40D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51</w:t>
            </w:r>
          </w:p>
        </w:tc>
        <w:tc>
          <w:tcPr>
            <w:tcW w:w="6961" w:type="dxa"/>
          </w:tcPr>
          <w:p w14:paraId="776F48A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color w:val="000000"/>
                <w:sz w:val="22"/>
                <w:szCs w:val="22"/>
                <w:lang w:val="en-GB"/>
              </w:rPr>
              <w:t>FAO considers this indicator approach (to request “certified forests”) problematic, if this logic is followed, all PAs should also be requested to have verified impacts on biodiversity conservation.</w:t>
            </w:r>
          </w:p>
        </w:tc>
      </w:tr>
      <w:tr w:rsidR="0000393E" w:rsidRPr="000956C5" w14:paraId="11977F5B" w14:textId="77777777" w:rsidTr="00F87C4F">
        <w:trPr>
          <w:trHeight w:val="233"/>
        </w:trPr>
        <w:tc>
          <w:tcPr>
            <w:tcW w:w="750" w:type="dxa"/>
          </w:tcPr>
          <w:p w14:paraId="2CC21B9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44B0A208"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8</w:t>
            </w:r>
          </w:p>
        </w:tc>
        <w:tc>
          <w:tcPr>
            <w:tcW w:w="968" w:type="dxa"/>
          </w:tcPr>
          <w:p w14:paraId="42361D0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5D36975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10</w:t>
            </w:r>
          </w:p>
        </w:tc>
        <w:tc>
          <w:tcPr>
            <w:tcW w:w="6961" w:type="dxa"/>
          </w:tcPr>
          <w:p w14:paraId="297A967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For consistency, please make reference to SDG 15.4.2 in both Table 2 and Table 3. While the SDG Indicator 15.4.2 is mentioned in the document ‘Draft monitoring framework for the post-2020 global biodiversity framework for review’ (p.8, Table 2) as one of the Indicators to be used for monitoring the element ‘Trends in extent and rate of change of other terrestrial ecosystems’, it has not been included in the document ‘Indicators for the post-2020 global biodiversity framework’ (pp. 42-43, Table 3)</w:t>
            </w:r>
          </w:p>
        </w:tc>
      </w:tr>
      <w:tr w:rsidR="0000393E" w:rsidRPr="000956C5" w14:paraId="281EC1C3" w14:textId="77777777" w:rsidTr="00F87C4F">
        <w:trPr>
          <w:trHeight w:val="233"/>
        </w:trPr>
        <w:tc>
          <w:tcPr>
            <w:tcW w:w="750" w:type="dxa"/>
          </w:tcPr>
          <w:p w14:paraId="138328F9"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0385369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8</w:t>
            </w:r>
          </w:p>
        </w:tc>
        <w:tc>
          <w:tcPr>
            <w:tcW w:w="968" w:type="dxa"/>
          </w:tcPr>
          <w:p w14:paraId="6662252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49832D1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8</w:t>
            </w:r>
          </w:p>
        </w:tc>
        <w:tc>
          <w:tcPr>
            <w:tcW w:w="6961" w:type="dxa"/>
          </w:tcPr>
          <w:p w14:paraId="25F8AA7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Trends in land cover change (SDG indicator 15.3.1) - incorrect use of 15.3.1 as it refers to a sub-indicator of 15.3.1</w:t>
            </w:r>
          </w:p>
        </w:tc>
      </w:tr>
      <w:tr w:rsidR="0000393E" w:rsidRPr="000956C5" w14:paraId="31219BDD" w14:textId="77777777" w:rsidTr="00F87C4F">
        <w:trPr>
          <w:trHeight w:val="233"/>
        </w:trPr>
        <w:tc>
          <w:tcPr>
            <w:tcW w:w="750" w:type="dxa"/>
          </w:tcPr>
          <w:p w14:paraId="54B6C89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0"/>
                <w:szCs w:val="20"/>
              </w:rPr>
              <w:t>2</w:t>
            </w:r>
          </w:p>
        </w:tc>
        <w:tc>
          <w:tcPr>
            <w:tcW w:w="668" w:type="dxa"/>
          </w:tcPr>
          <w:p w14:paraId="4CE4F91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8</w:t>
            </w:r>
          </w:p>
        </w:tc>
        <w:tc>
          <w:tcPr>
            <w:tcW w:w="968" w:type="dxa"/>
          </w:tcPr>
          <w:p w14:paraId="28F8B1D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2E32D52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w:t>
            </w:r>
          </w:p>
        </w:tc>
        <w:tc>
          <w:tcPr>
            <w:tcW w:w="6961" w:type="dxa"/>
          </w:tcPr>
          <w:p w14:paraId="0ED6D08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color w:val="000000"/>
                <w:sz w:val="22"/>
                <w:szCs w:val="22"/>
                <w:lang w:val="en-GB"/>
              </w:rPr>
              <w:t>For this monitoring element, FAO suggests “forest area with long-term forest management plans” as additional relevant indicator, from FAO’s Global Forest Resources Assessment.</w:t>
            </w:r>
          </w:p>
        </w:tc>
      </w:tr>
      <w:tr w:rsidR="0000393E" w:rsidRPr="000956C5" w14:paraId="623AB2BE" w14:textId="77777777" w:rsidTr="00F87C4F">
        <w:trPr>
          <w:trHeight w:val="233"/>
        </w:trPr>
        <w:tc>
          <w:tcPr>
            <w:tcW w:w="750" w:type="dxa"/>
          </w:tcPr>
          <w:p w14:paraId="58A8CB7E"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2"/>
                <w:szCs w:val="22"/>
              </w:rPr>
              <w:t>2</w:t>
            </w:r>
          </w:p>
        </w:tc>
        <w:tc>
          <w:tcPr>
            <w:tcW w:w="668" w:type="dxa"/>
          </w:tcPr>
          <w:p w14:paraId="2B2B730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9</w:t>
            </w:r>
          </w:p>
        </w:tc>
        <w:tc>
          <w:tcPr>
            <w:tcW w:w="968" w:type="dxa"/>
          </w:tcPr>
          <w:p w14:paraId="33B28549"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7B568215"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21</w:t>
            </w:r>
          </w:p>
        </w:tc>
        <w:tc>
          <w:tcPr>
            <w:tcW w:w="6961" w:type="dxa"/>
          </w:tcPr>
          <w:p w14:paraId="5D24CD23"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 xml:space="preserve">‘Percentage of cropped landscapes with at least 10% natural land’ </w:t>
            </w:r>
          </w:p>
          <w:p w14:paraId="71D6CAB4"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 xml:space="preserve">is mentioned as available data by Bioversity International. We cannot find online these data nor the metadata, therefore suggest to remove.  </w:t>
            </w:r>
          </w:p>
          <w:p w14:paraId="5997CC1D" w14:textId="77777777" w:rsidR="0000393E" w:rsidRPr="000956C5" w:rsidRDefault="0000393E" w:rsidP="0000393E">
            <w:pPr>
              <w:autoSpaceDE w:val="0"/>
              <w:autoSpaceDN w:val="0"/>
              <w:adjustRightInd w:val="0"/>
              <w:rPr>
                <w:rFonts w:asciiTheme="minorHAnsi" w:hAnsiTheme="minorHAnsi" w:cstheme="minorHAnsi"/>
                <w:sz w:val="22"/>
                <w:szCs w:val="22"/>
              </w:rPr>
            </w:pPr>
          </w:p>
          <w:p w14:paraId="705C9E2B" w14:textId="77777777" w:rsidR="0000393E" w:rsidRPr="000956C5" w:rsidRDefault="0000393E" w:rsidP="0000393E">
            <w:pPr>
              <w:rPr>
                <w:rFonts w:asciiTheme="minorHAnsi" w:hAnsiTheme="minorHAnsi" w:cstheme="minorHAnsi"/>
                <w:color w:val="000000"/>
                <w:sz w:val="22"/>
                <w:szCs w:val="22"/>
                <w:lang w:val="en-GB"/>
              </w:rPr>
            </w:pPr>
            <w:r w:rsidRPr="000956C5">
              <w:rPr>
                <w:rFonts w:asciiTheme="minorHAnsi" w:hAnsiTheme="minorHAnsi" w:cstheme="minorHAnsi"/>
                <w:sz w:val="22"/>
                <w:szCs w:val="22"/>
              </w:rPr>
              <w:t xml:space="preserve">The inclusion of natural land is an agreed sub-indicator under SDG 2.4.1.-biodiversity component. Yet it is not available from 2015, as 2.4.1. is still a tier 2 indicator. </w:t>
            </w:r>
          </w:p>
        </w:tc>
      </w:tr>
      <w:tr w:rsidR="0000393E" w:rsidRPr="000956C5" w14:paraId="17B7884F" w14:textId="77777777" w:rsidTr="00F87C4F">
        <w:trPr>
          <w:trHeight w:val="233"/>
        </w:trPr>
        <w:tc>
          <w:tcPr>
            <w:tcW w:w="750" w:type="dxa"/>
          </w:tcPr>
          <w:p w14:paraId="2E643A39"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2"/>
                <w:szCs w:val="22"/>
              </w:rPr>
              <w:t>2</w:t>
            </w:r>
          </w:p>
        </w:tc>
        <w:tc>
          <w:tcPr>
            <w:tcW w:w="668" w:type="dxa"/>
          </w:tcPr>
          <w:p w14:paraId="089009E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9</w:t>
            </w:r>
          </w:p>
        </w:tc>
        <w:tc>
          <w:tcPr>
            <w:tcW w:w="968" w:type="dxa"/>
          </w:tcPr>
          <w:p w14:paraId="3A3FC249"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6C375A72"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21</w:t>
            </w:r>
          </w:p>
        </w:tc>
        <w:tc>
          <w:tcPr>
            <w:tcW w:w="6961" w:type="dxa"/>
          </w:tcPr>
          <w:p w14:paraId="110FFD37" w14:textId="35EEFFC8" w:rsidR="0000393E" w:rsidRPr="000956C5" w:rsidRDefault="0000393E" w:rsidP="0000393E">
            <w:pPr>
              <w:autoSpaceDE w:val="0"/>
              <w:autoSpaceDN w:val="0"/>
              <w:adjustRightInd w:val="0"/>
              <w:rPr>
                <w:rFonts w:asciiTheme="minorHAnsi" w:hAnsiTheme="minorHAnsi" w:cstheme="minorHAnsi"/>
                <w:color w:val="000000"/>
                <w:sz w:val="22"/>
                <w:szCs w:val="22"/>
                <w:lang w:val="en-GB"/>
              </w:rPr>
            </w:pPr>
            <w:r w:rsidRPr="000956C5">
              <w:rPr>
                <w:rFonts w:asciiTheme="minorHAnsi" w:hAnsiTheme="minorHAnsi" w:cstheme="minorHAnsi"/>
                <w:sz w:val="22"/>
                <w:szCs w:val="22"/>
              </w:rPr>
              <w:t>‘Percentage of cropped landscapes with at least 10% natural land’ is mentioned to assess ‘Trends in forest and agriculture lands as a proportion of total land area’</w:t>
            </w:r>
          </w:p>
        </w:tc>
      </w:tr>
      <w:tr w:rsidR="0000393E" w:rsidRPr="000956C5" w14:paraId="34087B79" w14:textId="77777777" w:rsidTr="00F87C4F">
        <w:trPr>
          <w:trHeight w:val="233"/>
        </w:trPr>
        <w:tc>
          <w:tcPr>
            <w:tcW w:w="750" w:type="dxa"/>
          </w:tcPr>
          <w:p w14:paraId="5A9DB5E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4212456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9</w:t>
            </w:r>
          </w:p>
        </w:tc>
        <w:tc>
          <w:tcPr>
            <w:tcW w:w="968" w:type="dxa"/>
          </w:tcPr>
          <w:p w14:paraId="354BC2D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1D8EB8E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24</w:t>
            </w:r>
          </w:p>
        </w:tc>
        <w:tc>
          <w:tcPr>
            <w:tcW w:w="6961" w:type="dxa"/>
          </w:tcPr>
          <w:p w14:paraId="143772E5"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Use correct SDG: Proportion of land that is degraded over total land area (SDG indicator 15.3.1) – correct title of 15.3.1</w:t>
            </w:r>
          </w:p>
        </w:tc>
      </w:tr>
      <w:tr w:rsidR="0000393E" w:rsidRPr="000956C5" w14:paraId="29BA832F" w14:textId="77777777" w:rsidTr="00F87C4F">
        <w:trPr>
          <w:trHeight w:val="224"/>
        </w:trPr>
        <w:tc>
          <w:tcPr>
            <w:tcW w:w="750" w:type="dxa"/>
          </w:tcPr>
          <w:p w14:paraId="1BC03362"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446DE71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10</w:t>
            </w:r>
          </w:p>
        </w:tc>
        <w:tc>
          <w:tcPr>
            <w:tcW w:w="968" w:type="dxa"/>
          </w:tcPr>
          <w:p w14:paraId="1F53225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4B34824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29</w:t>
            </w:r>
          </w:p>
        </w:tc>
        <w:tc>
          <w:tcPr>
            <w:tcW w:w="6961" w:type="dxa"/>
          </w:tcPr>
          <w:p w14:paraId="2A343552"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‘Percentage of cropped landscapes with at least 10% natural land’ is mentioned to assess ‘Trend in the area of converted agricultural lands restored’</w:t>
            </w:r>
          </w:p>
          <w:p w14:paraId="5F529447"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What would be the baseline of degraded cropland that has been restored?</w:t>
            </w:r>
          </w:p>
        </w:tc>
      </w:tr>
      <w:tr w:rsidR="0000393E" w:rsidRPr="000956C5" w14:paraId="20BDBDD4" w14:textId="77777777" w:rsidTr="00F87C4F">
        <w:trPr>
          <w:trHeight w:val="233"/>
        </w:trPr>
        <w:tc>
          <w:tcPr>
            <w:tcW w:w="750" w:type="dxa"/>
          </w:tcPr>
          <w:p w14:paraId="24DED8E9"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48DF98D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12</w:t>
            </w:r>
          </w:p>
        </w:tc>
        <w:tc>
          <w:tcPr>
            <w:tcW w:w="968" w:type="dxa"/>
          </w:tcPr>
          <w:p w14:paraId="31C6196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5FE3165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55</w:t>
            </w:r>
          </w:p>
        </w:tc>
        <w:tc>
          <w:tcPr>
            <w:tcW w:w="6961" w:type="dxa"/>
          </w:tcPr>
          <w:p w14:paraId="724066D8" w14:textId="77777777" w:rsidR="0000393E" w:rsidRPr="000956C5" w:rsidRDefault="0000393E" w:rsidP="0000393E">
            <w:pPr>
              <w:ind w:left="3" w:hanging="3"/>
              <w:rPr>
                <w:rFonts w:asciiTheme="minorHAnsi" w:hAnsiTheme="minorHAnsi" w:cstheme="minorHAnsi"/>
                <w:color w:val="000000"/>
                <w:sz w:val="22"/>
                <w:szCs w:val="22"/>
                <w:lang w:val="en-GB" w:eastAsia="en-GB"/>
              </w:rPr>
            </w:pPr>
            <w:r w:rsidRPr="000956C5">
              <w:rPr>
                <w:rFonts w:asciiTheme="minorHAnsi" w:hAnsiTheme="minorHAnsi" w:cstheme="minorHAnsi"/>
                <w:color w:val="000000"/>
                <w:sz w:val="22"/>
                <w:szCs w:val="22"/>
              </w:rPr>
              <w:t>The setting a % number of</w:t>
            </w:r>
            <w:r w:rsidRPr="000956C5">
              <w:rPr>
                <w:rStyle w:val="apple-converted-space"/>
                <w:rFonts w:asciiTheme="minorHAnsi" w:hAnsiTheme="minorHAnsi" w:cstheme="minorHAnsi"/>
                <w:color w:val="000000"/>
                <w:sz w:val="22"/>
                <w:szCs w:val="22"/>
              </w:rPr>
              <w:t> </w:t>
            </w:r>
            <w:r w:rsidRPr="000956C5">
              <w:rPr>
                <w:rFonts w:asciiTheme="minorHAnsi" w:hAnsiTheme="minorHAnsi" w:cstheme="minorHAnsi"/>
                <w:i/>
                <w:iCs/>
                <w:color w:val="000000"/>
                <w:sz w:val="22"/>
                <w:szCs w:val="22"/>
              </w:rPr>
              <w:t>‘reduced HWCs’</w:t>
            </w:r>
            <w:r w:rsidRPr="000956C5">
              <w:rPr>
                <w:rStyle w:val="apple-converted-space"/>
                <w:rFonts w:asciiTheme="minorHAnsi" w:hAnsiTheme="minorHAnsi" w:cstheme="minorHAnsi"/>
                <w:color w:val="000000"/>
                <w:sz w:val="22"/>
                <w:szCs w:val="22"/>
              </w:rPr>
              <w:t> </w:t>
            </w:r>
            <w:r w:rsidRPr="000956C5">
              <w:rPr>
                <w:rFonts w:asciiTheme="minorHAnsi" w:hAnsiTheme="minorHAnsi" w:cstheme="minorHAnsi"/>
                <w:color w:val="000000"/>
                <w:sz w:val="22"/>
                <w:szCs w:val="22"/>
              </w:rPr>
              <w:t>might be a rather complex exercise. Reduction of HWCs could be addressed from various angles, such as i) reducing crop/livestock losses ii) reducing retaliation or anger towards species; iii) reducing actual killing of species because of HWC; iv) reducing negative interactions in general. Further clarification of the term is necessary.</w:t>
            </w:r>
          </w:p>
          <w:p w14:paraId="4AA911F6" w14:textId="77777777" w:rsidR="0000393E" w:rsidRPr="000956C5" w:rsidRDefault="0000393E" w:rsidP="0000393E">
            <w:pPr>
              <w:pStyle w:val="ListParagraph"/>
              <w:ind w:left="0"/>
              <w:rPr>
                <w:rStyle w:val="apple-converted-space"/>
                <w:rFonts w:asciiTheme="minorHAnsi" w:hAnsiTheme="minorHAnsi" w:cstheme="minorHAnsi"/>
                <w:color w:val="000000"/>
                <w:sz w:val="22"/>
                <w:szCs w:val="22"/>
              </w:rPr>
            </w:pPr>
            <w:r w:rsidRPr="000956C5">
              <w:rPr>
                <w:rFonts w:asciiTheme="minorHAnsi" w:hAnsiTheme="minorHAnsi" w:cstheme="minorHAnsi"/>
                <w:color w:val="000000"/>
                <w:sz w:val="22"/>
                <w:szCs w:val="22"/>
              </w:rPr>
              <w:t>In relation to the monitoring elements (i.e.</w:t>
            </w:r>
            <w:r w:rsidRPr="000956C5">
              <w:rPr>
                <w:rStyle w:val="apple-converted-space"/>
                <w:rFonts w:asciiTheme="minorHAnsi" w:hAnsiTheme="minorHAnsi" w:cstheme="minorHAnsi"/>
                <w:color w:val="000000"/>
                <w:sz w:val="22"/>
                <w:szCs w:val="22"/>
              </w:rPr>
              <w:t> </w:t>
            </w:r>
            <w:r w:rsidRPr="000956C5">
              <w:rPr>
                <w:rFonts w:asciiTheme="minorHAnsi" w:hAnsiTheme="minorHAnsi" w:cstheme="minorHAnsi"/>
                <w:i/>
                <w:iCs/>
                <w:color w:val="000000"/>
                <w:sz w:val="22"/>
                <w:szCs w:val="22"/>
              </w:rPr>
              <w:t>trends in human-wildlife conflicts</w:t>
            </w:r>
            <w:r w:rsidRPr="000956C5">
              <w:rPr>
                <w:rFonts w:asciiTheme="minorHAnsi" w:hAnsiTheme="minorHAnsi" w:cstheme="minorHAnsi"/>
                <w:color w:val="000000"/>
                <w:sz w:val="22"/>
                <w:szCs w:val="22"/>
              </w:rPr>
              <w:t>) these can be further expanded as follows:</w:t>
            </w:r>
            <w:r w:rsidRPr="000956C5">
              <w:rPr>
                <w:rStyle w:val="apple-converted-space"/>
                <w:rFonts w:asciiTheme="minorHAnsi" w:hAnsiTheme="minorHAnsi" w:cstheme="minorHAnsi"/>
                <w:color w:val="000000"/>
                <w:sz w:val="22"/>
                <w:szCs w:val="22"/>
              </w:rPr>
              <w:t> </w:t>
            </w:r>
          </w:p>
          <w:p w14:paraId="2F9AE44D" w14:textId="77777777" w:rsidR="0000393E" w:rsidRPr="000956C5" w:rsidRDefault="0000393E" w:rsidP="0000393E">
            <w:pPr>
              <w:pStyle w:val="ListParagraph"/>
              <w:numPr>
                <w:ilvl w:val="0"/>
                <w:numId w:val="12"/>
              </w:numPr>
              <w:rPr>
                <w:rFonts w:asciiTheme="minorHAnsi" w:hAnsiTheme="minorHAnsi" w:cstheme="minorHAnsi"/>
                <w:color w:val="000000"/>
                <w:sz w:val="22"/>
                <w:szCs w:val="22"/>
              </w:rPr>
            </w:pPr>
            <w:r w:rsidRPr="000956C5">
              <w:rPr>
                <w:rFonts w:asciiTheme="minorHAnsi" w:hAnsiTheme="minorHAnsi" w:cstheme="minorHAnsi"/>
                <w:color w:val="000000"/>
                <w:sz w:val="22"/>
                <w:szCs w:val="22"/>
              </w:rPr>
              <w:t>Species and conservation areas (e.g. for which and how many species HWC is a threat; where do most HWCs occur; which countries have the most HWC probability);</w:t>
            </w:r>
          </w:p>
          <w:p w14:paraId="06569DBB" w14:textId="77777777" w:rsidR="0000393E" w:rsidRPr="000956C5" w:rsidRDefault="0000393E" w:rsidP="0000393E">
            <w:pPr>
              <w:pStyle w:val="ListParagraph"/>
              <w:numPr>
                <w:ilvl w:val="0"/>
                <w:numId w:val="12"/>
              </w:numPr>
              <w:rPr>
                <w:rStyle w:val="apple-converted-space"/>
                <w:rFonts w:asciiTheme="minorHAnsi" w:hAnsiTheme="minorHAnsi" w:cstheme="minorHAnsi"/>
                <w:color w:val="000000"/>
                <w:sz w:val="22"/>
                <w:szCs w:val="22"/>
              </w:rPr>
            </w:pPr>
            <w:r w:rsidRPr="000956C5">
              <w:rPr>
                <w:rFonts w:asciiTheme="minorHAnsi" w:hAnsiTheme="minorHAnsi" w:cstheme="minorHAnsi"/>
                <w:color w:val="000000"/>
                <w:sz w:val="22"/>
                <w:szCs w:val="22"/>
              </w:rPr>
              <w:t>People and communities (e.g. how much agricultural land area is prone to HWC; how many people are (directly) affected by HWC globally and which groups are most affected);</w:t>
            </w:r>
            <w:r w:rsidRPr="000956C5">
              <w:rPr>
                <w:rStyle w:val="apple-converted-space"/>
                <w:rFonts w:asciiTheme="minorHAnsi" w:hAnsiTheme="minorHAnsi" w:cstheme="minorHAnsi"/>
                <w:color w:val="000000"/>
                <w:sz w:val="22"/>
                <w:szCs w:val="22"/>
              </w:rPr>
              <w:t> </w:t>
            </w:r>
          </w:p>
          <w:p w14:paraId="14AA92C6" w14:textId="77777777" w:rsidR="0000393E" w:rsidRPr="000956C5" w:rsidRDefault="0000393E" w:rsidP="0000393E">
            <w:pPr>
              <w:pStyle w:val="ListParagraph"/>
              <w:numPr>
                <w:ilvl w:val="0"/>
                <w:numId w:val="12"/>
              </w:numPr>
              <w:rPr>
                <w:rStyle w:val="apple-converted-space"/>
                <w:rFonts w:asciiTheme="minorHAnsi" w:hAnsiTheme="minorHAnsi" w:cstheme="minorHAnsi"/>
                <w:color w:val="000000"/>
                <w:sz w:val="22"/>
                <w:szCs w:val="22"/>
              </w:rPr>
            </w:pPr>
            <w:r w:rsidRPr="000956C5">
              <w:rPr>
                <w:rStyle w:val="apple-converted-space"/>
                <w:rFonts w:asciiTheme="minorHAnsi" w:hAnsiTheme="minorHAnsi" w:cstheme="minorHAnsi"/>
                <w:color w:val="000000"/>
                <w:sz w:val="22"/>
                <w:szCs w:val="22"/>
              </w:rPr>
              <w:t> </w:t>
            </w:r>
            <w:r w:rsidRPr="000956C5">
              <w:rPr>
                <w:rFonts w:asciiTheme="minorHAnsi" w:hAnsiTheme="minorHAnsi" w:cstheme="minorHAnsi"/>
                <w:color w:val="000000"/>
                <w:sz w:val="22"/>
                <w:szCs w:val="22"/>
              </w:rPr>
              <w:t>Economic impacts (what does this issue cost countries; how do countries approach HWC in policy and legal frameworks and etc);</w:t>
            </w:r>
            <w:r w:rsidRPr="000956C5">
              <w:rPr>
                <w:rStyle w:val="apple-converted-space"/>
                <w:rFonts w:asciiTheme="minorHAnsi" w:hAnsiTheme="minorHAnsi" w:cstheme="minorHAnsi"/>
                <w:color w:val="000000"/>
                <w:sz w:val="22"/>
                <w:szCs w:val="22"/>
              </w:rPr>
              <w:t> </w:t>
            </w:r>
          </w:p>
          <w:p w14:paraId="17E6473D" w14:textId="77777777" w:rsidR="0000393E" w:rsidRPr="000956C5" w:rsidRDefault="0000393E" w:rsidP="0000393E">
            <w:pPr>
              <w:rPr>
                <w:rFonts w:asciiTheme="minorHAnsi" w:hAnsiTheme="minorHAnsi" w:cstheme="minorHAnsi"/>
                <w:color w:val="000000"/>
                <w:sz w:val="22"/>
                <w:szCs w:val="22"/>
                <w:lang w:val="en-GB"/>
              </w:rPr>
            </w:pPr>
            <w:r w:rsidRPr="000956C5">
              <w:rPr>
                <w:rStyle w:val="apple-converted-space"/>
                <w:rFonts w:asciiTheme="minorHAnsi" w:hAnsiTheme="minorHAnsi" w:cstheme="minorHAnsi"/>
                <w:color w:val="000000"/>
                <w:sz w:val="22"/>
                <w:szCs w:val="22"/>
              </w:rPr>
              <w:t> </w:t>
            </w:r>
            <w:r w:rsidRPr="000956C5">
              <w:rPr>
                <w:rFonts w:asciiTheme="minorHAnsi" w:hAnsiTheme="minorHAnsi" w:cstheme="minorHAnsi"/>
                <w:color w:val="000000"/>
                <w:sz w:val="22"/>
                <w:szCs w:val="22"/>
              </w:rPr>
              <w:t>Capacity &amp; knowledge; Policy &amp; resources (e.g. To what extent do countries have detailed HWC management strategies and/or policies)</w:t>
            </w:r>
          </w:p>
        </w:tc>
      </w:tr>
      <w:tr w:rsidR="0000393E" w:rsidRPr="000956C5" w14:paraId="5B2DEA95" w14:textId="77777777" w:rsidTr="00F87C4F">
        <w:trPr>
          <w:trHeight w:val="233"/>
        </w:trPr>
        <w:tc>
          <w:tcPr>
            <w:tcW w:w="750" w:type="dxa"/>
          </w:tcPr>
          <w:p w14:paraId="1D63D2B4"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39F18D2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13</w:t>
            </w:r>
          </w:p>
        </w:tc>
        <w:tc>
          <w:tcPr>
            <w:tcW w:w="968" w:type="dxa"/>
          </w:tcPr>
          <w:p w14:paraId="5316D17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A</w:t>
            </w:r>
          </w:p>
        </w:tc>
        <w:tc>
          <w:tcPr>
            <w:tcW w:w="998" w:type="dxa"/>
            <w:gridSpan w:val="2"/>
          </w:tcPr>
          <w:p w14:paraId="6A0AC9F5"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56,61,64</w:t>
            </w:r>
          </w:p>
        </w:tc>
        <w:tc>
          <w:tcPr>
            <w:tcW w:w="6961" w:type="dxa"/>
          </w:tcPr>
          <w:p w14:paraId="56DDF45F" w14:textId="77777777" w:rsidR="0000393E" w:rsidRPr="000956C5" w:rsidRDefault="0000393E" w:rsidP="0000393E">
            <w:pPr>
              <w:ind w:left="3" w:hanging="3"/>
              <w:rPr>
                <w:rFonts w:asciiTheme="minorHAnsi" w:hAnsiTheme="minorHAnsi" w:cstheme="minorHAnsi"/>
                <w:color w:val="000000"/>
                <w:sz w:val="22"/>
                <w:szCs w:val="22"/>
              </w:rPr>
            </w:pPr>
            <w:r w:rsidRPr="000956C5">
              <w:rPr>
                <w:rFonts w:asciiTheme="minorHAnsi" w:hAnsiTheme="minorHAnsi" w:cstheme="minorHAnsi"/>
                <w:color w:val="000000"/>
                <w:sz w:val="22"/>
                <w:szCs w:val="22"/>
              </w:rPr>
              <w:t xml:space="preserve">Strong suggestion to define well the terms “harvest”, “use” and “trade”. </w:t>
            </w:r>
          </w:p>
        </w:tc>
      </w:tr>
      <w:tr w:rsidR="0000393E" w:rsidRPr="000956C5" w14:paraId="2A645952" w14:textId="77777777" w:rsidTr="00F87C4F">
        <w:trPr>
          <w:trHeight w:val="233"/>
        </w:trPr>
        <w:tc>
          <w:tcPr>
            <w:tcW w:w="750" w:type="dxa"/>
          </w:tcPr>
          <w:p w14:paraId="4FD71FBC"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5D0116D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13</w:t>
            </w:r>
          </w:p>
        </w:tc>
        <w:tc>
          <w:tcPr>
            <w:tcW w:w="968" w:type="dxa"/>
          </w:tcPr>
          <w:p w14:paraId="737D107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w:t>
            </w:r>
          </w:p>
        </w:tc>
        <w:tc>
          <w:tcPr>
            <w:tcW w:w="998" w:type="dxa"/>
            <w:gridSpan w:val="2"/>
          </w:tcPr>
          <w:p w14:paraId="6F8A58D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56</w:t>
            </w:r>
          </w:p>
        </w:tc>
        <w:tc>
          <w:tcPr>
            <w:tcW w:w="6961" w:type="dxa"/>
          </w:tcPr>
          <w:p w14:paraId="322CDBCA" w14:textId="77777777" w:rsidR="0000393E" w:rsidRPr="000956C5" w:rsidRDefault="0000393E" w:rsidP="0000393E">
            <w:pPr>
              <w:ind w:left="3" w:hanging="3"/>
              <w:rPr>
                <w:rFonts w:asciiTheme="minorHAnsi" w:hAnsiTheme="minorHAnsi" w:cstheme="minorHAnsi"/>
                <w:color w:val="000000"/>
                <w:sz w:val="22"/>
                <w:szCs w:val="22"/>
              </w:rPr>
            </w:pPr>
            <w:r w:rsidRPr="000956C5">
              <w:rPr>
                <w:rFonts w:asciiTheme="minorHAnsi" w:hAnsiTheme="minorHAnsi" w:cstheme="minorHAnsi"/>
                <w:color w:val="000000"/>
                <w:sz w:val="22"/>
                <w:szCs w:val="22"/>
              </w:rPr>
              <w:t>The question of legality involves the assumption that the legal framework is appropriate to support sustainability and safety, which is not really the case in many countries. Harvest may be legal but still unsustainable and unsafe because regulations are inappropriate. Illegal harvest may not be unsustainable. Legality act as an effective enabling condition to sustainability and safety only</w:t>
            </w:r>
            <w:r w:rsidRPr="000956C5">
              <w:rPr>
                <w:rStyle w:val="apple-converted-space"/>
                <w:rFonts w:asciiTheme="minorHAnsi" w:hAnsiTheme="minorHAnsi" w:cstheme="minorHAnsi"/>
                <w:color w:val="000000"/>
                <w:sz w:val="22"/>
                <w:szCs w:val="22"/>
              </w:rPr>
              <w:t> </w:t>
            </w:r>
            <w:r w:rsidRPr="000956C5">
              <w:rPr>
                <w:rFonts w:asciiTheme="minorHAnsi" w:hAnsiTheme="minorHAnsi" w:cstheme="minorHAnsi"/>
                <w:b/>
                <w:bCs/>
                <w:color w:val="000000"/>
                <w:sz w:val="22"/>
                <w:szCs w:val="22"/>
                <w:u w:val="single"/>
              </w:rPr>
              <w:t>if  it is aligned with ecological, socio-cultural and economic realities</w:t>
            </w:r>
            <w:r w:rsidRPr="000956C5">
              <w:rPr>
                <w:rFonts w:asciiTheme="minorHAnsi" w:hAnsiTheme="minorHAnsi" w:cstheme="minorHAnsi"/>
                <w:color w:val="000000"/>
                <w:sz w:val="22"/>
                <w:szCs w:val="22"/>
              </w:rPr>
              <w:t>. That covers customary practices that may not be legally recognized but still act as some form of regulations. It is a bit weird that legality appears as an end, not a mean to sustainability and safety.</w:t>
            </w:r>
            <w:r w:rsidRPr="000956C5">
              <w:rPr>
                <w:rStyle w:val="apple-converted-space"/>
                <w:rFonts w:asciiTheme="minorHAnsi" w:hAnsiTheme="minorHAnsi" w:cstheme="minorHAnsi"/>
                <w:color w:val="000000"/>
                <w:sz w:val="22"/>
                <w:szCs w:val="22"/>
              </w:rPr>
              <w:t> </w:t>
            </w:r>
          </w:p>
        </w:tc>
      </w:tr>
      <w:tr w:rsidR="0000393E" w:rsidRPr="000956C5" w14:paraId="7302AFA9" w14:textId="77777777" w:rsidTr="00F87C4F">
        <w:trPr>
          <w:trHeight w:val="233"/>
        </w:trPr>
        <w:tc>
          <w:tcPr>
            <w:tcW w:w="750" w:type="dxa"/>
          </w:tcPr>
          <w:p w14:paraId="39A728AC"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415384D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13</w:t>
            </w:r>
          </w:p>
        </w:tc>
        <w:tc>
          <w:tcPr>
            <w:tcW w:w="968" w:type="dxa"/>
          </w:tcPr>
          <w:p w14:paraId="502C79F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w:t>
            </w:r>
          </w:p>
        </w:tc>
        <w:tc>
          <w:tcPr>
            <w:tcW w:w="998" w:type="dxa"/>
            <w:gridSpan w:val="2"/>
          </w:tcPr>
          <w:p w14:paraId="60E7A8A8"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58</w:t>
            </w:r>
          </w:p>
        </w:tc>
        <w:tc>
          <w:tcPr>
            <w:tcW w:w="6961" w:type="dxa"/>
          </w:tcPr>
          <w:p w14:paraId="529323F1" w14:textId="77777777" w:rsidR="0000393E" w:rsidRPr="000956C5" w:rsidRDefault="0000393E" w:rsidP="0000393E">
            <w:pPr>
              <w:ind w:left="3" w:hanging="3"/>
              <w:rPr>
                <w:rFonts w:asciiTheme="minorHAnsi" w:hAnsiTheme="minorHAnsi" w:cstheme="minorHAnsi"/>
                <w:color w:val="000000"/>
                <w:sz w:val="22"/>
                <w:szCs w:val="22"/>
              </w:rPr>
            </w:pPr>
            <w:r w:rsidRPr="000956C5">
              <w:rPr>
                <w:rFonts w:asciiTheme="minorHAnsi" w:hAnsiTheme="minorHAnsi" w:cstheme="minorHAnsi"/>
                <w:color w:val="000000"/>
                <w:sz w:val="22"/>
                <w:szCs w:val="22"/>
              </w:rPr>
              <w:t>Trends in proportion of biological resources traded within the established limits/quotas/ Trends in proportion of biological resources used within the established limits/quotas: it is unclear why these are necessary to reach the target. Sustainability can be reached only if cumulative impacts of all uses (whether self consumptive and non consumptive uses, or for uses after trade) are considered. So for sustainability purposes, quotas of harvesting are enough. Quotas for trade or uses will be relevant if you want to secure a part of the resources for self uses by specific users (eg indigenous people). This idea is not reflected in the target.</w:t>
            </w:r>
          </w:p>
        </w:tc>
      </w:tr>
      <w:tr w:rsidR="0000393E" w:rsidRPr="000956C5" w14:paraId="0729E8BC" w14:textId="77777777" w:rsidTr="00F87C4F">
        <w:trPr>
          <w:trHeight w:val="233"/>
        </w:trPr>
        <w:tc>
          <w:tcPr>
            <w:tcW w:w="750" w:type="dxa"/>
          </w:tcPr>
          <w:p w14:paraId="67ECD8E6" w14:textId="748E91F5"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2"/>
                <w:szCs w:val="22"/>
              </w:rPr>
              <w:t>2</w:t>
            </w:r>
          </w:p>
        </w:tc>
        <w:tc>
          <w:tcPr>
            <w:tcW w:w="668" w:type="dxa"/>
          </w:tcPr>
          <w:p w14:paraId="0449E486" w14:textId="6D14B0EE"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13</w:t>
            </w:r>
          </w:p>
        </w:tc>
        <w:tc>
          <w:tcPr>
            <w:tcW w:w="968" w:type="dxa"/>
          </w:tcPr>
          <w:p w14:paraId="21D08A8D" w14:textId="4DD4890E"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585FFA98" w14:textId="6D9ABBD2"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57</w:t>
            </w:r>
          </w:p>
        </w:tc>
        <w:tc>
          <w:tcPr>
            <w:tcW w:w="6961" w:type="dxa"/>
          </w:tcPr>
          <w:p w14:paraId="751D7BF9" w14:textId="0C92BDF8" w:rsidR="0000393E" w:rsidRPr="000956C5" w:rsidRDefault="0000393E" w:rsidP="0000393E">
            <w:pPr>
              <w:ind w:left="3" w:hanging="3"/>
              <w:rPr>
                <w:rFonts w:asciiTheme="minorHAnsi" w:hAnsiTheme="minorHAnsi" w:cstheme="minorHAnsi"/>
                <w:color w:val="000000"/>
                <w:sz w:val="22"/>
                <w:szCs w:val="22"/>
              </w:rPr>
            </w:pPr>
            <w:r w:rsidRPr="000956C5">
              <w:rPr>
                <w:rFonts w:asciiTheme="minorHAnsi" w:hAnsiTheme="minorHAnsi" w:cstheme="minorHAnsi"/>
                <w:sz w:val="22"/>
                <w:szCs w:val="22"/>
              </w:rPr>
              <w:t xml:space="preserve">SDG indicator 14.6.1 measures the implementation of instruments to combat illegal, unreported and unregulated fishing. However, the monitoring element under which this indicator is proposed only covers resources harvested legally, therefore the indicator is more broad with the inclusion of the unreported and unregulated elements. We would suggest placing the indicator instead under the “sustainable harvest practices” monitoring element (column B, row 59). </w:t>
            </w:r>
          </w:p>
        </w:tc>
      </w:tr>
      <w:tr w:rsidR="0000393E" w:rsidRPr="000956C5" w14:paraId="40595667" w14:textId="77777777" w:rsidTr="00F87C4F">
        <w:trPr>
          <w:trHeight w:val="233"/>
        </w:trPr>
        <w:tc>
          <w:tcPr>
            <w:tcW w:w="750" w:type="dxa"/>
          </w:tcPr>
          <w:p w14:paraId="18B4C29E"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7B862D82"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13</w:t>
            </w:r>
          </w:p>
        </w:tc>
        <w:tc>
          <w:tcPr>
            <w:tcW w:w="968" w:type="dxa"/>
          </w:tcPr>
          <w:p w14:paraId="4AFE18F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3340B4E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58</w:t>
            </w:r>
          </w:p>
        </w:tc>
        <w:tc>
          <w:tcPr>
            <w:tcW w:w="6961" w:type="dxa"/>
          </w:tcPr>
          <w:p w14:paraId="7C3B1DE5" w14:textId="77777777" w:rsidR="0000393E" w:rsidRPr="000956C5" w:rsidRDefault="0000393E" w:rsidP="0000393E">
            <w:pPr>
              <w:pStyle w:val="ListParagraph"/>
              <w:ind w:left="0"/>
              <w:rPr>
                <w:rFonts w:asciiTheme="minorHAnsi" w:hAnsiTheme="minorHAnsi" w:cstheme="minorHAnsi"/>
                <w:color w:val="000000"/>
                <w:sz w:val="22"/>
                <w:szCs w:val="22"/>
                <w:lang w:val="en-GB" w:eastAsia="en-GB"/>
              </w:rPr>
            </w:pPr>
            <w:r w:rsidRPr="000956C5">
              <w:rPr>
                <w:rFonts w:asciiTheme="minorHAnsi" w:hAnsiTheme="minorHAnsi" w:cstheme="minorHAnsi"/>
                <w:color w:val="000000"/>
                <w:sz w:val="22"/>
                <w:szCs w:val="22"/>
              </w:rPr>
              <w:t xml:space="preserve">Establishing harvest limits may be challenging for many species. In many cases, it is only trends in population status that will indicate that harvest limits have been reached/exceeded (indicial method). It would be more realistic and feasible to measure </w:t>
            </w:r>
            <w:r w:rsidRPr="000956C5">
              <w:rPr>
                <w:rFonts w:asciiTheme="minorHAnsi" w:hAnsiTheme="minorHAnsi" w:cstheme="minorHAnsi"/>
                <w:i/>
                <w:iCs/>
                <w:color w:val="000000"/>
                <w:sz w:val="22"/>
                <w:szCs w:val="22"/>
              </w:rPr>
              <w:t xml:space="preserve">Trends in number of countries where harvest rate are fixed based on monitoring data </w:t>
            </w:r>
            <w:r w:rsidRPr="000956C5">
              <w:rPr>
                <w:rFonts w:asciiTheme="minorHAnsi" w:hAnsiTheme="minorHAnsi" w:cstheme="minorHAnsi"/>
                <w:color w:val="000000"/>
                <w:sz w:val="22"/>
                <w:szCs w:val="22"/>
              </w:rPr>
              <w:t>(and not arbitrarily). Again behind this is the idea that sustainability is reached through measures adapted to ecological realities.</w:t>
            </w:r>
          </w:p>
          <w:p w14:paraId="23DE523C" w14:textId="77777777" w:rsidR="0000393E" w:rsidRPr="000956C5" w:rsidRDefault="0000393E" w:rsidP="0000393E">
            <w:pPr>
              <w:rPr>
                <w:rFonts w:asciiTheme="minorHAnsi" w:hAnsiTheme="minorHAnsi" w:cstheme="minorHAnsi"/>
                <w:sz w:val="22"/>
                <w:szCs w:val="22"/>
              </w:rPr>
            </w:pPr>
          </w:p>
          <w:p w14:paraId="7FD863CB" w14:textId="77777777" w:rsidR="0000393E" w:rsidRPr="000956C5" w:rsidRDefault="0000393E" w:rsidP="0000393E">
            <w:pPr>
              <w:ind w:left="3" w:hanging="3"/>
              <w:rPr>
                <w:rFonts w:asciiTheme="minorHAnsi" w:hAnsiTheme="minorHAnsi" w:cstheme="minorHAnsi"/>
                <w:color w:val="000000"/>
                <w:sz w:val="22"/>
                <w:szCs w:val="22"/>
              </w:rPr>
            </w:pPr>
            <w:r w:rsidRPr="000956C5">
              <w:rPr>
                <w:rFonts w:asciiTheme="minorHAnsi" w:hAnsiTheme="minorHAnsi" w:cstheme="minorHAnsi"/>
                <w:sz w:val="22"/>
                <w:szCs w:val="22"/>
              </w:rPr>
              <w:t>Also on “Trends in proportion of biological resources harvested within the established harvest limits” - w</w:t>
            </w:r>
            <w:r w:rsidRPr="000956C5">
              <w:rPr>
                <w:rFonts w:asciiTheme="minorHAnsi" w:hAnsiTheme="minorHAnsi" w:cstheme="minorHAnsi"/>
                <w:color w:val="000000"/>
                <w:sz w:val="22"/>
                <w:szCs w:val="22"/>
              </w:rPr>
              <w:t>hy are proposed indicators limited to only fish stocks? there are other types of biological resources, e.g. wild meat, medicinal plants, timber</w:t>
            </w:r>
            <w:r w:rsidRPr="000956C5">
              <w:rPr>
                <w:rFonts w:asciiTheme="minorHAnsi" w:hAnsiTheme="minorHAnsi" w:cstheme="minorHAnsi"/>
                <w:sz w:val="22"/>
                <w:szCs w:val="22"/>
              </w:rPr>
              <w:t>.</w:t>
            </w:r>
          </w:p>
        </w:tc>
      </w:tr>
      <w:tr w:rsidR="0000393E" w:rsidRPr="000956C5" w14:paraId="2562B878" w14:textId="77777777" w:rsidTr="00F87C4F">
        <w:trPr>
          <w:trHeight w:val="233"/>
        </w:trPr>
        <w:tc>
          <w:tcPr>
            <w:tcW w:w="750" w:type="dxa"/>
          </w:tcPr>
          <w:p w14:paraId="6DEB9483"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62218FB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13</w:t>
            </w:r>
          </w:p>
        </w:tc>
        <w:tc>
          <w:tcPr>
            <w:tcW w:w="968" w:type="dxa"/>
          </w:tcPr>
          <w:p w14:paraId="4ACE758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6E55690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59</w:t>
            </w:r>
          </w:p>
        </w:tc>
        <w:tc>
          <w:tcPr>
            <w:tcW w:w="6961" w:type="dxa"/>
          </w:tcPr>
          <w:p w14:paraId="1A307BE9" w14:textId="77777777"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color w:val="000000"/>
                <w:sz w:val="22"/>
                <w:szCs w:val="22"/>
              </w:rPr>
              <w:t>This relates very much to the implementation of the CBD decision on voluntary guidelines for sustainable wildlife management, and hence to the FAO-coordinated Sustainable Wildlife Management Programme which is proposing indicators to assess the implementation of these guidelines and their impact because, which could be considered in the monitoring framework. However, since those guidelines cover Targets 4 and 8 and some aspects of 15, it is difficult to see how best to link the Voluntary Guidance and SWM indicators to this framework. In principle, the formulation of these targets may be more aligned with the different components of these voluntary guidelines for instance.</w:t>
            </w:r>
          </w:p>
        </w:tc>
      </w:tr>
      <w:tr w:rsidR="0000393E" w:rsidRPr="000956C5" w14:paraId="46BBD130" w14:textId="77777777" w:rsidTr="00F87C4F">
        <w:trPr>
          <w:trHeight w:val="233"/>
        </w:trPr>
        <w:tc>
          <w:tcPr>
            <w:tcW w:w="750" w:type="dxa"/>
          </w:tcPr>
          <w:p w14:paraId="614F67B1" w14:textId="3BF94586"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rPr>
              <w:t>2</w:t>
            </w:r>
          </w:p>
        </w:tc>
        <w:tc>
          <w:tcPr>
            <w:tcW w:w="668" w:type="dxa"/>
          </w:tcPr>
          <w:p w14:paraId="3E49E5F7" w14:textId="662D4B85"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13</w:t>
            </w:r>
          </w:p>
        </w:tc>
        <w:tc>
          <w:tcPr>
            <w:tcW w:w="968" w:type="dxa"/>
          </w:tcPr>
          <w:p w14:paraId="34080774" w14:textId="72B71264"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D</w:t>
            </w:r>
          </w:p>
        </w:tc>
        <w:tc>
          <w:tcPr>
            <w:tcW w:w="998" w:type="dxa"/>
            <w:gridSpan w:val="2"/>
          </w:tcPr>
          <w:p w14:paraId="3312B4FF" w14:textId="744987CD"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57</w:t>
            </w:r>
          </w:p>
        </w:tc>
        <w:tc>
          <w:tcPr>
            <w:tcW w:w="6961" w:type="dxa"/>
          </w:tcPr>
          <w:p w14:paraId="6FB67BE4" w14:textId="4EC02286"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sz w:val="22"/>
                <w:szCs w:val="22"/>
              </w:rPr>
              <w:t>Correct baseline date, availability is every two years.</w:t>
            </w:r>
          </w:p>
        </w:tc>
      </w:tr>
      <w:tr w:rsidR="0000393E" w:rsidRPr="000956C5" w14:paraId="59648B5A" w14:textId="77777777" w:rsidTr="00F87C4F">
        <w:trPr>
          <w:trHeight w:val="233"/>
        </w:trPr>
        <w:tc>
          <w:tcPr>
            <w:tcW w:w="750" w:type="dxa"/>
          </w:tcPr>
          <w:p w14:paraId="02F6E93B" w14:textId="6BC6DB12" w:rsidR="0000393E" w:rsidRPr="000956C5" w:rsidRDefault="0000393E" w:rsidP="0000393E">
            <w:pPr>
              <w:rPr>
                <w:rFonts w:asciiTheme="minorHAnsi" w:hAnsiTheme="minorHAnsi" w:cstheme="minorHAnsi"/>
                <w:color w:val="000000"/>
                <w:sz w:val="22"/>
                <w:szCs w:val="22"/>
              </w:rPr>
            </w:pPr>
            <w:r w:rsidRPr="000956C5">
              <w:rPr>
                <w:rFonts w:asciiTheme="minorHAnsi" w:hAnsiTheme="minorHAnsi" w:cstheme="minorHAnsi"/>
                <w:color w:val="000000"/>
                <w:sz w:val="22"/>
                <w:szCs w:val="22"/>
              </w:rPr>
              <w:t>2</w:t>
            </w:r>
          </w:p>
        </w:tc>
        <w:tc>
          <w:tcPr>
            <w:tcW w:w="668" w:type="dxa"/>
          </w:tcPr>
          <w:p w14:paraId="2E12FB32" w14:textId="42FD29AA" w:rsidR="0000393E" w:rsidRPr="000956C5" w:rsidRDefault="0000393E" w:rsidP="0000393E">
            <w:pPr>
              <w:rPr>
                <w:rFonts w:asciiTheme="minorHAnsi" w:hAnsiTheme="minorHAnsi" w:cstheme="minorHAnsi"/>
                <w:color w:val="000000"/>
                <w:sz w:val="22"/>
                <w:szCs w:val="22"/>
              </w:rPr>
            </w:pPr>
            <w:r w:rsidRPr="000956C5">
              <w:rPr>
                <w:rFonts w:asciiTheme="minorHAnsi" w:hAnsiTheme="minorHAnsi" w:cstheme="minorHAnsi"/>
                <w:color w:val="000000"/>
                <w:sz w:val="22"/>
                <w:szCs w:val="22"/>
              </w:rPr>
              <w:t>15</w:t>
            </w:r>
          </w:p>
        </w:tc>
        <w:tc>
          <w:tcPr>
            <w:tcW w:w="968" w:type="dxa"/>
          </w:tcPr>
          <w:p w14:paraId="75C342F2" w14:textId="7172D579" w:rsidR="0000393E" w:rsidRPr="000956C5" w:rsidRDefault="0000393E" w:rsidP="0000393E">
            <w:pPr>
              <w:rPr>
                <w:rFonts w:asciiTheme="minorHAnsi" w:hAnsiTheme="minorHAnsi" w:cstheme="minorHAnsi"/>
                <w:color w:val="000000"/>
                <w:sz w:val="22"/>
                <w:szCs w:val="22"/>
              </w:rPr>
            </w:pPr>
            <w:r w:rsidRPr="000956C5">
              <w:rPr>
                <w:rFonts w:asciiTheme="minorHAnsi" w:hAnsiTheme="minorHAnsi" w:cstheme="minorHAnsi"/>
                <w:color w:val="000000"/>
                <w:sz w:val="22"/>
                <w:szCs w:val="22"/>
              </w:rPr>
              <w:t>B</w:t>
            </w:r>
          </w:p>
        </w:tc>
        <w:tc>
          <w:tcPr>
            <w:tcW w:w="998" w:type="dxa"/>
            <w:gridSpan w:val="2"/>
          </w:tcPr>
          <w:p w14:paraId="183ABFAC" w14:textId="22C8A186" w:rsidR="0000393E" w:rsidRPr="000956C5" w:rsidRDefault="0000393E" w:rsidP="0000393E">
            <w:pPr>
              <w:rPr>
                <w:rFonts w:asciiTheme="minorHAnsi" w:hAnsiTheme="minorHAnsi" w:cstheme="minorHAnsi"/>
                <w:color w:val="000000"/>
                <w:sz w:val="22"/>
                <w:szCs w:val="22"/>
              </w:rPr>
            </w:pPr>
            <w:r w:rsidRPr="000956C5">
              <w:rPr>
                <w:rFonts w:asciiTheme="minorHAnsi" w:hAnsiTheme="minorHAnsi" w:cstheme="minorHAnsi"/>
                <w:color w:val="000000"/>
                <w:sz w:val="22"/>
                <w:szCs w:val="22"/>
              </w:rPr>
              <w:t>86-88</w:t>
            </w:r>
          </w:p>
        </w:tc>
        <w:tc>
          <w:tcPr>
            <w:tcW w:w="6961" w:type="dxa"/>
          </w:tcPr>
          <w:p w14:paraId="17E6375F" w14:textId="0F07AC1E"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color w:val="000000"/>
                <w:sz w:val="22"/>
                <w:szCs w:val="22"/>
              </w:rPr>
              <w:t>The monitoring element for pollution due to pesticides is separated from herbicides. Herbicides are, of course, a part of pesticides and thus, as it stands, the elements are redundant. Perhaps one is meant to be insecticides and the other herbicides?</w:t>
            </w:r>
          </w:p>
        </w:tc>
      </w:tr>
      <w:tr w:rsidR="0000393E" w:rsidRPr="000956C5" w14:paraId="09B84C63" w14:textId="77777777" w:rsidTr="00F87C4F">
        <w:trPr>
          <w:trHeight w:val="224"/>
        </w:trPr>
        <w:tc>
          <w:tcPr>
            <w:tcW w:w="750" w:type="dxa"/>
          </w:tcPr>
          <w:p w14:paraId="7FC42638"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0EB5E79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16</w:t>
            </w:r>
          </w:p>
        </w:tc>
        <w:tc>
          <w:tcPr>
            <w:tcW w:w="968" w:type="dxa"/>
          </w:tcPr>
          <w:p w14:paraId="74F4F77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w:t>
            </w:r>
          </w:p>
        </w:tc>
        <w:tc>
          <w:tcPr>
            <w:tcW w:w="998" w:type="dxa"/>
            <w:gridSpan w:val="2"/>
          </w:tcPr>
          <w:p w14:paraId="67DDB69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87</w:t>
            </w:r>
          </w:p>
        </w:tc>
        <w:tc>
          <w:tcPr>
            <w:tcW w:w="6961" w:type="dxa"/>
          </w:tcPr>
          <w:p w14:paraId="3D516667"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 xml:space="preserve">Why not use in C the SDG Indicator 6.3.2 “Proportion of bodies of water with good ambient water quality” </w:t>
            </w:r>
          </w:p>
          <w:p w14:paraId="3B14E165"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or refer to SDG 12.4?</w:t>
            </w:r>
          </w:p>
        </w:tc>
      </w:tr>
      <w:tr w:rsidR="0000393E" w:rsidRPr="000956C5" w14:paraId="52E56223" w14:textId="77777777" w:rsidTr="00F87C4F">
        <w:trPr>
          <w:trHeight w:val="233"/>
        </w:trPr>
        <w:tc>
          <w:tcPr>
            <w:tcW w:w="750" w:type="dxa"/>
          </w:tcPr>
          <w:p w14:paraId="07547A01" w14:textId="2452D7D8"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rPr>
              <w:t>2</w:t>
            </w:r>
          </w:p>
        </w:tc>
        <w:tc>
          <w:tcPr>
            <w:tcW w:w="668" w:type="dxa"/>
          </w:tcPr>
          <w:p w14:paraId="5043CB0F" w14:textId="192F459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17-18</w:t>
            </w:r>
          </w:p>
        </w:tc>
        <w:tc>
          <w:tcPr>
            <w:tcW w:w="968" w:type="dxa"/>
          </w:tcPr>
          <w:p w14:paraId="07459315" w14:textId="458D6B10"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A</w:t>
            </w:r>
          </w:p>
        </w:tc>
        <w:tc>
          <w:tcPr>
            <w:tcW w:w="998" w:type="dxa"/>
            <w:gridSpan w:val="2"/>
          </w:tcPr>
          <w:p w14:paraId="6537F28F" w14:textId="5D5125A8"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103</w:t>
            </w:r>
          </w:p>
        </w:tc>
        <w:tc>
          <w:tcPr>
            <w:tcW w:w="6961" w:type="dxa"/>
          </w:tcPr>
          <w:p w14:paraId="6DFB9E20" w14:textId="0D1E824A"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sz w:val="22"/>
                <w:szCs w:val="22"/>
              </w:rPr>
              <w:t>Alternative wording for component T8.1 for your consideration: “Responsible management for the sustainable use of aquatic wild species of fauna and flora, and harvesting of fisheries resources”</w:t>
            </w:r>
          </w:p>
        </w:tc>
      </w:tr>
      <w:tr w:rsidR="0000393E" w:rsidRPr="000956C5" w14:paraId="7B259A43" w14:textId="77777777" w:rsidTr="00F87C4F">
        <w:trPr>
          <w:trHeight w:val="233"/>
        </w:trPr>
        <w:tc>
          <w:tcPr>
            <w:tcW w:w="750" w:type="dxa"/>
          </w:tcPr>
          <w:p w14:paraId="46783CDB"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526D80A2"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18</w:t>
            </w:r>
          </w:p>
        </w:tc>
        <w:tc>
          <w:tcPr>
            <w:tcW w:w="968" w:type="dxa"/>
          </w:tcPr>
          <w:p w14:paraId="5353C90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998" w:type="dxa"/>
            <w:gridSpan w:val="2"/>
          </w:tcPr>
          <w:p w14:paraId="49FB466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103</w:t>
            </w:r>
          </w:p>
        </w:tc>
        <w:tc>
          <w:tcPr>
            <w:tcW w:w="6961" w:type="dxa"/>
          </w:tcPr>
          <w:p w14:paraId="55B249B2" w14:textId="77777777"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color w:val="000000"/>
                <w:sz w:val="22"/>
                <w:szCs w:val="22"/>
              </w:rPr>
              <w:t>The difference between Target 4 and target 8 is not obvious because at the end both go down to sustainable management. Target 8 only goes more into the details of different uses and differences between aquatic and terrestrial. One would expect target 8 to focus more on equitable sharing of benefits ie how do you ensure that the sustainable management benefit to all users, especially most vulnerable ones, and how do you secure those benefits for those vulnerable users. There are some indicators related to those aspects, but in general especially the elements of monitoring are not consistent with this interpretation of the target.</w:t>
            </w:r>
          </w:p>
        </w:tc>
      </w:tr>
      <w:tr w:rsidR="0000393E" w:rsidRPr="000956C5" w14:paraId="63F3016D" w14:textId="77777777" w:rsidTr="00F87C4F">
        <w:trPr>
          <w:trHeight w:val="233"/>
        </w:trPr>
        <w:tc>
          <w:tcPr>
            <w:tcW w:w="750" w:type="dxa"/>
          </w:tcPr>
          <w:p w14:paraId="5C0A710E" w14:textId="3B98683F"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rPr>
              <w:t>2</w:t>
            </w:r>
          </w:p>
        </w:tc>
        <w:tc>
          <w:tcPr>
            <w:tcW w:w="668" w:type="dxa"/>
          </w:tcPr>
          <w:p w14:paraId="17A01116" w14:textId="4AB9A092"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18</w:t>
            </w:r>
          </w:p>
        </w:tc>
        <w:tc>
          <w:tcPr>
            <w:tcW w:w="968" w:type="dxa"/>
          </w:tcPr>
          <w:p w14:paraId="72BC3B27" w14:textId="4E51D98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D</w:t>
            </w:r>
          </w:p>
        </w:tc>
        <w:tc>
          <w:tcPr>
            <w:tcW w:w="998" w:type="dxa"/>
            <w:gridSpan w:val="2"/>
          </w:tcPr>
          <w:p w14:paraId="3A362FEB" w14:textId="3512FDBD"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rPr>
              <w:t>106</w:t>
            </w:r>
          </w:p>
        </w:tc>
        <w:tc>
          <w:tcPr>
            <w:tcW w:w="6961" w:type="dxa"/>
          </w:tcPr>
          <w:p w14:paraId="4BD921D0" w14:textId="2F17B570"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sz w:val="22"/>
                <w:szCs w:val="22"/>
              </w:rPr>
              <w:t>Correct baseline date, availability is every two years.</w:t>
            </w:r>
          </w:p>
        </w:tc>
      </w:tr>
      <w:tr w:rsidR="0000393E" w:rsidRPr="000956C5" w14:paraId="3F6ABB77" w14:textId="77777777" w:rsidTr="00F87C4F">
        <w:trPr>
          <w:trHeight w:val="233"/>
        </w:trPr>
        <w:tc>
          <w:tcPr>
            <w:tcW w:w="750" w:type="dxa"/>
          </w:tcPr>
          <w:p w14:paraId="5B896037"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2847A63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19</w:t>
            </w:r>
          </w:p>
        </w:tc>
        <w:tc>
          <w:tcPr>
            <w:tcW w:w="968" w:type="dxa"/>
          </w:tcPr>
          <w:p w14:paraId="5F1B12B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0</w:t>
            </w:r>
          </w:p>
        </w:tc>
        <w:tc>
          <w:tcPr>
            <w:tcW w:w="998" w:type="dxa"/>
            <w:gridSpan w:val="2"/>
          </w:tcPr>
          <w:p w14:paraId="31A9243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114</w:t>
            </w:r>
          </w:p>
        </w:tc>
        <w:tc>
          <w:tcPr>
            <w:tcW w:w="6961" w:type="dxa"/>
          </w:tcPr>
          <w:p w14:paraId="027FE48B" w14:textId="77777777"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color w:val="000000"/>
                <w:sz w:val="22"/>
                <w:szCs w:val="22"/>
              </w:rPr>
              <w:t>The components of the targets, monitoring elements and indicators are not related to each other at all.</w:t>
            </w:r>
          </w:p>
        </w:tc>
      </w:tr>
      <w:tr w:rsidR="0000393E" w:rsidRPr="000956C5" w14:paraId="68015707" w14:textId="77777777" w:rsidTr="00F87C4F">
        <w:trPr>
          <w:trHeight w:val="233"/>
        </w:trPr>
        <w:tc>
          <w:tcPr>
            <w:tcW w:w="750" w:type="dxa"/>
          </w:tcPr>
          <w:p w14:paraId="0E86812A"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7C14D38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19</w:t>
            </w:r>
          </w:p>
        </w:tc>
        <w:tc>
          <w:tcPr>
            <w:tcW w:w="968" w:type="dxa"/>
          </w:tcPr>
          <w:p w14:paraId="1E19BF8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6B6B3B2F"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114</w:t>
            </w:r>
          </w:p>
        </w:tc>
        <w:tc>
          <w:tcPr>
            <w:tcW w:w="6961" w:type="dxa"/>
          </w:tcPr>
          <w:p w14:paraId="312EFA18" w14:textId="77777777" w:rsidR="0000393E" w:rsidRPr="000956C5" w:rsidRDefault="0000393E" w:rsidP="0000393E">
            <w:pPr>
              <w:pStyle w:val="ListParagraph"/>
              <w:ind w:left="0"/>
              <w:rPr>
                <w:rFonts w:asciiTheme="minorHAnsi" w:hAnsiTheme="minorHAnsi" w:cstheme="minorHAnsi"/>
                <w:color w:val="000000" w:themeColor="text1"/>
                <w:sz w:val="22"/>
                <w:szCs w:val="22"/>
                <w:lang w:val="en-GB"/>
              </w:rPr>
            </w:pPr>
            <w:r w:rsidRPr="000956C5">
              <w:rPr>
                <w:rFonts w:asciiTheme="minorHAnsi" w:hAnsiTheme="minorHAnsi" w:cstheme="minorHAnsi"/>
                <w:color w:val="000000" w:themeColor="text1"/>
                <w:sz w:val="22"/>
                <w:szCs w:val="22"/>
                <w:lang w:val="en-GB"/>
              </w:rPr>
              <w:t>FAO considers this indicator to be in a wrong place; it focuses on genetic resources of domesticated animal and plant species, and not at all on wild species. None of these indicators specifically measures the use of terrestrial wild species of fauna used for food and medicine.</w:t>
            </w:r>
          </w:p>
          <w:p w14:paraId="700F742C" w14:textId="6F01BFFB" w:rsidR="0000393E" w:rsidRPr="000956C5" w:rsidRDefault="0000393E" w:rsidP="0000393E">
            <w:pPr>
              <w:pStyle w:val="ListParagraph"/>
              <w:ind w:left="0"/>
              <w:rPr>
                <w:rFonts w:asciiTheme="minorHAnsi" w:eastAsiaTheme="minorEastAsia" w:hAnsiTheme="minorHAnsi" w:cstheme="minorHAnsi"/>
              </w:rPr>
            </w:pPr>
            <w:r w:rsidRPr="000956C5">
              <w:rPr>
                <w:rFonts w:asciiTheme="minorHAnsi" w:hAnsiTheme="minorHAnsi" w:cstheme="minorHAnsi"/>
                <w:color w:val="000000" w:themeColor="text1"/>
                <w:sz w:val="22"/>
                <w:szCs w:val="22"/>
                <w:lang w:val="en-GB"/>
              </w:rPr>
              <w:t>For example, SDG indicator 2.5.1 measures the number of plant varieties and livestock breeds for food and agriculture that are secured in conservation facilities. This indicator does not exclusively address wild species and also focusses on conservation rather than on use.</w:t>
            </w:r>
          </w:p>
        </w:tc>
      </w:tr>
      <w:tr w:rsidR="0000393E" w:rsidRPr="000956C5" w14:paraId="76A0FFB3" w14:textId="77777777" w:rsidTr="00F87C4F">
        <w:trPr>
          <w:trHeight w:val="233"/>
        </w:trPr>
        <w:tc>
          <w:tcPr>
            <w:tcW w:w="750" w:type="dxa"/>
          </w:tcPr>
          <w:p w14:paraId="55CCB594"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0"/>
                <w:szCs w:val="20"/>
              </w:rPr>
              <w:t>2</w:t>
            </w:r>
          </w:p>
        </w:tc>
        <w:tc>
          <w:tcPr>
            <w:tcW w:w="668" w:type="dxa"/>
          </w:tcPr>
          <w:p w14:paraId="565B2BC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19</w:t>
            </w:r>
          </w:p>
        </w:tc>
        <w:tc>
          <w:tcPr>
            <w:tcW w:w="968" w:type="dxa"/>
          </w:tcPr>
          <w:p w14:paraId="34E17E9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w:t>
            </w:r>
          </w:p>
        </w:tc>
        <w:tc>
          <w:tcPr>
            <w:tcW w:w="998" w:type="dxa"/>
            <w:gridSpan w:val="2"/>
          </w:tcPr>
          <w:p w14:paraId="3CD37BB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114</w:t>
            </w:r>
          </w:p>
        </w:tc>
        <w:tc>
          <w:tcPr>
            <w:tcW w:w="6961" w:type="dxa"/>
          </w:tcPr>
          <w:p w14:paraId="73EF3CDB" w14:textId="7FA66599" w:rsidR="0000393E" w:rsidRPr="000956C5" w:rsidRDefault="0000393E" w:rsidP="0000393E">
            <w:pPr>
              <w:pStyle w:val="ListParagraph"/>
              <w:ind w:left="0"/>
              <w:rPr>
                <w:rFonts w:asciiTheme="minorHAnsi" w:hAnsiTheme="minorHAnsi" w:cstheme="minorHAnsi"/>
                <w:color w:val="000000"/>
                <w:sz w:val="22"/>
                <w:szCs w:val="22"/>
              </w:rPr>
            </w:pPr>
            <w:r w:rsidRPr="000956C5">
              <w:rPr>
                <w:rFonts w:asciiTheme="minorHAnsi" w:hAnsiTheme="minorHAnsi" w:cstheme="minorHAnsi"/>
                <w:sz w:val="22"/>
                <w:szCs w:val="22"/>
              </w:rPr>
              <w:t>What about flora, e.g. medicinal plants which provide significant health benefits and used in medicine? The element should read: ‘Trends in terrestrial wild species of fauna and flora used for food and medicine’.</w:t>
            </w:r>
          </w:p>
        </w:tc>
      </w:tr>
      <w:tr w:rsidR="0000393E" w:rsidRPr="000956C5" w14:paraId="5B2E03C7" w14:textId="77777777" w:rsidTr="00F87C4F">
        <w:trPr>
          <w:trHeight w:val="233"/>
        </w:trPr>
        <w:tc>
          <w:tcPr>
            <w:tcW w:w="750" w:type="dxa"/>
          </w:tcPr>
          <w:p w14:paraId="31A2C4CD" w14:textId="77777777" w:rsidR="0000393E" w:rsidRPr="000956C5" w:rsidRDefault="0000393E" w:rsidP="0000393E">
            <w:pPr>
              <w:rPr>
                <w:rFonts w:asciiTheme="minorHAnsi" w:hAnsiTheme="minorHAnsi" w:cstheme="minorHAnsi"/>
                <w:sz w:val="20"/>
                <w:szCs w:val="20"/>
              </w:rPr>
            </w:pPr>
            <w:r w:rsidRPr="000956C5">
              <w:rPr>
                <w:rFonts w:asciiTheme="minorHAnsi" w:hAnsiTheme="minorHAnsi" w:cstheme="minorHAnsi"/>
                <w:sz w:val="22"/>
                <w:szCs w:val="22"/>
              </w:rPr>
              <w:t>2</w:t>
            </w:r>
          </w:p>
        </w:tc>
        <w:tc>
          <w:tcPr>
            <w:tcW w:w="668" w:type="dxa"/>
          </w:tcPr>
          <w:p w14:paraId="6C8C1C6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19</w:t>
            </w:r>
          </w:p>
        </w:tc>
        <w:tc>
          <w:tcPr>
            <w:tcW w:w="968" w:type="dxa"/>
          </w:tcPr>
          <w:p w14:paraId="175F3C3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b/c</w:t>
            </w:r>
          </w:p>
        </w:tc>
        <w:tc>
          <w:tcPr>
            <w:tcW w:w="998" w:type="dxa"/>
            <w:gridSpan w:val="2"/>
          </w:tcPr>
          <w:p w14:paraId="7FBB681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115</w:t>
            </w:r>
          </w:p>
        </w:tc>
        <w:tc>
          <w:tcPr>
            <w:tcW w:w="6961" w:type="dxa"/>
          </w:tcPr>
          <w:p w14:paraId="530B9360"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Move the 2 next to T9, as they don’t relate to T8.2. Sustainable management of terrestrial wild species of fauna and flora</w:t>
            </w:r>
          </w:p>
          <w:p w14:paraId="2F5572E9" w14:textId="3E57B323" w:rsidR="0000393E" w:rsidRPr="000956C5" w:rsidRDefault="0000393E" w:rsidP="0000393E">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Use </w:t>
            </w:r>
            <w:r w:rsidRPr="000956C5">
              <w:rPr>
                <w:rFonts w:asciiTheme="minorHAnsi" w:hAnsiTheme="minorHAnsi" w:cstheme="minorHAnsi"/>
                <w:sz w:val="22"/>
                <w:szCs w:val="22"/>
              </w:rPr>
              <w:t>Average income of smallscale food producers, by sex and indigenous status (SDG indicator 2.3.2)</w:t>
            </w:r>
          </w:p>
        </w:tc>
      </w:tr>
      <w:tr w:rsidR="0000393E" w:rsidRPr="000956C5" w14:paraId="121D72CE" w14:textId="77777777" w:rsidTr="00F87C4F">
        <w:trPr>
          <w:trHeight w:val="233"/>
        </w:trPr>
        <w:tc>
          <w:tcPr>
            <w:tcW w:w="750" w:type="dxa"/>
          </w:tcPr>
          <w:p w14:paraId="78E1534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7AE9101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19</w:t>
            </w:r>
          </w:p>
        </w:tc>
        <w:tc>
          <w:tcPr>
            <w:tcW w:w="968" w:type="dxa"/>
          </w:tcPr>
          <w:p w14:paraId="76E619F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b/c</w:t>
            </w:r>
          </w:p>
        </w:tc>
        <w:tc>
          <w:tcPr>
            <w:tcW w:w="998" w:type="dxa"/>
            <w:gridSpan w:val="2"/>
          </w:tcPr>
          <w:p w14:paraId="0ED21733"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116</w:t>
            </w:r>
          </w:p>
        </w:tc>
        <w:tc>
          <w:tcPr>
            <w:tcW w:w="6961" w:type="dxa"/>
          </w:tcPr>
          <w:p w14:paraId="15DFEBF7" w14:textId="36F68F86" w:rsidR="0000393E" w:rsidRPr="000956C5" w:rsidRDefault="0000393E" w:rsidP="0000393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Use </w:t>
            </w:r>
            <w:r w:rsidRPr="000956C5">
              <w:rPr>
                <w:rFonts w:asciiTheme="minorHAnsi" w:hAnsiTheme="minorHAnsi" w:cstheme="minorHAnsi"/>
                <w:sz w:val="22"/>
                <w:szCs w:val="22"/>
              </w:rPr>
              <w:t>Volume of production per labour unit by classes of farming/pastoral/ forestry enterprise size (SDG indicator 2.3.1)</w:t>
            </w:r>
          </w:p>
        </w:tc>
      </w:tr>
      <w:tr w:rsidR="0000393E" w:rsidRPr="000956C5" w14:paraId="3EBF25EA" w14:textId="77777777" w:rsidTr="00F87C4F">
        <w:trPr>
          <w:trHeight w:val="233"/>
        </w:trPr>
        <w:tc>
          <w:tcPr>
            <w:tcW w:w="750" w:type="dxa"/>
          </w:tcPr>
          <w:p w14:paraId="7F5E3192" w14:textId="2BB8A97B"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66B64883" w14:textId="637EA46E"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20</w:t>
            </w:r>
          </w:p>
        </w:tc>
        <w:tc>
          <w:tcPr>
            <w:tcW w:w="968" w:type="dxa"/>
          </w:tcPr>
          <w:p w14:paraId="2ED4F370" w14:textId="6FB8C24A"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A/B</w:t>
            </w:r>
          </w:p>
        </w:tc>
        <w:tc>
          <w:tcPr>
            <w:tcW w:w="998" w:type="dxa"/>
            <w:gridSpan w:val="2"/>
          </w:tcPr>
          <w:p w14:paraId="4BC3FBDD" w14:textId="1D21D622"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117</w:t>
            </w:r>
          </w:p>
        </w:tc>
        <w:tc>
          <w:tcPr>
            <w:tcW w:w="6961" w:type="dxa"/>
          </w:tcPr>
          <w:p w14:paraId="282B1FD8"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 xml:space="preserve">Agricultural biodiversity/ biodiversity for food and agriculture includes the functional groups that provide essential ecosystem services, such as pollinators, soil biota and natural pest control agents. </w:t>
            </w:r>
          </w:p>
          <w:p w14:paraId="2C4A7449" w14:textId="5BA73715"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 xml:space="preserve">With this in mind, </w:t>
            </w:r>
            <w:r>
              <w:rPr>
                <w:rFonts w:asciiTheme="minorHAnsi" w:hAnsiTheme="minorHAnsi" w:cstheme="minorHAnsi"/>
                <w:sz w:val="22"/>
                <w:szCs w:val="22"/>
              </w:rPr>
              <w:t>it c</w:t>
            </w:r>
            <w:r w:rsidRPr="000956C5">
              <w:rPr>
                <w:rFonts w:asciiTheme="minorHAnsi" w:hAnsiTheme="minorHAnsi" w:cstheme="minorHAnsi"/>
                <w:sz w:val="22"/>
                <w:szCs w:val="22"/>
              </w:rPr>
              <w:t xml:space="preserve">ould be considered to add a monitoring element ‘trends in natural pest control agents’ below the monitoring elements ‘trends in soil quality’ and ‘trends in pollinators’. </w:t>
            </w:r>
          </w:p>
          <w:p w14:paraId="3AB35E4C" w14:textId="19715805" w:rsidR="0000393E" w:rsidRPr="000956C5" w:rsidRDefault="0000393E" w:rsidP="0000393E">
            <w:pPr>
              <w:rPr>
                <w:rFonts w:asciiTheme="minorHAnsi" w:hAnsiTheme="minorHAnsi" w:cstheme="minorHAnsi"/>
              </w:rPr>
            </w:pPr>
            <w:r w:rsidRPr="000956C5">
              <w:rPr>
                <w:rFonts w:asciiTheme="minorHAnsi" w:hAnsiTheme="minorHAnsi" w:cstheme="minorHAnsi"/>
                <w:sz w:val="22"/>
                <w:szCs w:val="22"/>
              </w:rPr>
              <w:t>A possible indicator could be the Red List Index (insecta, amphibia,…). However, the Red List Index has its limitations, as it does not list any species by functional group (which would be ‘natural pest control agents’ in this case).</w:t>
            </w:r>
          </w:p>
        </w:tc>
      </w:tr>
      <w:tr w:rsidR="0000393E" w:rsidRPr="000956C5" w14:paraId="6979331D" w14:textId="77777777" w:rsidTr="00F87C4F">
        <w:trPr>
          <w:trHeight w:val="233"/>
        </w:trPr>
        <w:tc>
          <w:tcPr>
            <w:tcW w:w="750" w:type="dxa"/>
          </w:tcPr>
          <w:p w14:paraId="231CE365"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5007C906"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20</w:t>
            </w:r>
          </w:p>
        </w:tc>
        <w:tc>
          <w:tcPr>
            <w:tcW w:w="968" w:type="dxa"/>
          </w:tcPr>
          <w:p w14:paraId="0090C0A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19FCCF4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123</w:t>
            </w:r>
          </w:p>
        </w:tc>
        <w:tc>
          <w:tcPr>
            <w:tcW w:w="6961" w:type="dxa"/>
          </w:tcPr>
          <w:p w14:paraId="1AC0D27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This is SDG 2.5.2.; but there is no monitoring of wild relatives under FAO’s monitoring of 2.5.2.</w:t>
            </w:r>
          </w:p>
        </w:tc>
      </w:tr>
      <w:tr w:rsidR="0000393E" w:rsidRPr="000956C5" w14:paraId="637805D2" w14:textId="77777777" w:rsidTr="00F87C4F">
        <w:trPr>
          <w:trHeight w:val="224"/>
        </w:trPr>
        <w:tc>
          <w:tcPr>
            <w:tcW w:w="750" w:type="dxa"/>
          </w:tcPr>
          <w:p w14:paraId="463F29E8" w14:textId="3A2EE43D"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3B7B4B86" w14:textId="16402204"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20</w:t>
            </w:r>
          </w:p>
        </w:tc>
        <w:tc>
          <w:tcPr>
            <w:tcW w:w="968" w:type="dxa"/>
          </w:tcPr>
          <w:p w14:paraId="3A0FF5F2" w14:textId="3C7A6AC8"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w:t>
            </w:r>
          </w:p>
        </w:tc>
        <w:tc>
          <w:tcPr>
            <w:tcW w:w="998" w:type="dxa"/>
            <w:gridSpan w:val="2"/>
          </w:tcPr>
          <w:p w14:paraId="5630AD66" w14:textId="239093D8"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123</w:t>
            </w:r>
          </w:p>
        </w:tc>
        <w:tc>
          <w:tcPr>
            <w:tcW w:w="6961" w:type="dxa"/>
          </w:tcPr>
          <w:p w14:paraId="43B32439" w14:textId="7FB4EBC2" w:rsidR="0000393E" w:rsidRPr="000956C5" w:rsidRDefault="0000393E" w:rsidP="0000393E">
            <w:pPr>
              <w:autoSpaceDE w:val="0"/>
              <w:autoSpaceDN w:val="0"/>
              <w:adjustRightInd w:val="0"/>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 xml:space="preserve">To measure monitoring element ‘Trends in genetic diversity of domesticated animals and of wild relatives’ SDG indicators 2.5.1 and 2.5.2 should both be mentioned. </w:t>
            </w:r>
          </w:p>
          <w:p w14:paraId="61829076" w14:textId="48DF5736" w:rsidR="0000393E" w:rsidRPr="000956C5" w:rsidRDefault="0000393E" w:rsidP="0000393E">
            <w:pPr>
              <w:autoSpaceDE w:val="0"/>
              <w:autoSpaceDN w:val="0"/>
              <w:adjustRightInd w:val="0"/>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In the current document only SDG indicator 2.5.2 is listed</w:t>
            </w:r>
          </w:p>
        </w:tc>
      </w:tr>
      <w:tr w:rsidR="0000393E" w:rsidRPr="000956C5" w14:paraId="47A31CCD" w14:textId="77777777" w:rsidTr="00F87C4F">
        <w:trPr>
          <w:trHeight w:val="224"/>
        </w:trPr>
        <w:tc>
          <w:tcPr>
            <w:tcW w:w="750" w:type="dxa"/>
          </w:tcPr>
          <w:p w14:paraId="23BD66DB"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6A6A9027"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20</w:t>
            </w:r>
          </w:p>
        </w:tc>
        <w:tc>
          <w:tcPr>
            <w:tcW w:w="968" w:type="dxa"/>
          </w:tcPr>
          <w:p w14:paraId="5E00DB89"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T9.1.</w:t>
            </w:r>
          </w:p>
        </w:tc>
        <w:tc>
          <w:tcPr>
            <w:tcW w:w="998" w:type="dxa"/>
            <w:gridSpan w:val="2"/>
          </w:tcPr>
          <w:p w14:paraId="2BA226A1" w14:textId="77777777" w:rsidR="0000393E" w:rsidRPr="000956C5" w:rsidRDefault="0000393E" w:rsidP="0000393E">
            <w:pPr>
              <w:rPr>
                <w:rFonts w:asciiTheme="minorHAnsi" w:hAnsiTheme="minorHAnsi" w:cstheme="minorHAnsi"/>
                <w:sz w:val="22"/>
                <w:szCs w:val="22"/>
              </w:rPr>
            </w:pPr>
          </w:p>
        </w:tc>
        <w:tc>
          <w:tcPr>
            <w:tcW w:w="6961" w:type="dxa"/>
          </w:tcPr>
          <w:p w14:paraId="2AA15796" w14:textId="77777777" w:rsidR="0000393E" w:rsidRPr="000956C5" w:rsidRDefault="0000393E" w:rsidP="0000393E">
            <w:pPr>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‘Trends in area of agriculture under sustainable practices’ is a key element of the entire GBF and can make an enormous difference in achieving other targets.</w:t>
            </w:r>
          </w:p>
          <w:p w14:paraId="08C5D6F5" w14:textId="77777777" w:rsidR="0000393E" w:rsidRPr="000956C5" w:rsidRDefault="0000393E" w:rsidP="0000393E">
            <w:pPr>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 xml:space="preserve">The way agriculture under sustainable practices is measured (with SDG indicator 2.4.1 and area under conservation agriculture) is not complete/appropriate. </w:t>
            </w:r>
          </w:p>
          <w:p w14:paraId="46EEF2D0" w14:textId="77777777" w:rsidR="0000393E" w:rsidRPr="000956C5" w:rsidRDefault="0000393E" w:rsidP="0000393E">
            <w:pPr>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 xml:space="preserve">SDG 2.4.1 has its limitations, </w:t>
            </w:r>
          </w:p>
          <w:p w14:paraId="23AD86DF" w14:textId="77777777" w:rsidR="0000393E" w:rsidRPr="000956C5" w:rsidRDefault="0000393E" w:rsidP="0000393E">
            <w:pPr>
              <w:rPr>
                <w:rFonts w:asciiTheme="minorHAnsi" w:eastAsiaTheme="minorEastAsia" w:hAnsiTheme="minorHAnsi" w:cstheme="minorHAnsi"/>
                <w:sz w:val="22"/>
                <w:szCs w:val="22"/>
              </w:rPr>
            </w:pPr>
            <w:r w:rsidRPr="000956C5">
              <w:rPr>
                <w:rFonts w:asciiTheme="minorHAnsi" w:eastAsiaTheme="minorEastAsia" w:hAnsiTheme="minorHAnsi" w:cstheme="minorHAnsi"/>
                <w:b/>
                <w:bCs/>
                <w:sz w:val="22"/>
                <w:szCs w:val="22"/>
              </w:rPr>
              <w:t>Target 9 should make reference in its wording not only to ecosystems, but also to species and genetic resources</w:t>
            </w:r>
          </w:p>
        </w:tc>
      </w:tr>
      <w:tr w:rsidR="0000393E" w:rsidRPr="000956C5" w14:paraId="7F72DC61" w14:textId="77777777" w:rsidTr="00F87C4F">
        <w:trPr>
          <w:trHeight w:val="224"/>
        </w:trPr>
        <w:tc>
          <w:tcPr>
            <w:tcW w:w="750" w:type="dxa"/>
          </w:tcPr>
          <w:p w14:paraId="462C853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7B5474F0"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20</w:t>
            </w:r>
          </w:p>
        </w:tc>
        <w:tc>
          <w:tcPr>
            <w:tcW w:w="968" w:type="dxa"/>
          </w:tcPr>
          <w:p w14:paraId="36A19C51"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2714F9D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119</w:t>
            </w:r>
          </w:p>
        </w:tc>
        <w:tc>
          <w:tcPr>
            <w:tcW w:w="6961" w:type="dxa"/>
          </w:tcPr>
          <w:p w14:paraId="6F943508" w14:textId="77777777" w:rsidR="0000393E" w:rsidRPr="000956C5" w:rsidRDefault="0000393E" w:rsidP="0000393E">
            <w:pPr>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 xml:space="preserve">Remove ‘conservation agriculture’ and replace by: </w:t>
            </w:r>
          </w:p>
          <w:p w14:paraId="5C466C51" w14:textId="77777777" w:rsidR="0000393E" w:rsidRPr="000956C5" w:rsidRDefault="0000393E" w:rsidP="0000393E">
            <w:pPr>
              <w:autoSpaceDE w:val="0"/>
              <w:autoSpaceDN w:val="0"/>
              <w:adjustRightInd w:val="0"/>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 xml:space="preserve">Production practices and approaches considered biodiversity friendly such as those listed in FAO’s State of the World’s Biodiversity for Food and Agriculture report (FAO. 2019. </w:t>
            </w:r>
            <w:r w:rsidRPr="000956C5">
              <w:rPr>
                <w:rFonts w:asciiTheme="minorHAnsi" w:eastAsiaTheme="minorEastAsia" w:hAnsiTheme="minorHAnsi" w:cstheme="minorHAnsi"/>
                <w:i/>
                <w:iCs/>
                <w:sz w:val="22"/>
                <w:szCs w:val="22"/>
              </w:rPr>
              <w:t>The State of the World’s Biodiversity for Food and Agriculture</w:t>
            </w:r>
            <w:r w:rsidRPr="000956C5">
              <w:rPr>
                <w:rFonts w:asciiTheme="minorHAnsi" w:eastAsiaTheme="minorEastAsia" w:hAnsiTheme="minorHAnsi" w:cstheme="minorHAnsi"/>
                <w:sz w:val="22"/>
                <w:szCs w:val="22"/>
              </w:rPr>
              <w:t xml:space="preserve">, J. Bélanger &amp; D. Pilling (eds.). FAO Commission on Genetic Resources for Food and Agriculture Assessments. Rome. 572 pp. </w:t>
            </w:r>
            <w:hyperlink r:id="rId12" w:tgtFrame="_blank" w:history="1">
              <w:r w:rsidRPr="000956C5">
                <w:rPr>
                  <w:rStyle w:val="Hyperlink"/>
                  <w:rFonts w:asciiTheme="minorHAnsi" w:eastAsiaTheme="minorEastAsia" w:hAnsiTheme="minorHAnsi" w:cstheme="minorHAnsi"/>
                  <w:color w:val="0D6CAC"/>
                  <w:sz w:val="22"/>
                  <w:szCs w:val="22"/>
                  <w:shd w:val="clear" w:color="auto" w:fill="FFFFFF"/>
                </w:rPr>
                <w:t>https://doi.org/10.4060/CA3129EN</w:t>
              </w:r>
            </w:hyperlink>
            <w:r w:rsidRPr="000956C5">
              <w:rPr>
                <w:rFonts w:asciiTheme="minorHAnsi" w:eastAsiaTheme="minorEastAsia" w:hAnsiTheme="minorHAnsi" w:cstheme="minorHAnsi"/>
                <w:sz w:val="22"/>
                <w:szCs w:val="22"/>
              </w:rPr>
              <w:t xml:space="preserve">,) Table 5.2 </w:t>
            </w:r>
            <w:r w:rsidRPr="000956C5">
              <w:rPr>
                <w:rFonts w:asciiTheme="minorHAnsi" w:eastAsiaTheme="minorEastAsia" w:hAnsiTheme="minorHAnsi" w:cstheme="minorHAnsi"/>
                <w:b/>
                <w:bCs/>
                <w:sz w:val="22"/>
                <w:szCs w:val="22"/>
              </w:rPr>
              <w:t>Reported trends in the adoption of selected management practices and approaches, by production system</w:t>
            </w:r>
          </w:p>
          <w:p w14:paraId="17AD93B2" w14:textId="77777777" w:rsidR="0000393E" w:rsidRPr="000956C5" w:rsidRDefault="0000393E" w:rsidP="0000393E">
            <w:pPr>
              <w:rPr>
                <w:rFonts w:asciiTheme="minorHAnsi" w:eastAsiaTheme="minorEastAsia" w:hAnsiTheme="minorHAnsi" w:cstheme="minorHAnsi"/>
                <w:sz w:val="22"/>
                <w:szCs w:val="22"/>
              </w:rPr>
            </w:pPr>
          </w:p>
          <w:p w14:paraId="0F5D99E5" w14:textId="77777777" w:rsidR="0000393E" w:rsidRPr="000956C5" w:rsidRDefault="0000393E" w:rsidP="0000393E">
            <w:pPr>
              <w:rPr>
                <w:rFonts w:asciiTheme="minorHAnsi" w:eastAsiaTheme="minorEastAsia" w:hAnsiTheme="minorHAnsi" w:cstheme="minorHAnsi"/>
                <w:sz w:val="22"/>
                <w:szCs w:val="22"/>
              </w:rPr>
            </w:pPr>
            <w:r w:rsidRPr="000956C5">
              <w:rPr>
                <w:rFonts w:asciiTheme="minorHAnsi" w:eastAsiaTheme="minorEastAsia" w:hAnsiTheme="minorHAnsi" w:cstheme="minorHAnsi"/>
                <w:sz w:val="22"/>
                <w:szCs w:val="22"/>
              </w:rPr>
              <w:t xml:space="preserve">Justification: conservation agriculture is only one of several management practices that can be considered sustainable and/or biodiversity-friendly (often integrated approaches), and that are used in different economic, social and environmental contexts: agroecology, agroforestry, integrated crop-livestock, organic agriculture, integrated pest management, sustainable soil management, pollinator management, etc. </w:t>
            </w:r>
          </w:p>
        </w:tc>
      </w:tr>
      <w:tr w:rsidR="0000393E" w:rsidRPr="000956C5" w14:paraId="56423232" w14:textId="77777777" w:rsidTr="00F87C4F">
        <w:trPr>
          <w:trHeight w:val="224"/>
        </w:trPr>
        <w:tc>
          <w:tcPr>
            <w:tcW w:w="750" w:type="dxa"/>
          </w:tcPr>
          <w:p w14:paraId="6EE8AC5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77BB07B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20</w:t>
            </w:r>
          </w:p>
        </w:tc>
        <w:tc>
          <w:tcPr>
            <w:tcW w:w="968" w:type="dxa"/>
          </w:tcPr>
          <w:p w14:paraId="6E9CE53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T 9</w:t>
            </w:r>
          </w:p>
        </w:tc>
        <w:tc>
          <w:tcPr>
            <w:tcW w:w="998" w:type="dxa"/>
            <w:gridSpan w:val="2"/>
          </w:tcPr>
          <w:p w14:paraId="0DE4B5B7" w14:textId="77777777" w:rsidR="0000393E" w:rsidRPr="000956C5" w:rsidRDefault="0000393E" w:rsidP="0000393E">
            <w:pPr>
              <w:rPr>
                <w:rFonts w:asciiTheme="minorHAnsi" w:hAnsiTheme="minorHAnsi" w:cstheme="minorHAnsi"/>
                <w:sz w:val="22"/>
                <w:szCs w:val="22"/>
              </w:rPr>
            </w:pPr>
          </w:p>
        </w:tc>
        <w:tc>
          <w:tcPr>
            <w:tcW w:w="6961" w:type="dxa"/>
          </w:tcPr>
          <w:p w14:paraId="19CD0479" w14:textId="04CF5FD3" w:rsidR="0000393E" w:rsidRPr="00F87C4F" w:rsidRDefault="0000393E" w:rsidP="0000393E">
            <w:pPr>
              <w:rPr>
                <w:rFonts w:asciiTheme="minorHAnsi" w:hAnsiTheme="minorHAnsi" w:cstheme="minorHAnsi"/>
                <w:bCs/>
                <w:sz w:val="22"/>
                <w:szCs w:val="22"/>
              </w:rPr>
            </w:pPr>
            <w:r w:rsidRPr="000956C5">
              <w:rPr>
                <w:rFonts w:asciiTheme="minorHAnsi" w:hAnsiTheme="minorHAnsi" w:cstheme="minorHAnsi"/>
                <w:sz w:val="22"/>
                <w:szCs w:val="22"/>
              </w:rPr>
              <w:t xml:space="preserve">‘Productivity gaps to be reduced by at least 50%’: this would need to be clarified (what are productivity gaps, </w:t>
            </w:r>
            <w:r w:rsidR="00E1449E">
              <w:rPr>
                <w:rFonts w:asciiTheme="minorHAnsi" w:hAnsiTheme="minorHAnsi" w:cstheme="minorHAnsi"/>
                <w:sz w:val="22"/>
                <w:szCs w:val="22"/>
              </w:rPr>
              <w:t xml:space="preserve">productivity of what, </w:t>
            </w:r>
            <w:r w:rsidRPr="000956C5">
              <w:rPr>
                <w:rFonts w:asciiTheme="minorHAnsi" w:hAnsiTheme="minorHAnsi" w:cstheme="minorHAnsi"/>
                <w:sz w:val="22"/>
                <w:szCs w:val="22"/>
              </w:rPr>
              <w:t xml:space="preserve">what is the baseline), and there seem to be </w:t>
            </w:r>
            <w:r w:rsidRPr="000956C5">
              <w:rPr>
                <w:rFonts w:asciiTheme="minorHAnsi" w:hAnsiTheme="minorHAnsi" w:cstheme="minorHAnsi"/>
                <w:b/>
                <w:bCs/>
                <w:sz w:val="22"/>
                <w:szCs w:val="22"/>
              </w:rPr>
              <w:t>no indicators or measures to verify progress against this target in the framework.</w:t>
            </w:r>
            <w:r w:rsidR="00E1449E">
              <w:rPr>
                <w:rFonts w:asciiTheme="minorHAnsi" w:hAnsiTheme="minorHAnsi" w:cstheme="minorHAnsi"/>
                <w:b/>
                <w:bCs/>
                <w:sz w:val="22"/>
                <w:szCs w:val="22"/>
              </w:rPr>
              <w:t xml:space="preserve"> </w:t>
            </w:r>
            <w:r w:rsidR="00E1449E" w:rsidRPr="00F87C4F">
              <w:rPr>
                <w:rFonts w:asciiTheme="minorHAnsi" w:hAnsiTheme="minorHAnsi" w:cstheme="minorHAnsi"/>
                <w:bCs/>
                <w:sz w:val="22"/>
                <w:szCs w:val="22"/>
              </w:rPr>
              <w:t>Remove?</w:t>
            </w:r>
          </w:p>
          <w:p w14:paraId="66204FF1" w14:textId="77777777" w:rsidR="0000393E" w:rsidRPr="000956C5" w:rsidRDefault="0000393E" w:rsidP="0000393E">
            <w:pPr>
              <w:rPr>
                <w:rFonts w:asciiTheme="minorHAnsi" w:hAnsiTheme="minorHAnsi" w:cstheme="minorHAnsi"/>
                <w:sz w:val="22"/>
                <w:szCs w:val="22"/>
              </w:rPr>
            </w:pPr>
          </w:p>
          <w:p w14:paraId="03ECD8B2"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 xml:space="preserve">FAO has a definition of ‘yield gap’ and models for crop systems; </w:t>
            </w:r>
            <w:r w:rsidRPr="000956C5">
              <w:rPr>
                <w:rFonts w:asciiTheme="minorHAnsi" w:hAnsiTheme="minorHAnsi" w:cstheme="minorHAnsi"/>
                <w:color w:val="000000"/>
                <w:sz w:val="22"/>
                <w:szCs w:val="22"/>
                <w:shd w:val="clear" w:color="auto" w:fill="FFFFFF"/>
              </w:rPr>
              <w:t>FAO and the International Institute for Applied Systems Analysis (IIASA) have developed the Agro-Ecological Zones (AEZ) methodology over the past 30 years for assessing agricultural resources and potential.</w:t>
            </w:r>
            <w:r w:rsidRPr="000956C5">
              <w:rPr>
                <w:rFonts w:asciiTheme="minorHAnsi" w:hAnsiTheme="minorHAnsi" w:cstheme="minorHAnsi"/>
                <w:sz w:val="22"/>
                <w:szCs w:val="22"/>
              </w:rPr>
              <w:t xml:space="preserve"> </w:t>
            </w:r>
          </w:p>
          <w:p w14:paraId="3BEBB854" w14:textId="77777777" w:rsidR="0000393E" w:rsidRPr="000956C5" w:rsidRDefault="0036238C" w:rsidP="0000393E">
            <w:pPr>
              <w:rPr>
                <w:rFonts w:asciiTheme="minorHAnsi" w:hAnsiTheme="minorHAnsi" w:cstheme="minorHAnsi"/>
                <w:sz w:val="22"/>
                <w:szCs w:val="22"/>
              </w:rPr>
            </w:pPr>
            <w:hyperlink r:id="rId13" w:history="1">
              <w:r w:rsidR="0000393E" w:rsidRPr="000956C5">
                <w:rPr>
                  <w:rStyle w:val="Hyperlink"/>
                  <w:rFonts w:asciiTheme="minorHAnsi" w:hAnsiTheme="minorHAnsi" w:cstheme="minorHAnsi"/>
                  <w:sz w:val="22"/>
                  <w:szCs w:val="22"/>
                </w:rPr>
                <w:t>http://www.fao.org/nr/gaez/about-data-portal/yield-and-production-gaps/en/</w:t>
              </w:r>
            </w:hyperlink>
            <w:r w:rsidR="0000393E" w:rsidRPr="000956C5">
              <w:rPr>
                <w:rFonts w:asciiTheme="minorHAnsi" w:hAnsiTheme="minorHAnsi" w:cstheme="minorHAnsi"/>
                <w:sz w:val="22"/>
                <w:szCs w:val="22"/>
              </w:rPr>
              <w:t xml:space="preserve">; or </w:t>
            </w:r>
          </w:p>
          <w:p w14:paraId="525E6A0A" w14:textId="77777777" w:rsidR="0000393E" w:rsidRPr="000956C5" w:rsidRDefault="0036238C" w:rsidP="0000393E">
            <w:pPr>
              <w:rPr>
                <w:rFonts w:asciiTheme="minorHAnsi" w:hAnsiTheme="minorHAnsi" w:cstheme="minorHAnsi"/>
                <w:sz w:val="22"/>
                <w:szCs w:val="22"/>
              </w:rPr>
            </w:pPr>
            <w:hyperlink r:id="rId14" w:history="1">
              <w:r w:rsidR="0000393E" w:rsidRPr="000956C5">
                <w:rPr>
                  <w:rStyle w:val="Hyperlink"/>
                  <w:rFonts w:asciiTheme="minorHAnsi" w:hAnsiTheme="minorHAnsi" w:cstheme="minorHAnsi"/>
                  <w:sz w:val="22"/>
                  <w:szCs w:val="22"/>
                </w:rPr>
                <w:t>http://www.fao.org/3/a-i4695e.pdf</w:t>
              </w:r>
            </w:hyperlink>
          </w:p>
        </w:tc>
      </w:tr>
      <w:tr w:rsidR="0000393E" w:rsidRPr="000956C5" w14:paraId="29A5C116" w14:textId="77777777" w:rsidTr="00F87C4F">
        <w:trPr>
          <w:trHeight w:val="224"/>
        </w:trPr>
        <w:tc>
          <w:tcPr>
            <w:tcW w:w="750" w:type="dxa"/>
          </w:tcPr>
          <w:p w14:paraId="795E67BA"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72E4F76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23</w:t>
            </w:r>
          </w:p>
        </w:tc>
        <w:tc>
          <w:tcPr>
            <w:tcW w:w="968" w:type="dxa"/>
          </w:tcPr>
          <w:p w14:paraId="6BF20CBC"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w:t>
            </w:r>
          </w:p>
        </w:tc>
        <w:tc>
          <w:tcPr>
            <w:tcW w:w="998" w:type="dxa"/>
            <w:gridSpan w:val="2"/>
          </w:tcPr>
          <w:p w14:paraId="5494604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 xml:space="preserve">144 </w:t>
            </w:r>
          </w:p>
        </w:tc>
        <w:tc>
          <w:tcPr>
            <w:tcW w:w="6961" w:type="dxa"/>
          </w:tcPr>
          <w:p w14:paraId="4CA3447F" w14:textId="77777777" w:rsidR="0000393E" w:rsidRPr="000956C5" w:rsidRDefault="0000393E" w:rsidP="0000393E">
            <w:pPr>
              <w:rPr>
                <w:rFonts w:asciiTheme="minorHAnsi" w:hAnsiTheme="minorHAnsi" w:cstheme="minorHAnsi"/>
                <w:sz w:val="22"/>
                <w:szCs w:val="22"/>
              </w:rPr>
            </w:pPr>
            <w:r w:rsidRPr="00F87C4F">
              <w:rPr>
                <w:rFonts w:asciiTheme="minorHAnsi" w:hAnsiTheme="minorHAnsi" w:cstheme="minorHAnsi"/>
                <w:bCs/>
                <w:sz w:val="22"/>
                <w:szCs w:val="22"/>
              </w:rPr>
              <w:t>Add after row 144 as possible indicator</w:t>
            </w:r>
            <w:r w:rsidRPr="00EA24B8">
              <w:rPr>
                <w:rFonts w:asciiTheme="minorHAnsi" w:hAnsiTheme="minorHAnsi" w:cstheme="minorHAnsi"/>
                <w:sz w:val="22"/>
                <w:szCs w:val="22"/>
              </w:rPr>
              <w:t>: Number</w:t>
            </w:r>
            <w:r w:rsidRPr="000956C5">
              <w:rPr>
                <w:rFonts w:asciiTheme="minorHAnsi" w:hAnsiTheme="minorHAnsi" w:cstheme="minorHAnsi"/>
                <w:sz w:val="22"/>
                <w:szCs w:val="22"/>
              </w:rPr>
              <w:t xml:space="preserve"> of countries that have taken measures to provide that genetic resources utilized within their jurisdiction have been accessed in accordance with prior informed consent and that mutually agreed terms have been established, as required by the domestic access and benefit-sharing legislation or regulatory requirements of the other country. </w:t>
            </w:r>
          </w:p>
        </w:tc>
      </w:tr>
      <w:tr w:rsidR="0000393E" w:rsidRPr="000956C5" w14:paraId="60D95CC5" w14:textId="77777777" w:rsidTr="00F87C4F">
        <w:trPr>
          <w:trHeight w:val="224"/>
        </w:trPr>
        <w:tc>
          <w:tcPr>
            <w:tcW w:w="750" w:type="dxa"/>
          </w:tcPr>
          <w:p w14:paraId="587A3F38" w14:textId="298CBCEC"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08118979" w14:textId="52681086"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25</w:t>
            </w:r>
          </w:p>
        </w:tc>
        <w:tc>
          <w:tcPr>
            <w:tcW w:w="968" w:type="dxa"/>
          </w:tcPr>
          <w:p w14:paraId="38CDDA5E" w14:textId="12BD2BD1"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A</w:t>
            </w:r>
          </w:p>
        </w:tc>
        <w:tc>
          <w:tcPr>
            <w:tcW w:w="998" w:type="dxa"/>
            <w:gridSpan w:val="2"/>
          </w:tcPr>
          <w:p w14:paraId="3F587247" w14:textId="4841D042"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152</w:t>
            </w:r>
          </w:p>
        </w:tc>
        <w:tc>
          <w:tcPr>
            <w:tcW w:w="6961" w:type="dxa"/>
          </w:tcPr>
          <w:p w14:paraId="7D710D3F" w14:textId="64FE6FE1" w:rsidR="0000393E" w:rsidRPr="000956C5" w:rsidRDefault="0000393E" w:rsidP="0000393E">
            <w:pPr>
              <w:rPr>
                <w:rFonts w:asciiTheme="minorHAnsi" w:eastAsia="Calibri" w:hAnsiTheme="minorHAnsi" w:cstheme="minorHAnsi"/>
                <w:sz w:val="22"/>
                <w:szCs w:val="22"/>
              </w:rPr>
            </w:pPr>
            <w:r w:rsidRPr="000956C5">
              <w:rPr>
                <w:rFonts w:asciiTheme="minorHAnsi" w:eastAsia="Calibri" w:hAnsiTheme="minorHAnsi" w:cstheme="minorHAnsi"/>
                <w:sz w:val="22"/>
                <w:szCs w:val="22"/>
              </w:rPr>
              <w:t>Add ‘and across all sectors’ in the description of Component target T13.1: ‘Biodiversity reflected in policies and planning at all levels and across all sectors’.</w:t>
            </w:r>
          </w:p>
        </w:tc>
      </w:tr>
      <w:tr w:rsidR="0000393E" w:rsidRPr="000956C5" w14:paraId="108DA2A8" w14:textId="77777777" w:rsidTr="00F87C4F">
        <w:trPr>
          <w:trHeight w:val="224"/>
        </w:trPr>
        <w:tc>
          <w:tcPr>
            <w:tcW w:w="750" w:type="dxa"/>
          </w:tcPr>
          <w:p w14:paraId="625F18D4"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219897C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30</w:t>
            </w:r>
          </w:p>
        </w:tc>
        <w:tc>
          <w:tcPr>
            <w:tcW w:w="968" w:type="dxa"/>
          </w:tcPr>
          <w:p w14:paraId="3AA6570F"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b/c</w:t>
            </w:r>
          </w:p>
        </w:tc>
        <w:tc>
          <w:tcPr>
            <w:tcW w:w="998" w:type="dxa"/>
            <w:gridSpan w:val="2"/>
          </w:tcPr>
          <w:p w14:paraId="2FFB8B9D"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179</w:t>
            </w:r>
          </w:p>
        </w:tc>
        <w:tc>
          <w:tcPr>
            <w:tcW w:w="6961" w:type="dxa"/>
          </w:tcPr>
          <w:p w14:paraId="24B15232" w14:textId="77777777" w:rsidR="0000393E" w:rsidRPr="000956C5" w:rsidRDefault="0000393E" w:rsidP="0000393E">
            <w:pPr>
              <w:autoSpaceDE w:val="0"/>
              <w:autoSpaceDN w:val="0"/>
              <w:adjustRightInd w:val="0"/>
              <w:rPr>
                <w:rFonts w:asciiTheme="minorHAnsi" w:hAnsiTheme="minorHAnsi" w:cstheme="minorHAnsi"/>
                <w:sz w:val="22"/>
                <w:szCs w:val="22"/>
              </w:rPr>
            </w:pPr>
            <w:r w:rsidRPr="000956C5">
              <w:rPr>
                <w:rFonts w:asciiTheme="minorHAnsi" w:hAnsiTheme="minorHAnsi" w:cstheme="minorHAnsi"/>
                <w:sz w:val="22"/>
                <w:szCs w:val="22"/>
              </w:rPr>
              <w:t>B Trends in a proportion of supply chains which are legal and sustainable</w:t>
            </w:r>
          </w:p>
          <w:p w14:paraId="16450518"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C MSC Certified Catch</w:t>
            </w:r>
          </w:p>
          <w:p w14:paraId="74CEB542"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What does that mean? Share of MSC Certified Catch in overall capture fish sold?</w:t>
            </w:r>
          </w:p>
        </w:tc>
      </w:tr>
      <w:tr w:rsidR="0000393E" w:rsidRPr="000956C5" w14:paraId="2DBF0D7D" w14:textId="77777777" w:rsidTr="00F87C4F">
        <w:trPr>
          <w:trHeight w:val="224"/>
        </w:trPr>
        <w:tc>
          <w:tcPr>
            <w:tcW w:w="750" w:type="dxa"/>
          </w:tcPr>
          <w:p w14:paraId="6B62F1B3" w14:textId="2D62619C"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2</w:t>
            </w:r>
          </w:p>
        </w:tc>
        <w:tc>
          <w:tcPr>
            <w:tcW w:w="668" w:type="dxa"/>
          </w:tcPr>
          <w:p w14:paraId="02F2C34E" w14:textId="642C36D0"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31</w:t>
            </w:r>
          </w:p>
        </w:tc>
        <w:tc>
          <w:tcPr>
            <w:tcW w:w="968" w:type="dxa"/>
          </w:tcPr>
          <w:p w14:paraId="680A4E5D" w14:textId="685989CC"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B</w:t>
            </w:r>
          </w:p>
        </w:tc>
        <w:tc>
          <w:tcPr>
            <w:tcW w:w="998" w:type="dxa"/>
            <w:gridSpan w:val="2"/>
          </w:tcPr>
          <w:p w14:paraId="19219836" w14:textId="467D51BB"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193</w:t>
            </w:r>
          </w:p>
        </w:tc>
        <w:tc>
          <w:tcPr>
            <w:tcW w:w="6961" w:type="dxa"/>
          </w:tcPr>
          <w:p w14:paraId="7A83A379" w14:textId="02EA88C0" w:rsidR="0000393E" w:rsidRPr="000956C5" w:rsidRDefault="0000393E" w:rsidP="0000393E">
            <w:pPr>
              <w:rPr>
                <w:rFonts w:asciiTheme="minorHAnsi" w:eastAsia="Calibri" w:hAnsiTheme="minorHAnsi" w:cstheme="minorHAnsi"/>
                <w:sz w:val="22"/>
                <w:szCs w:val="22"/>
              </w:rPr>
            </w:pPr>
            <w:r w:rsidRPr="000956C5">
              <w:rPr>
                <w:rFonts w:asciiTheme="minorHAnsi" w:eastAsia="Calibri" w:hAnsiTheme="minorHAnsi" w:cstheme="minorHAnsi"/>
                <w:sz w:val="22"/>
                <w:szCs w:val="22"/>
              </w:rPr>
              <w:t>To measure monitoring element ‘Trends in demand for more environmentally friendly products’, perhaps the two following indicators could be introduced:</w:t>
            </w:r>
          </w:p>
          <w:p w14:paraId="2724C3AF" w14:textId="297245CE" w:rsidR="0000393E" w:rsidRPr="000956C5" w:rsidRDefault="0000393E" w:rsidP="0000393E">
            <w:pPr>
              <w:rPr>
                <w:rFonts w:asciiTheme="minorHAnsi" w:eastAsia="Calibri" w:hAnsiTheme="minorHAnsi" w:cstheme="minorHAnsi"/>
                <w:sz w:val="22"/>
                <w:szCs w:val="22"/>
              </w:rPr>
            </w:pPr>
            <w:r w:rsidRPr="000956C5">
              <w:rPr>
                <w:rFonts w:asciiTheme="minorHAnsi" w:eastAsia="Calibri" w:hAnsiTheme="minorHAnsi" w:cstheme="minorHAnsi"/>
                <w:sz w:val="22"/>
                <w:szCs w:val="22"/>
              </w:rPr>
              <w:t>- Consumption of local food products per capita</w:t>
            </w:r>
          </w:p>
          <w:p w14:paraId="296FEF7D" w14:textId="48262262" w:rsidR="0000393E" w:rsidRPr="000956C5" w:rsidRDefault="0000393E" w:rsidP="0000393E">
            <w:pPr>
              <w:rPr>
                <w:rFonts w:asciiTheme="minorHAnsi" w:eastAsia="Calibri" w:hAnsiTheme="minorHAnsi" w:cstheme="minorHAnsi"/>
                <w:sz w:val="22"/>
                <w:szCs w:val="22"/>
              </w:rPr>
            </w:pPr>
            <w:r w:rsidRPr="000956C5">
              <w:rPr>
                <w:rFonts w:asciiTheme="minorHAnsi" w:eastAsia="Calibri" w:hAnsiTheme="minorHAnsi" w:cstheme="minorHAnsi"/>
                <w:sz w:val="22"/>
                <w:szCs w:val="22"/>
              </w:rPr>
              <w:t>- Consumption of organically produced food products per capita</w:t>
            </w:r>
          </w:p>
        </w:tc>
      </w:tr>
      <w:tr w:rsidR="0000393E" w:rsidRPr="000956C5" w14:paraId="7194DBDC" w14:textId="77777777" w:rsidTr="00F87C4F">
        <w:trPr>
          <w:trHeight w:val="224"/>
        </w:trPr>
        <w:tc>
          <w:tcPr>
            <w:tcW w:w="750" w:type="dxa"/>
          </w:tcPr>
          <w:p w14:paraId="769D0D3C" w14:textId="77777777" w:rsidR="0000393E" w:rsidRPr="000956C5" w:rsidRDefault="0000393E" w:rsidP="0000393E">
            <w:pPr>
              <w:rPr>
                <w:rFonts w:asciiTheme="minorHAnsi" w:hAnsiTheme="minorHAnsi" w:cstheme="minorHAnsi"/>
                <w:sz w:val="22"/>
                <w:szCs w:val="22"/>
              </w:rPr>
            </w:pPr>
          </w:p>
        </w:tc>
        <w:tc>
          <w:tcPr>
            <w:tcW w:w="668" w:type="dxa"/>
          </w:tcPr>
          <w:p w14:paraId="54CD245A" w14:textId="77777777" w:rsidR="0000393E" w:rsidRPr="000956C5" w:rsidRDefault="0000393E" w:rsidP="0000393E">
            <w:pPr>
              <w:rPr>
                <w:rFonts w:asciiTheme="minorHAnsi" w:hAnsiTheme="minorHAnsi" w:cstheme="minorHAnsi"/>
                <w:sz w:val="22"/>
                <w:szCs w:val="22"/>
              </w:rPr>
            </w:pPr>
          </w:p>
        </w:tc>
        <w:tc>
          <w:tcPr>
            <w:tcW w:w="968" w:type="dxa"/>
          </w:tcPr>
          <w:p w14:paraId="1231BE67" w14:textId="77777777" w:rsidR="0000393E" w:rsidRPr="000956C5" w:rsidRDefault="0000393E" w:rsidP="0000393E">
            <w:pPr>
              <w:rPr>
                <w:rFonts w:asciiTheme="minorHAnsi" w:hAnsiTheme="minorHAnsi" w:cstheme="minorHAnsi"/>
                <w:sz w:val="22"/>
                <w:szCs w:val="22"/>
              </w:rPr>
            </w:pPr>
          </w:p>
        </w:tc>
        <w:tc>
          <w:tcPr>
            <w:tcW w:w="998" w:type="dxa"/>
            <w:gridSpan w:val="2"/>
          </w:tcPr>
          <w:p w14:paraId="36FEB5B0" w14:textId="77777777" w:rsidR="0000393E" w:rsidRPr="000956C5" w:rsidRDefault="0000393E" w:rsidP="0000393E">
            <w:pPr>
              <w:rPr>
                <w:rFonts w:asciiTheme="minorHAnsi" w:hAnsiTheme="minorHAnsi" w:cstheme="minorHAnsi"/>
                <w:sz w:val="22"/>
                <w:szCs w:val="22"/>
              </w:rPr>
            </w:pPr>
          </w:p>
        </w:tc>
        <w:tc>
          <w:tcPr>
            <w:tcW w:w="6961" w:type="dxa"/>
          </w:tcPr>
          <w:p w14:paraId="30D7AA69" w14:textId="77777777" w:rsidR="0000393E" w:rsidRPr="000956C5" w:rsidRDefault="0000393E" w:rsidP="0000393E">
            <w:pPr>
              <w:rPr>
                <w:rFonts w:asciiTheme="minorHAnsi" w:hAnsiTheme="minorHAnsi" w:cstheme="minorHAnsi"/>
                <w:sz w:val="22"/>
                <w:szCs w:val="22"/>
              </w:rPr>
            </w:pPr>
          </w:p>
        </w:tc>
      </w:tr>
      <w:tr w:rsidR="0000393E" w:rsidRPr="000956C5" w14:paraId="5AE48A43" w14:textId="77777777" w:rsidTr="00F87C4F">
        <w:trPr>
          <w:trHeight w:val="224"/>
        </w:trPr>
        <w:tc>
          <w:tcPr>
            <w:tcW w:w="750" w:type="dxa"/>
          </w:tcPr>
          <w:p w14:paraId="50F40DEB" w14:textId="77777777" w:rsidR="0000393E" w:rsidRPr="000956C5" w:rsidRDefault="0000393E" w:rsidP="0000393E">
            <w:pPr>
              <w:rPr>
                <w:rFonts w:asciiTheme="minorHAnsi" w:hAnsiTheme="minorHAnsi" w:cstheme="minorHAnsi"/>
                <w:sz w:val="22"/>
                <w:szCs w:val="22"/>
              </w:rPr>
            </w:pPr>
          </w:p>
        </w:tc>
        <w:tc>
          <w:tcPr>
            <w:tcW w:w="668" w:type="dxa"/>
          </w:tcPr>
          <w:p w14:paraId="77A52294" w14:textId="77777777" w:rsidR="0000393E" w:rsidRPr="000956C5" w:rsidRDefault="0000393E" w:rsidP="0000393E">
            <w:pPr>
              <w:rPr>
                <w:rFonts w:asciiTheme="minorHAnsi" w:hAnsiTheme="minorHAnsi" w:cstheme="minorHAnsi"/>
                <w:sz w:val="22"/>
                <w:szCs w:val="22"/>
              </w:rPr>
            </w:pPr>
          </w:p>
        </w:tc>
        <w:tc>
          <w:tcPr>
            <w:tcW w:w="968" w:type="dxa"/>
          </w:tcPr>
          <w:p w14:paraId="007DCDA8" w14:textId="77777777" w:rsidR="0000393E" w:rsidRPr="000956C5" w:rsidRDefault="0000393E" w:rsidP="0000393E">
            <w:pPr>
              <w:rPr>
                <w:rFonts w:asciiTheme="minorHAnsi" w:hAnsiTheme="minorHAnsi" w:cstheme="minorHAnsi"/>
                <w:sz w:val="22"/>
                <w:szCs w:val="22"/>
              </w:rPr>
            </w:pPr>
          </w:p>
        </w:tc>
        <w:tc>
          <w:tcPr>
            <w:tcW w:w="998" w:type="dxa"/>
            <w:gridSpan w:val="2"/>
          </w:tcPr>
          <w:p w14:paraId="450EA2D7" w14:textId="77777777" w:rsidR="0000393E" w:rsidRPr="000956C5" w:rsidRDefault="0000393E" w:rsidP="0000393E">
            <w:pPr>
              <w:rPr>
                <w:rFonts w:asciiTheme="minorHAnsi" w:hAnsiTheme="minorHAnsi" w:cstheme="minorHAnsi"/>
                <w:sz w:val="22"/>
                <w:szCs w:val="22"/>
              </w:rPr>
            </w:pPr>
          </w:p>
        </w:tc>
        <w:tc>
          <w:tcPr>
            <w:tcW w:w="6961" w:type="dxa"/>
          </w:tcPr>
          <w:p w14:paraId="3DD355C9" w14:textId="77777777" w:rsidR="0000393E" w:rsidRPr="000956C5" w:rsidRDefault="0000393E" w:rsidP="0000393E">
            <w:pPr>
              <w:rPr>
                <w:rFonts w:asciiTheme="minorHAnsi" w:hAnsiTheme="minorHAnsi" w:cstheme="minorHAnsi"/>
                <w:sz w:val="22"/>
                <w:szCs w:val="22"/>
              </w:rPr>
            </w:pPr>
          </w:p>
        </w:tc>
      </w:tr>
      <w:tr w:rsidR="0000393E" w:rsidRPr="000956C5" w14:paraId="49C8C825" w14:textId="77777777" w:rsidTr="00F87C4F">
        <w:trPr>
          <w:trHeight w:val="224"/>
        </w:trPr>
        <w:tc>
          <w:tcPr>
            <w:tcW w:w="750" w:type="dxa"/>
          </w:tcPr>
          <w:p w14:paraId="1A81F0B1" w14:textId="77777777" w:rsidR="0000393E" w:rsidRPr="000956C5" w:rsidRDefault="0000393E" w:rsidP="0000393E">
            <w:pPr>
              <w:rPr>
                <w:rFonts w:asciiTheme="minorHAnsi" w:hAnsiTheme="minorHAnsi" w:cstheme="minorHAnsi"/>
                <w:sz w:val="22"/>
                <w:szCs w:val="22"/>
              </w:rPr>
            </w:pPr>
          </w:p>
        </w:tc>
        <w:tc>
          <w:tcPr>
            <w:tcW w:w="668" w:type="dxa"/>
          </w:tcPr>
          <w:p w14:paraId="717AAFBA" w14:textId="77777777" w:rsidR="0000393E" w:rsidRPr="000956C5" w:rsidRDefault="0000393E" w:rsidP="0000393E">
            <w:pPr>
              <w:rPr>
                <w:rFonts w:asciiTheme="minorHAnsi" w:hAnsiTheme="minorHAnsi" w:cstheme="minorHAnsi"/>
                <w:sz w:val="22"/>
                <w:szCs w:val="22"/>
              </w:rPr>
            </w:pPr>
          </w:p>
        </w:tc>
        <w:tc>
          <w:tcPr>
            <w:tcW w:w="968" w:type="dxa"/>
          </w:tcPr>
          <w:p w14:paraId="56EE48EE" w14:textId="77777777" w:rsidR="0000393E" w:rsidRPr="000956C5" w:rsidRDefault="0000393E" w:rsidP="0000393E">
            <w:pPr>
              <w:rPr>
                <w:rFonts w:asciiTheme="minorHAnsi" w:hAnsiTheme="minorHAnsi" w:cstheme="minorHAnsi"/>
                <w:sz w:val="22"/>
                <w:szCs w:val="22"/>
              </w:rPr>
            </w:pPr>
          </w:p>
        </w:tc>
        <w:tc>
          <w:tcPr>
            <w:tcW w:w="998" w:type="dxa"/>
            <w:gridSpan w:val="2"/>
          </w:tcPr>
          <w:p w14:paraId="2908EB2C" w14:textId="77777777" w:rsidR="0000393E" w:rsidRPr="000956C5" w:rsidRDefault="0000393E" w:rsidP="0000393E">
            <w:pPr>
              <w:rPr>
                <w:rFonts w:asciiTheme="minorHAnsi" w:hAnsiTheme="minorHAnsi" w:cstheme="minorHAnsi"/>
                <w:sz w:val="22"/>
                <w:szCs w:val="22"/>
              </w:rPr>
            </w:pPr>
          </w:p>
        </w:tc>
        <w:tc>
          <w:tcPr>
            <w:tcW w:w="6961" w:type="dxa"/>
          </w:tcPr>
          <w:p w14:paraId="5536005E" w14:textId="77777777" w:rsidR="0000393E" w:rsidRPr="000956C5" w:rsidRDefault="0000393E" w:rsidP="0000393E">
            <w:pPr>
              <w:rPr>
                <w:rFonts w:asciiTheme="minorHAnsi" w:hAnsiTheme="minorHAnsi" w:cstheme="minorHAnsi"/>
                <w:sz w:val="22"/>
                <w:szCs w:val="22"/>
              </w:rPr>
            </w:pPr>
            <w:r w:rsidRPr="000956C5">
              <w:rPr>
                <w:rFonts w:asciiTheme="minorHAnsi" w:hAnsiTheme="minorHAnsi" w:cstheme="minorHAnsi"/>
                <w:sz w:val="22"/>
                <w:szCs w:val="22"/>
              </w:rPr>
              <w:t>Additional rows can be added to this table by selecting “Table” followed by “insert” and “rows below”</w:t>
            </w:r>
          </w:p>
        </w:tc>
      </w:tr>
    </w:tbl>
    <w:p w14:paraId="121FD38A" w14:textId="77777777" w:rsidR="00AA726F" w:rsidRPr="000956C5" w:rsidRDefault="00AA726F" w:rsidP="00DB71FC">
      <w:pPr>
        <w:pStyle w:val="Default"/>
        <w:jc w:val="center"/>
        <w:rPr>
          <w:rFonts w:asciiTheme="minorHAnsi" w:hAnsiTheme="minorHAnsi" w:cstheme="minorHAnsi"/>
          <w:b/>
          <w:sz w:val="22"/>
          <w:szCs w:val="22"/>
          <w:u w:val="single"/>
        </w:rPr>
      </w:pPr>
    </w:p>
    <w:p w14:paraId="1FE2DD96" w14:textId="77777777" w:rsidR="003378AB" w:rsidRPr="000956C5" w:rsidRDefault="003378AB" w:rsidP="00DB71FC">
      <w:pPr>
        <w:pStyle w:val="Default"/>
        <w:jc w:val="center"/>
        <w:rPr>
          <w:rFonts w:asciiTheme="minorHAnsi" w:hAnsiTheme="minorHAnsi" w:cstheme="minorHAnsi"/>
          <w:b/>
          <w:sz w:val="22"/>
          <w:szCs w:val="22"/>
          <w:u w:val="single"/>
        </w:rPr>
      </w:pPr>
    </w:p>
    <w:p w14:paraId="3C1082BE" w14:textId="77777777" w:rsidR="003378AB" w:rsidRPr="000956C5" w:rsidRDefault="003378AB" w:rsidP="003378AB">
      <w:pPr>
        <w:rPr>
          <w:rFonts w:asciiTheme="minorHAnsi" w:hAnsiTheme="minorHAnsi" w:cstheme="minorHAnsi"/>
          <w:color w:val="000000"/>
          <w:sz w:val="22"/>
          <w:szCs w:val="22"/>
        </w:rPr>
      </w:pPr>
      <w:r w:rsidRPr="000956C5">
        <w:rPr>
          <w:rFonts w:asciiTheme="minorHAnsi" w:hAnsiTheme="minorHAnsi" w:cstheme="minorHAnsi"/>
          <w:color w:val="000000"/>
          <w:sz w:val="22"/>
          <w:szCs w:val="22"/>
          <w:u w:val="single"/>
        </w:rPr>
        <w:t>FAO COMMENTS ON THE MONITORING ELEMENTS</w:t>
      </w:r>
    </w:p>
    <w:p w14:paraId="27357532" w14:textId="77777777" w:rsidR="003378AB" w:rsidRPr="000956C5" w:rsidRDefault="003378AB" w:rsidP="003378AB">
      <w:pPr>
        <w:rPr>
          <w:rFonts w:asciiTheme="minorHAnsi" w:hAnsiTheme="minorHAnsi" w:cstheme="minorHAnsi"/>
          <w:color w:val="000000"/>
          <w:sz w:val="22"/>
          <w:szCs w:val="22"/>
        </w:rPr>
      </w:pPr>
    </w:p>
    <w:p w14:paraId="6B8D904C" w14:textId="77777777" w:rsidR="003378AB" w:rsidRPr="000956C5" w:rsidRDefault="003378AB" w:rsidP="003378AB">
      <w:pPr>
        <w:rPr>
          <w:rFonts w:asciiTheme="minorHAnsi" w:hAnsiTheme="minorHAnsi" w:cstheme="minorHAnsi"/>
          <w:color w:val="000000"/>
          <w:sz w:val="22"/>
          <w:szCs w:val="22"/>
        </w:rPr>
      </w:pPr>
      <w:r w:rsidRPr="000956C5">
        <w:rPr>
          <w:rFonts w:asciiTheme="minorHAnsi" w:hAnsiTheme="minorHAnsi" w:cstheme="minorHAnsi"/>
          <w:color w:val="000000"/>
          <w:sz w:val="22"/>
          <w:szCs w:val="22"/>
        </w:rPr>
        <w:t>Indicator gaps and improvements:</w:t>
      </w:r>
      <w:r w:rsidRPr="000956C5">
        <w:rPr>
          <w:rFonts w:asciiTheme="minorHAnsi" w:hAnsiTheme="minorHAnsi" w:cstheme="minorHAnsi"/>
          <w:color w:val="000000"/>
          <w:sz w:val="22"/>
          <w:szCs w:val="22"/>
        </w:rPr>
        <w:br/>
      </w:r>
      <w:r w:rsidRPr="000956C5">
        <w:rPr>
          <w:rFonts w:asciiTheme="minorHAnsi" w:hAnsiTheme="minorHAnsi" w:cstheme="minorHAnsi"/>
          <w:i/>
          <w:iCs/>
          <w:color w:val="000000"/>
          <w:sz w:val="22"/>
          <w:szCs w:val="22"/>
          <w:shd w:val="clear" w:color="auto" w:fill="FFFFFF"/>
        </w:rPr>
        <w:t>Please note that any current indicator omissions might also be the result of </w:t>
      </w:r>
      <w:hyperlink r:id="rId15" w:tooltip="https://www.cbd.int/sbstta/sbstta-24/post2020-monitoring-en.pdf" w:history="1">
        <w:r w:rsidRPr="000956C5">
          <w:rPr>
            <w:rStyle w:val="Hyperlink"/>
            <w:rFonts w:asciiTheme="minorHAnsi" w:hAnsiTheme="minorHAnsi" w:cstheme="minorHAnsi"/>
            <w:i/>
            <w:iCs/>
            <w:sz w:val="22"/>
            <w:szCs w:val="22"/>
            <w:shd w:val="clear" w:color="auto" w:fill="FFFFFF"/>
          </w:rPr>
          <w:t>provisions 4 and 5 </w:t>
        </w:r>
      </w:hyperlink>
      <w:r w:rsidRPr="000956C5">
        <w:rPr>
          <w:rFonts w:asciiTheme="minorHAnsi" w:hAnsiTheme="minorHAnsi" w:cstheme="minorHAnsi"/>
          <w:i/>
          <w:iCs/>
          <w:color w:val="000000"/>
          <w:sz w:val="22"/>
          <w:szCs w:val="22"/>
          <w:shd w:val="clear" w:color="auto" w:fill="FFFFFF"/>
        </w:rPr>
        <w:t>(see I. Background)</w:t>
      </w:r>
    </w:p>
    <w:p w14:paraId="1B5FF6E5" w14:textId="77777777" w:rsidR="003378AB" w:rsidRPr="00455B4F" w:rsidRDefault="003378AB" w:rsidP="003378AB">
      <w:pPr>
        <w:numPr>
          <w:ilvl w:val="0"/>
          <w:numId w:val="10"/>
        </w:numPr>
        <w:spacing w:before="100" w:beforeAutospacing="1" w:after="100" w:afterAutospacing="1"/>
        <w:rPr>
          <w:rFonts w:asciiTheme="minorHAnsi" w:hAnsiTheme="minorHAnsi" w:cstheme="minorHAnsi"/>
          <w:color w:val="000000"/>
          <w:sz w:val="22"/>
          <w:szCs w:val="22"/>
        </w:rPr>
      </w:pPr>
      <w:r w:rsidRPr="00455B4F">
        <w:rPr>
          <w:rFonts w:asciiTheme="minorHAnsi" w:hAnsiTheme="minorHAnsi" w:cstheme="minorHAnsi"/>
          <w:color w:val="000000"/>
          <w:sz w:val="22"/>
          <w:szCs w:val="22"/>
        </w:rPr>
        <w:t>adequate integration of </w:t>
      </w:r>
      <w:r w:rsidRPr="00455B4F">
        <w:rPr>
          <w:rFonts w:asciiTheme="minorHAnsi" w:hAnsiTheme="minorHAnsi" w:cstheme="minorHAnsi"/>
          <w:b/>
          <w:bCs/>
          <w:color w:val="000000"/>
          <w:sz w:val="22"/>
          <w:szCs w:val="22"/>
        </w:rPr>
        <w:t>social and cultural indicators</w:t>
      </w:r>
      <w:r w:rsidRPr="00455B4F">
        <w:rPr>
          <w:rFonts w:asciiTheme="minorHAnsi" w:hAnsiTheme="minorHAnsi" w:cstheme="minorHAnsi"/>
          <w:color w:val="000000"/>
          <w:sz w:val="22"/>
          <w:szCs w:val="22"/>
        </w:rPr>
        <w:t> (currently integrated under GA5; T8.2; T19.4; and T20.1)</w:t>
      </w:r>
    </w:p>
    <w:p w14:paraId="15EC93C4" w14:textId="77777777" w:rsidR="003378AB" w:rsidRPr="00455B4F" w:rsidRDefault="003378AB" w:rsidP="003378AB">
      <w:pPr>
        <w:numPr>
          <w:ilvl w:val="0"/>
          <w:numId w:val="10"/>
        </w:numPr>
        <w:spacing w:before="100" w:beforeAutospacing="1" w:after="100" w:afterAutospacing="1"/>
        <w:rPr>
          <w:rFonts w:asciiTheme="minorHAnsi" w:hAnsiTheme="minorHAnsi" w:cstheme="minorHAnsi"/>
          <w:color w:val="000000"/>
          <w:sz w:val="22"/>
          <w:szCs w:val="22"/>
        </w:rPr>
      </w:pPr>
      <w:r w:rsidRPr="00455B4F">
        <w:rPr>
          <w:rFonts w:asciiTheme="minorHAnsi" w:hAnsiTheme="minorHAnsi" w:cstheme="minorHAnsi"/>
          <w:color w:val="000000"/>
          <w:sz w:val="22"/>
          <w:szCs w:val="22"/>
        </w:rPr>
        <w:t>add </w:t>
      </w:r>
      <w:r w:rsidRPr="00455B4F">
        <w:rPr>
          <w:rFonts w:asciiTheme="minorHAnsi" w:hAnsiTheme="minorHAnsi" w:cstheme="minorHAnsi"/>
          <w:b/>
          <w:bCs/>
          <w:color w:val="000000"/>
          <w:sz w:val="22"/>
          <w:szCs w:val="22"/>
        </w:rPr>
        <w:t>wildlife indicators</w:t>
      </w:r>
      <w:r w:rsidRPr="00455B4F">
        <w:rPr>
          <w:rFonts w:asciiTheme="minorHAnsi" w:hAnsiTheme="minorHAnsi" w:cstheme="minorHAnsi"/>
          <w:color w:val="000000"/>
          <w:sz w:val="22"/>
          <w:szCs w:val="22"/>
        </w:rPr>
        <w:t> based on proposal by CPW for SBSTTA24 (forthcoming)</w:t>
      </w:r>
    </w:p>
    <w:p w14:paraId="5F573216" w14:textId="77777777" w:rsidR="003378AB" w:rsidRPr="00455B4F" w:rsidRDefault="003378AB" w:rsidP="003378AB">
      <w:pPr>
        <w:numPr>
          <w:ilvl w:val="0"/>
          <w:numId w:val="10"/>
        </w:numPr>
        <w:spacing w:before="100" w:beforeAutospacing="1" w:after="100" w:afterAutospacing="1"/>
        <w:rPr>
          <w:rFonts w:asciiTheme="minorHAnsi" w:hAnsiTheme="minorHAnsi" w:cstheme="minorHAnsi"/>
          <w:color w:val="000000"/>
          <w:sz w:val="22"/>
          <w:szCs w:val="22"/>
        </w:rPr>
      </w:pPr>
      <w:r w:rsidRPr="00455B4F">
        <w:rPr>
          <w:rFonts w:asciiTheme="minorHAnsi" w:hAnsiTheme="minorHAnsi" w:cstheme="minorHAnsi"/>
          <w:b/>
          <w:bCs/>
          <w:color w:val="000000"/>
          <w:sz w:val="22"/>
          <w:szCs w:val="22"/>
        </w:rPr>
        <w:t>prevent mismatch</w:t>
      </w:r>
      <w:r w:rsidRPr="00455B4F">
        <w:rPr>
          <w:rFonts w:asciiTheme="minorHAnsi" w:hAnsiTheme="minorHAnsi" w:cstheme="minorHAnsi"/>
          <w:color w:val="000000"/>
          <w:sz w:val="22"/>
          <w:szCs w:val="22"/>
        </w:rPr>
        <w:t xml:space="preserve"> between Goals/Targets and indicators: </w:t>
      </w:r>
      <w:r w:rsidRPr="00455B4F">
        <w:rPr>
          <w:rFonts w:asciiTheme="minorHAnsi" w:hAnsiTheme="minorHAnsi" w:cstheme="minorHAnsi"/>
          <w:b/>
          <w:bCs/>
          <w:color w:val="000000"/>
          <w:sz w:val="22"/>
          <w:szCs w:val="22"/>
        </w:rPr>
        <w:t xml:space="preserve">propose adequate indicators to measure </w:t>
      </w:r>
      <w:r w:rsidRPr="00455B4F">
        <w:rPr>
          <w:rFonts w:asciiTheme="minorHAnsi" w:hAnsiTheme="minorHAnsi" w:cstheme="minorHAnsi"/>
          <w:color w:val="000000"/>
          <w:sz w:val="22"/>
          <w:szCs w:val="22"/>
        </w:rPr>
        <w:t>forest fragmentation; extent of forest ecosystem; genetic diversity; legal harvesting of biological resources </w:t>
      </w:r>
    </w:p>
    <w:p w14:paraId="19B10542" w14:textId="77777777" w:rsidR="003378AB" w:rsidRPr="00455B4F" w:rsidRDefault="003378AB" w:rsidP="003378AB">
      <w:pPr>
        <w:numPr>
          <w:ilvl w:val="0"/>
          <w:numId w:val="10"/>
        </w:numPr>
        <w:spacing w:before="100" w:beforeAutospacing="1" w:after="100" w:afterAutospacing="1"/>
        <w:rPr>
          <w:rFonts w:asciiTheme="minorHAnsi" w:hAnsiTheme="minorHAnsi" w:cstheme="minorHAnsi"/>
          <w:color w:val="000000"/>
          <w:sz w:val="22"/>
          <w:szCs w:val="22"/>
        </w:rPr>
      </w:pPr>
      <w:r w:rsidRPr="00455B4F">
        <w:rPr>
          <w:rFonts w:asciiTheme="minorHAnsi" w:hAnsiTheme="minorHAnsi" w:cstheme="minorHAnsi"/>
          <w:b/>
          <w:bCs/>
          <w:color w:val="000000"/>
          <w:sz w:val="22"/>
          <w:szCs w:val="22"/>
        </w:rPr>
        <w:t>limit overlapping/recurring indicators </w:t>
      </w:r>
      <w:r w:rsidRPr="00455B4F">
        <w:rPr>
          <w:rFonts w:asciiTheme="minorHAnsi" w:hAnsiTheme="minorHAnsi" w:cstheme="minorHAnsi"/>
          <w:color w:val="000000"/>
          <w:sz w:val="22"/>
          <w:szCs w:val="22"/>
        </w:rPr>
        <w:t>under Goals ánd Targets (for instance by providing only the Targets (not Goals) with a set of indicators)</w:t>
      </w:r>
    </w:p>
    <w:p w14:paraId="06BAA72C" w14:textId="77777777" w:rsidR="003378AB" w:rsidRPr="00455B4F" w:rsidRDefault="003378AB" w:rsidP="003378AB">
      <w:pPr>
        <w:numPr>
          <w:ilvl w:val="0"/>
          <w:numId w:val="10"/>
        </w:numPr>
        <w:spacing w:before="100" w:beforeAutospacing="1" w:after="100" w:afterAutospacing="1"/>
        <w:rPr>
          <w:rFonts w:asciiTheme="minorHAnsi" w:hAnsiTheme="minorHAnsi" w:cstheme="minorHAnsi"/>
          <w:color w:val="000000"/>
          <w:sz w:val="22"/>
          <w:szCs w:val="22"/>
        </w:rPr>
      </w:pPr>
      <w:r w:rsidRPr="00455B4F">
        <w:rPr>
          <w:rFonts w:asciiTheme="minorHAnsi" w:hAnsiTheme="minorHAnsi" w:cstheme="minorHAnsi"/>
          <w:b/>
          <w:bCs/>
          <w:color w:val="000000"/>
          <w:sz w:val="22"/>
          <w:szCs w:val="22"/>
        </w:rPr>
        <w:t>integrate existing SDG indicators</w:t>
      </w:r>
      <w:r w:rsidRPr="00455B4F">
        <w:rPr>
          <w:rFonts w:asciiTheme="minorHAnsi" w:hAnsiTheme="minorHAnsi" w:cstheme="minorHAnsi"/>
          <w:color w:val="000000"/>
          <w:sz w:val="22"/>
          <w:szCs w:val="22"/>
        </w:rPr>
        <w:t xml:space="preserve"> under FAO custodianship (done, see </w:t>
      </w:r>
      <w:hyperlink r:id="rId16" w:tooltip="https://www.cbd.int/sbstta/sbstta-24/post2020-monitoring-en.pdf" w:history="1">
        <w:r w:rsidRPr="00455B4F">
          <w:rPr>
            <w:rStyle w:val="Hyperlink"/>
            <w:rFonts w:asciiTheme="minorHAnsi" w:hAnsiTheme="minorHAnsi" w:cstheme="minorHAnsi"/>
            <w:sz w:val="22"/>
            <w:szCs w:val="22"/>
          </w:rPr>
          <w:t>table 3</w:t>
        </w:r>
      </w:hyperlink>
      <w:r w:rsidRPr="00455B4F">
        <w:rPr>
          <w:rFonts w:asciiTheme="minorHAnsi" w:hAnsiTheme="minorHAnsi" w:cstheme="minorHAnsi"/>
          <w:color w:val="000000"/>
          <w:sz w:val="22"/>
          <w:szCs w:val="22"/>
        </w:rPr>
        <w:t>):</w:t>
      </w:r>
      <w:r w:rsidRPr="00455B4F">
        <w:rPr>
          <w:rFonts w:asciiTheme="minorHAnsi" w:hAnsiTheme="minorHAnsi" w:cstheme="minorHAnsi"/>
          <w:color w:val="000000"/>
          <w:sz w:val="22"/>
          <w:szCs w:val="22"/>
        </w:rPr>
        <w:br/>
      </w:r>
      <w:r w:rsidRPr="00455B4F">
        <w:rPr>
          <w:rFonts w:asciiTheme="minorHAnsi" w:hAnsiTheme="minorHAnsi" w:cstheme="minorHAnsi"/>
          <w:color w:val="000000"/>
          <w:sz w:val="22"/>
          <w:szCs w:val="22"/>
          <w:shd w:val="clear" w:color="auto" w:fill="FFFFFF"/>
        </w:rPr>
        <w:t>SDG 2.4.1 (integrated under T9.1)</w:t>
      </w:r>
      <w:r w:rsidRPr="00455B4F">
        <w:rPr>
          <w:rFonts w:asciiTheme="minorHAnsi" w:hAnsiTheme="minorHAnsi" w:cstheme="minorHAnsi"/>
          <w:color w:val="000000"/>
          <w:sz w:val="22"/>
          <w:szCs w:val="22"/>
          <w:shd w:val="clear" w:color="auto" w:fill="FFFFFF"/>
        </w:rPr>
        <w:br/>
      </w:r>
      <w:r w:rsidRPr="00455B4F">
        <w:rPr>
          <w:rFonts w:asciiTheme="minorHAnsi" w:hAnsiTheme="minorHAnsi" w:cstheme="minorHAnsi"/>
          <w:color w:val="000000"/>
          <w:sz w:val="22"/>
          <w:szCs w:val="22"/>
        </w:rPr>
        <w:t>SDG 2.5.1b (integrated under GA5, T8.2 and T9.1)</w:t>
      </w:r>
      <w:r w:rsidRPr="00455B4F">
        <w:rPr>
          <w:rFonts w:asciiTheme="minorHAnsi" w:hAnsiTheme="minorHAnsi" w:cstheme="minorHAnsi"/>
          <w:color w:val="000000"/>
          <w:sz w:val="22"/>
          <w:szCs w:val="22"/>
        </w:rPr>
        <w:br/>
        <w:t>SDG 2.5.2 (integrated under GA5 and T9.1)</w:t>
      </w:r>
      <w:r w:rsidRPr="00455B4F">
        <w:rPr>
          <w:rFonts w:asciiTheme="minorHAnsi" w:hAnsiTheme="minorHAnsi" w:cstheme="minorHAnsi"/>
          <w:color w:val="000000"/>
          <w:sz w:val="22"/>
          <w:szCs w:val="22"/>
        </w:rPr>
        <w:br/>
        <w:t>SDG 14.4.1 (integrated under T4.1 and T8.1)</w:t>
      </w:r>
      <w:r w:rsidRPr="00455B4F">
        <w:rPr>
          <w:rFonts w:asciiTheme="minorHAnsi" w:hAnsiTheme="minorHAnsi" w:cstheme="minorHAnsi"/>
          <w:color w:val="000000"/>
          <w:sz w:val="22"/>
          <w:szCs w:val="22"/>
        </w:rPr>
        <w:br/>
        <w:t>SDG 15.2.1 (integrated under T9.3)</w:t>
      </w:r>
    </w:p>
    <w:p w14:paraId="4C88F16A" w14:textId="69383CF4" w:rsidR="002C258C" w:rsidRPr="0092241A" w:rsidRDefault="002C258C" w:rsidP="002C258C">
      <w:pPr>
        <w:spacing w:after="120"/>
        <w:rPr>
          <w:rFonts w:asciiTheme="minorHAnsi" w:hAnsiTheme="minorHAnsi" w:cstheme="minorHAnsi"/>
        </w:rPr>
      </w:pPr>
      <w:r w:rsidRPr="002C258C">
        <w:rPr>
          <w:rFonts w:asciiTheme="minorHAnsi" w:hAnsiTheme="minorHAnsi" w:cstheme="minorHAnsi"/>
          <w:b/>
        </w:rPr>
        <w:t>Main areas of intervention, for which FAO has instruments and monitoring systems in place</w:t>
      </w:r>
      <w:r w:rsidR="0092241A">
        <w:rPr>
          <w:rFonts w:asciiTheme="minorHAnsi" w:hAnsiTheme="minorHAnsi" w:cstheme="minorHAnsi"/>
          <w:b/>
        </w:rPr>
        <w:t xml:space="preserve"> </w:t>
      </w:r>
      <w:r w:rsidR="0092241A" w:rsidRPr="0092241A">
        <w:rPr>
          <w:rFonts w:asciiTheme="minorHAnsi" w:hAnsiTheme="minorHAnsi" w:cstheme="minorHAnsi"/>
        </w:rPr>
        <w:t>(see separate document)</w:t>
      </w:r>
    </w:p>
    <w:p w14:paraId="02124813" w14:textId="68130787" w:rsidR="00AA726F" w:rsidRPr="000956C5" w:rsidRDefault="00AA726F" w:rsidP="00D77DE1">
      <w:pPr>
        <w:jc w:val="both"/>
        <w:rPr>
          <w:rFonts w:asciiTheme="minorHAnsi" w:hAnsiTheme="minorHAnsi" w:cstheme="minorHAnsi"/>
          <w:i/>
          <w:sz w:val="22"/>
          <w:szCs w:val="22"/>
        </w:rPr>
      </w:pPr>
    </w:p>
    <w:sectPr w:rsidR="00AA726F" w:rsidRPr="000956C5" w:rsidSect="00F87C4F">
      <w:headerReference w:type="first" r:id="rId17"/>
      <w:pgSz w:w="12240" w:h="15840" w:code="1"/>
      <w:pgMar w:top="1440" w:right="1440" w:bottom="1440" w:left="1440"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E5D0" w14:textId="77777777" w:rsidR="0036238C" w:rsidRDefault="0036238C">
      <w:r>
        <w:separator/>
      </w:r>
    </w:p>
  </w:endnote>
  <w:endnote w:type="continuationSeparator" w:id="0">
    <w:p w14:paraId="2049D399" w14:textId="77777777" w:rsidR="0036238C" w:rsidRDefault="0036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DFont+F5">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2B02" w14:textId="77777777" w:rsidR="0036238C" w:rsidRDefault="0036238C">
      <w:r>
        <w:separator/>
      </w:r>
    </w:p>
  </w:footnote>
  <w:footnote w:type="continuationSeparator" w:id="0">
    <w:p w14:paraId="14339683" w14:textId="77777777" w:rsidR="0036238C" w:rsidRDefault="0036238C">
      <w:r>
        <w:continuationSeparator/>
      </w:r>
    </w:p>
  </w:footnote>
  <w:footnote w:id="1">
    <w:p w14:paraId="14CC536C" w14:textId="77777777" w:rsidR="0036238C" w:rsidRDefault="0036238C"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199DA1B9" w14:textId="77777777" w:rsidR="0036238C" w:rsidRDefault="0036238C">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BD8F" w14:textId="77777777" w:rsidR="0036238C" w:rsidRDefault="0036238C"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EE79DD"/>
    <w:multiLevelType w:val="hybridMultilevel"/>
    <w:tmpl w:val="B77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AA4"/>
    <w:multiLevelType w:val="hybridMultilevel"/>
    <w:tmpl w:val="EBC22D96"/>
    <w:lvl w:ilvl="0" w:tplc="13EC9F76">
      <w:numFmt w:val="bullet"/>
      <w:lvlText w:val="-"/>
      <w:lvlJc w:val="left"/>
      <w:pPr>
        <w:ind w:left="1080" w:hanging="360"/>
      </w:pPr>
      <w:rPr>
        <w:rFonts w:ascii="Calibri" w:eastAsiaTheme="minorHAnsi" w:hAnsi="Calibri" w:cs="Calibri"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F3A67"/>
    <w:multiLevelType w:val="hybridMultilevel"/>
    <w:tmpl w:val="F2820B6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F877C9A"/>
    <w:multiLevelType w:val="hybridMultilevel"/>
    <w:tmpl w:val="D9A413EA"/>
    <w:lvl w:ilvl="0" w:tplc="DCC02F96">
      <w:numFmt w:val="bullet"/>
      <w:lvlText w:val="-"/>
      <w:lvlJc w:val="left"/>
      <w:pPr>
        <w:ind w:left="1080" w:hanging="360"/>
      </w:pPr>
      <w:rPr>
        <w:rFonts w:ascii="Calibri" w:eastAsiaTheme="minorHAnsi" w:hAnsi="Calibri" w:cs="Calibri" w:hint="default"/>
        <w:color w:val="0D6CAC"/>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124BFE"/>
    <w:multiLevelType w:val="multilevel"/>
    <w:tmpl w:val="3E50E6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F957E89"/>
    <w:multiLevelType w:val="hybridMultilevel"/>
    <w:tmpl w:val="871EF55E"/>
    <w:lvl w:ilvl="0" w:tplc="B43E294E">
      <w:start w:val="5"/>
      <w:numFmt w:val="bullet"/>
      <w:lvlText w:val="-"/>
      <w:lvlJc w:val="left"/>
      <w:pPr>
        <w:ind w:left="720" w:hanging="360"/>
      </w:pPr>
      <w:rPr>
        <w:rFonts w:ascii="CIDFont+F5" w:eastAsia="Times New Roman" w:hAnsi="CIDFont+F5" w:cs="CIDFont+F5"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95C5B"/>
    <w:multiLevelType w:val="hybridMultilevel"/>
    <w:tmpl w:val="BA9C8BB4"/>
    <w:lvl w:ilvl="0" w:tplc="2222D638">
      <w:start w:val="1"/>
      <w:numFmt w:val="bullet"/>
      <w:lvlText w:val="-"/>
      <w:lvlJc w:val="left"/>
      <w:pPr>
        <w:ind w:left="720" w:hanging="360"/>
      </w:pPr>
      <w:rPr>
        <w:rFonts w:ascii="Courier New" w:hAnsi="Courier New" w:hint="default"/>
      </w:rPr>
    </w:lvl>
    <w:lvl w:ilvl="1" w:tplc="2222D638">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FD1375"/>
    <w:multiLevelType w:val="multilevel"/>
    <w:tmpl w:val="440862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3CF3F75"/>
    <w:multiLevelType w:val="multilevel"/>
    <w:tmpl w:val="7076C1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5737BD7"/>
    <w:multiLevelType w:val="multilevel"/>
    <w:tmpl w:val="8C7CF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86946"/>
    <w:multiLevelType w:val="multilevel"/>
    <w:tmpl w:val="7076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F6393"/>
    <w:multiLevelType w:val="hybridMultilevel"/>
    <w:tmpl w:val="685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6"/>
  </w:num>
  <w:num w:numId="6">
    <w:abstractNumId w:val="15"/>
  </w:num>
  <w:num w:numId="7">
    <w:abstractNumId w:val="12"/>
  </w:num>
  <w:num w:numId="8">
    <w:abstractNumId w:val="5"/>
  </w:num>
  <w:num w:numId="9">
    <w:abstractNumId w:val="11"/>
  </w:num>
  <w:num w:numId="10">
    <w:abstractNumId w:val="13"/>
  </w:num>
  <w:num w:numId="11">
    <w:abstractNumId w:val="14"/>
  </w:num>
  <w:num w:numId="12">
    <w:abstractNumId w:val="7"/>
  </w:num>
  <w:num w:numId="13">
    <w:abstractNumId w:val="3"/>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393E"/>
    <w:rsid w:val="0000434A"/>
    <w:rsid w:val="0001655B"/>
    <w:rsid w:val="00020CB7"/>
    <w:rsid w:val="0002384F"/>
    <w:rsid w:val="00053583"/>
    <w:rsid w:val="00060F26"/>
    <w:rsid w:val="000779B3"/>
    <w:rsid w:val="00082816"/>
    <w:rsid w:val="0008494E"/>
    <w:rsid w:val="000858A8"/>
    <w:rsid w:val="0008695F"/>
    <w:rsid w:val="00090581"/>
    <w:rsid w:val="000956C5"/>
    <w:rsid w:val="000968B8"/>
    <w:rsid w:val="000A1EAF"/>
    <w:rsid w:val="000A6012"/>
    <w:rsid w:val="000B6228"/>
    <w:rsid w:val="000C0B6C"/>
    <w:rsid w:val="000F0712"/>
    <w:rsid w:val="0011369D"/>
    <w:rsid w:val="001208DE"/>
    <w:rsid w:val="00131A78"/>
    <w:rsid w:val="00133898"/>
    <w:rsid w:val="00153018"/>
    <w:rsid w:val="00170A3F"/>
    <w:rsid w:val="001771FC"/>
    <w:rsid w:val="001A090A"/>
    <w:rsid w:val="001A7B51"/>
    <w:rsid w:val="001B4670"/>
    <w:rsid w:val="001B7642"/>
    <w:rsid w:val="001D3754"/>
    <w:rsid w:val="001E3E11"/>
    <w:rsid w:val="001F34E8"/>
    <w:rsid w:val="001F46AB"/>
    <w:rsid w:val="00203867"/>
    <w:rsid w:val="00211568"/>
    <w:rsid w:val="00232327"/>
    <w:rsid w:val="002324A3"/>
    <w:rsid w:val="002337AC"/>
    <w:rsid w:val="00244FE0"/>
    <w:rsid w:val="00247402"/>
    <w:rsid w:val="002573E8"/>
    <w:rsid w:val="00290379"/>
    <w:rsid w:val="00290B46"/>
    <w:rsid w:val="00292CD2"/>
    <w:rsid w:val="00293F53"/>
    <w:rsid w:val="00297A07"/>
    <w:rsid w:val="002A5D51"/>
    <w:rsid w:val="002A6DA8"/>
    <w:rsid w:val="002A7B04"/>
    <w:rsid w:val="002C258C"/>
    <w:rsid w:val="002D065D"/>
    <w:rsid w:val="002D2AD1"/>
    <w:rsid w:val="00305637"/>
    <w:rsid w:val="00305B1F"/>
    <w:rsid w:val="00306A75"/>
    <w:rsid w:val="00312698"/>
    <w:rsid w:val="00323670"/>
    <w:rsid w:val="0032452D"/>
    <w:rsid w:val="003249B9"/>
    <w:rsid w:val="00332A6E"/>
    <w:rsid w:val="00333F18"/>
    <w:rsid w:val="00335407"/>
    <w:rsid w:val="003378AB"/>
    <w:rsid w:val="0036238C"/>
    <w:rsid w:val="00384EB6"/>
    <w:rsid w:val="00387A5F"/>
    <w:rsid w:val="003907B7"/>
    <w:rsid w:val="003D6BBF"/>
    <w:rsid w:val="003E0BA2"/>
    <w:rsid w:val="003E63A9"/>
    <w:rsid w:val="003E78CA"/>
    <w:rsid w:val="003F5EC1"/>
    <w:rsid w:val="00404BD3"/>
    <w:rsid w:val="0043164D"/>
    <w:rsid w:val="00454CE8"/>
    <w:rsid w:val="00455B4F"/>
    <w:rsid w:val="004710AE"/>
    <w:rsid w:val="00472883"/>
    <w:rsid w:val="00473C5F"/>
    <w:rsid w:val="004846A8"/>
    <w:rsid w:val="00487C28"/>
    <w:rsid w:val="00495268"/>
    <w:rsid w:val="00497424"/>
    <w:rsid w:val="004E0928"/>
    <w:rsid w:val="004E4BCF"/>
    <w:rsid w:val="004F1EB4"/>
    <w:rsid w:val="00506FCD"/>
    <w:rsid w:val="00532BBA"/>
    <w:rsid w:val="005469ED"/>
    <w:rsid w:val="0054718E"/>
    <w:rsid w:val="0055668B"/>
    <w:rsid w:val="005824FC"/>
    <w:rsid w:val="00585692"/>
    <w:rsid w:val="00590627"/>
    <w:rsid w:val="005932D5"/>
    <w:rsid w:val="005A5765"/>
    <w:rsid w:val="005C3F60"/>
    <w:rsid w:val="005D2E65"/>
    <w:rsid w:val="005D5557"/>
    <w:rsid w:val="005E2407"/>
    <w:rsid w:val="005F0260"/>
    <w:rsid w:val="005F748E"/>
    <w:rsid w:val="005F7B08"/>
    <w:rsid w:val="00600804"/>
    <w:rsid w:val="006056FD"/>
    <w:rsid w:val="006211CE"/>
    <w:rsid w:val="00624C82"/>
    <w:rsid w:val="00624FAA"/>
    <w:rsid w:val="00626CE8"/>
    <w:rsid w:val="00642AC0"/>
    <w:rsid w:val="00645993"/>
    <w:rsid w:val="00661157"/>
    <w:rsid w:val="00661648"/>
    <w:rsid w:val="006618C3"/>
    <w:rsid w:val="00665BC7"/>
    <w:rsid w:val="00690111"/>
    <w:rsid w:val="006A0CA5"/>
    <w:rsid w:val="006D5291"/>
    <w:rsid w:val="006F40ED"/>
    <w:rsid w:val="006F4D56"/>
    <w:rsid w:val="00716FDB"/>
    <w:rsid w:val="007361CF"/>
    <w:rsid w:val="007469A1"/>
    <w:rsid w:val="00750EDF"/>
    <w:rsid w:val="00757A3C"/>
    <w:rsid w:val="0078582A"/>
    <w:rsid w:val="0079367D"/>
    <w:rsid w:val="007A24E9"/>
    <w:rsid w:val="007C0C1B"/>
    <w:rsid w:val="007D13B8"/>
    <w:rsid w:val="007F04C6"/>
    <w:rsid w:val="00801D1A"/>
    <w:rsid w:val="00804363"/>
    <w:rsid w:val="00813C50"/>
    <w:rsid w:val="00830B4A"/>
    <w:rsid w:val="0083218B"/>
    <w:rsid w:val="00832E1E"/>
    <w:rsid w:val="00840313"/>
    <w:rsid w:val="008911E7"/>
    <w:rsid w:val="008A1ECA"/>
    <w:rsid w:val="008B0624"/>
    <w:rsid w:val="008B1CCD"/>
    <w:rsid w:val="008C11E3"/>
    <w:rsid w:val="008D46F4"/>
    <w:rsid w:val="008E5267"/>
    <w:rsid w:val="008E5DA6"/>
    <w:rsid w:val="008F0EAE"/>
    <w:rsid w:val="008F60D0"/>
    <w:rsid w:val="008F6B6E"/>
    <w:rsid w:val="0092241A"/>
    <w:rsid w:val="00922D57"/>
    <w:rsid w:val="00945444"/>
    <w:rsid w:val="00947BAE"/>
    <w:rsid w:val="00971F66"/>
    <w:rsid w:val="00985B44"/>
    <w:rsid w:val="00990C4C"/>
    <w:rsid w:val="009B3319"/>
    <w:rsid w:val="009B3D5A"/>
    <w:rsid w:val="009B53FD"/>
    <w:rsid w:val="009C0234"/>
    <w:rsid w:val="009D0254"/>
    <w:rsid w:val="009D02A0"/>
    <w:rsid w:val="009E5F12"/>
    <w:rsid w:val="009E7EB7"/>
    <w:rsid w:val="009F28E0"/>
    <w:rsid w:val="00A2000C"/>
    <w:rsid w:val="00A312D8"/>
    <w:rsid w:val="00A35A86"/>
    <w:rsid w:val="00A50186"/>
    <w:rsid w:val="00A62047"/>
    <w:rsid w:val="00A94454"/>
    <w:rsid w:val="00AA45C5"/>
    <w:rsid w:val="00AA726F"/>
    <w:rsid w:val="00AC73F7"/>
    <w:rsid w:val="00AD3EA1"/>
    <w:rsid w:val="00AE6FEC"/>
    <w:rsid w:val="00AF6208"/>
    <w:rsid w:val="00B0290E"/>
    <w:rsid w:val="00B02B94"/>
    <w:rsid w:val="00B06B2E"/>
    <w:rsid w:val="00B13E53"/>
    <w:rsid w:val="00B23F22"/>
    <w:rsid w:val="00B411D0"/>
    <w:rsid w:val="00B65D31"/>
    <w:rsid w:val="00B76BE3"/>
    <w:rsid w:val="00B93D50"/>
    <w:rsid w:val="00BA4E78"/>
    <w:rsid w:val="00BA7648"/>
    <w:rsid w:val="00BB4A14"/>
    <w:rsid w:val="00BC0601"/>
    <w:rsid w:val="00BC09B3"/>
    <w:rsid w:val="00BC3D9A"/>
    <w:rsid w:val="00BE04B0"/>
    <w:rsid w:val="00BE62B3"/>
    <w:rsid w:val="00C0100A"/>
    <w:rsid w:val="00C115A2"/>
    <w:rsid w:val="00C37D76"/>
    <w:rsid w:val="00C41FF1"/>
    <w:rsid w:val="00C4616D"/>
    <w:rsid w:val="00C60611"/>
    <w:rsid w:val="00C64BBE"/>
    <w:rsid w:val="00C65EF1"/>
    <w:rsid w:val="00C723DB"/>
    <w:rsid w:val="00C73F78"/>
    <w:rsid w:val="00C813ED"/>
    <w:rsid w:val="00C9464F"/>
    <w:rsid w:val="00CA3CDA"/>
    <w:rsid w:val="00CB31A6"/>
    <w:rsid w:val="00CB6CB9"/>
    <w:rsid w:val="00CE5144"/>
    <w:rsid w:val="00CF16C6"/>
    <w:rsid w:val="00D17C13"/>
    <w:rsid w:val="00D50947"/>
    <w:rsid w:val="00D5253A"/>
    <w:rsid w:val="00D72B8D"/>
    <w:rsid w:val="00D77DE1"/>
    <w:rsid w:val="00D8033C"/>
    <w:rsid w:val="00D82408"/>
    <w:rsid w:val="00D9146A"/>
    <w:rsid w:val="00D93BC2"/>
    <w:rsid w:val="00D9467E"/>
    <w:rsid w:val="00DB71FC"/>
    <w:rsid w:val="00DC1FCD"/>
    <w:rsid w:val="00DC38F2"/>
    <w:rsid w:val="00DC466F"/>
    <w:rsid w:val="00DC7317"/>
    <w:rsid w:val="00DD0BCA"/>
    <w:rsid w:val="00DD3897"/>
    <w:rsid w:val="00E034BA"/>
    <w:rsid w:val="00E1449E"/>
    <w:rsid w:val="00E14C4F"/>
    <w:rsid w:val="00E21436"/>
    <w:rsid w:val="00E47EE6"/>
    <w:rsid w:val="00E542DB"/>
    <w:rsid w:val="00E6426D"/>
    <w:rsid w:val="00E74140"/>
    <w:rsid w:val="00E77899"/>
    <w:rsid w:val="00E80F46"/>
    <w:rsid w:val="00E86A51"/>
    <w:rsid w:val="00EA18E2"/>
    <w:rsid w:val="00EA1EB5"/>
    <w:rsid w:val="00EA24B8"/>
    <w:rsid w:val="00EC787C"/>
    <w:rsid w:val="00EE0290"/>
    <w:rsid w:val="00F16439"/>
    <w:rsid w:val="00F23CBD"/>
    <w:rsid w:val="00F35F42"/>
    <w:rsid w:val="00F41A7A"/>
    <w:rsid w:val="00F54888"/>
    <w:rsid w:val="00F55E0E"/>
    <w:rsid w:val="00F60126"/>
    <w:rsid w:val="00F61250"/>
    <w:rsid w:val="00F87C4F"/>
    <w:rsid w:val="00F91F01"/>
    <w:rsid w:val="00F961FB"/>
    <w:rsid w:val="00FB7C66"/>
    <w:rsid w:val="00FD7120"/>
    <w:rsid w:val="00FE0B76"/>
    <w:rsid w:val="019C8639"/>
    <w:rsid w:val="05D38311"/>
    <w:rsid w:val="07993BD4"/>
    <w:rsid w:val="07C76846"/>
    <w:rsid w:val="08EEC176"/>
    <w:rsid w:val="0C15C713"/>
    <w:rsid w:val="0D4B0A50"/>
    <w:rsid w:val="12785D2A"/>
    <w:rsid w:val="1854B1E5"/>
    <w:rsid w:val="18C82ADC"/>
    <w:rsid w:val="1E458E4E"/>
    <w:rsid w:val="282B51D6"/>
    <w:rsid w:val="2E0AEDFC"/>
    <w:rsid w:val="305E1732"/>
    <w:rsid w:val="36786A54"/>
    <w:rsid w:val="38A1C31D"/>
    <w:rsid w:val="46E9D8D5"/>
    <w:rsid w:val="4875C25C"/>
    <w:rsid w:val="4D8084CB"/>
    <w:rsid w:val="4E0CB21F"/>
    <w:rsid w:val="4E2F52EA"/>
    <w:rsid w:val="5703255B"/>
    <w:rsid w:val="605E05F0"/>
    <w:rsid w:val="67BF707D"/>
    <w:rsid w:val="6AC153CB"/>
    <w:rsid w:val="6CD7A538"/>
    <w:rsid w:val="6EADC8B8"/>
    <w:rsid w:val="774354A1"/>
    <w:rsid w:val="7791A684"/>
    <w:rsid w:val="782C5884"/>
    <w:rsid w:val="797B24A8"/>
    <w:rsid w:val="7C54066C"/>
    <w:rsid w:val="7CC9B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82B0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lang w:eastAsia="en-US"/>
    </w:rPr>
  </w:style>
  <w:style w:type="paragraph" w:styleId="Heading1">
    <w:name w:val="heading 1"/>
    <w:basedOn w:val="Normal"/>
    <w:next w:val="Normal"/>
    <w:link w:val="Heading1Char"/>
    <w:qFormat/>
    <w:locked/>
    <w:rsid w:val="00716FD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rsid w:val="00DB71FC"/>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aliases w:val="Bullets,Paragraphe de liste1,List Paragraph (numbered (a)),List Paragraph11,List Paragraph1,Para,List Paragraph IC Documents,References,Párrafo de lista,references,Lapis Bulleted List,Dot pt,F5 List Paragraph,No Spacing1"/>
    <w:basedOn w:val="Normal"/>
    <w:link w:val="ListParagraphChar"/>
    <w:uiPriority w:val="1"/>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1">
    <w:name w:val="Unresolved Mention1"/>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Heading1Char">
    <w:name w:val="Heading 1 Char"/>
    <w:link w:val="Heading1"/>
    <w:rsid w:val="00716FDB"/>
    <w:rPr>
      <w:rFonts w:ascii="Calibri Light" w:eastAsia="Times New Roman" w:hAnsi="Calibri Light" w:cs="Times New Roman"/>
      <w:b/>
      <w:bCs/>
      <w:kern w:val="32"/>
      <w:sz w:val="32"/>
      <w:szCs w:val="32"/>
    </w:rPr>
  </w:style>
  <w:style w:type="character" w:customStyle="1" w:styleId="apple-converted-space">
    <w:name w:val="apple-converted-space"/>
    <w:rsid w:val="000F0712"/>
  </w:style>
  <w:style w:type="character" w:styleId="Emphasis">
    <w:name w:val="Emphasis"/>
    <w:basedOn w:val="DefaultParagraphFont"/>
    <w:uiPriority w:val="20"/>
    <w:qFormat/>
    <w:locked/>
    <w:rsid w:val="002C258C"/>
    <w:rPr>
      <w:i/>
      <w:iCs/>
    </w:rPr>
  </w:style>
  <w:style w:type="character" w:customStyle="1" w:styleId="ListParagraphChar">
    <w:name w:val="List Paragraph Char"/>
    <w:aliases w:val="Bullets Char,Paragraphe de liste1 Char,List Paragraph (numbered (a)) Char,List Paragraph11 Char,List Paragraph1 Char,Para Char,List Paragraph IC Documents Char,References Char,Párrafo de lista Char,references Char,Dot pt Char"/>
    <w:basedOn w:val="DefaultParagraphFont"/>
    <w:link w:val="ListParagraph"/>
    <w:uiPriority w:val="1"/>
    <w:qFormat/>
    <w:rsid w:val="002C258C"/>
    <w:rPr>
      <w:sz w:val="24"/>
      <w:szCs w:val="24"/>
      <w:lang w:eastAsia="en-US"/>
    </w:rPr>
  </w:style>
  <w:style w:type="paragraph" w:customStyle="1" w:styleId="bodytext">
    <w:name w:val="bodytext"/>
    <w:basedOn w:val="Normal"/>
    <w:rsid w:val="002C25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6120">
      <w:bodyDiv w:val="1"/>
      <w:marLeft w:val="0"/>
      <w:marRight w:val="0"/>
      <w:marTop w:val="0"/>
      <w:marBottom w:val="0"/>
      <w:divBdr>
        <w:top w:val="none" w:sz="0" w:space="0" w:color="auto"/>
        <w:left w:val="none" w:sz="0" w:space="0" w:color="auto"/>
        <w:bottom w:val="none" w:sz="0" w:space="0" w:color="auto"/>
        <w:right w:val="none" w:sz="0" w:space="0" w:color="auto"/>
      </w:divBdr>
    </w:div>
    <w:div w:id="1497845894">
      <w:bodyDiv w:val="1"/>
      <w:marLeft w:val="0"/>
      <w:marRight w:val="0"/>
      <w:marTop w:val="0"/>
      <w:marBottom w:val="0"/>
      <w:divBdr>
        <w:top w:val="none" w:sz="0" w:space="0" w:color="auto"/>
        <w:left w:val="none" w:sz="0" w:space="0" w:color="auto"/>
        <w:bottom w:val="none" w:sz="0" w:space="0" w:color="auto"/>
        <w:right w:val="none" w:sz="0" w:space="0" w:color="auto"/>
      </w:divBdr>
    </w:div>
    <w:div w:id="1705793279">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nr/gaez/about-data-portal/yield-and-production-gaps/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4060/CA3129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cbd.int" TargetMode="External"/><Relationship Id="rId5" Type="http://schemas.openxmlformats.org/officeDocument/2006/relationships/styles" Target="styles.xml"/><Relationship Id="rId15" Type="http://schemas.openxmlformats.org/officeDocument/2006/relationships/hyperlink" Target="https://www.cbd.int/sbstta/sbstta-24/post2020-monitoring-en.pdf" TargetMode="External"/><Relationship Id="rId10" Type="http://schemas.openxmlformats.org/officeDocument/2006/relationships/hyperlink" Target="mailto:secretariat@cbd.i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o.org/3/a-i4695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9852e78d230dc092ccaf6aacf34ce079">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62da2887741fb97881108c19e0ba2d9e"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A60F-1341-4AE9-848F-D3C2508CFAEA}">
  <ds:schemaRefs>
    <ds:schemaRef ds:uri="http://schemas.microsoft.com/sharepoint/v3/contenttype/forms"/>
  </ds:schemaRefs>
</ds:datastoreItem>
</file>

<file path=customXml/itemProps2.xml><?xml version="1.0" encoding="utf-8"?>
<ds:datastoreItem xmlns:ds="http://schemas.openxmlformats.org/officeDocument/2006/customXml" ds:itemID="{9A216CB2-36F9-4169-A0D9-3E3257E22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919F7-8C7A-4CAF-8868-A371C96B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1</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2020-08-18T12:06:00Z</dcterms:created>
  <dcterms:modified xsi:type="dcterms:W3CDTF">2020-08-18T12:06:00Z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