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29" w:rsidRDefault="00462C7B">
      <w:pPr>
        <w:jc w:val="center"/>
        <w:rPr>
          <w:b/>
          <w:sz w:val="22"/>
          <w:szCs w:val="22"/>
        </w:rPr>
      </w:pPr>
      <w:r>
        <w:rPr>
          <w:b/>
          <w:sz w:val="22"/>
          <w:szCs w:val="22"/>
        </w:rPr>
        <w:t>Template for the review of the document on linkages between the post-2020 global biodiversity framework and the 2030 agenda for sustainable development</w:t>
      </w:r>
    </w:p>
    <w:p w:rsidR="00751329" w:rsidRDefault="00751329">
      <w:pPr>
        <w:pBdr>
          <w:top w:val="nil"/>
          <w:left w:val="nil"/>
          <w:bottom w:val="nil"/>
          <w:right w:val="nil"/>
          <w:between w:val="nil"/>
        </w:pBdr>
        <w:jc w:val="center"/>
        <w:rPr>
          <w:b/>
          <w:color w:val="000000"/>
          <w:sz w:val="22"/>
          <w:szCs w:val="22"/>
          <w:u w:val="single"/>
        </w:rPr>
      </w:pPr>
    </w:p>
    <w:p w:rsidR="00751329" w:rsidRDefault="00462C7B">
      <w:pPr>
        <w:pBdr>
          <w:top w:val="nil"/>
          <w:left w:val="nil"/>
          <w:bottom w:val="nil"/>
          <w:right w:val="nil"/>
          <w:between w:val="nil"/>
        </w:pBdr>
        <w:jc w:val="center"/>
        <w:rPr>
          <w:b/>
          <w:color w:val="000000"/>
          <w:sz w:val="22"/>
          <w:szCs w:val="22"/>
          <w:u w:val="single"/>
        </w:rPr>
      </w:pPr>
      <w:r>
        <w:rPr>
          <w:b/>
          <w:color w:val="000000"/>
          <w:sz w:val="22"/>
          <w:szCs w:val="22"/>
          <w:u w:val="single"/>
        </w:rPr>
        <w:t>TEMPLATE FOR COMMENTS</w:t>
      </w:r>
    </w:p>
    <w:p w:rsidR="00751329" w:rsidRDefault="00751329">
      <w:pPr>
        <w:pBdr>
          <w:top w:val="nil"/>
          <w:left w:val="nil"/>
          <w:bottom w:val="nil"/>
          <w:right w:val="nil"/>
          <w:between w:val="nil"/>
        </w:pBdr>
        <w:jc w:val="center"/>
        <w:rPr>
          <w:b/>
          <w:color w:val="000000"/>
          <w:sz w:val="22"/>
          <w:szCs w:val="22"/>
          <w:u w:val="single"/>
        </w:rPr>
      </w:pPr>
    </w:p>
    <w:tbl>
      <w:tblPr>
        <w:tblStyle w:val="a"/>
        <w:tblW w:w="101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305"/>
        <w:gridCol w:w="1965"/>
        <w:gridCol w:w="6105"/>
      </w:tblGrid>
      <w:tr w:rsidR="00751329">
        <w:trPr>
          <w:trHeight w:val="233"/>
        </w:trPr>
        <w:tc>
          <w:tcPr>
            <w:tcW w:w="10185" w:type="dxa"/>
            <w:gridSpan w:val="4"/>
            <w:shd w:val="clear" w:color="auto" w:fill="C0C0C0"/>
          </w:tcPr>
          <w:p w:rsidR="00751329" w:rsidRDefault="00462C7B">
            <w:pPr>
              <w:jc w:val="center"/>
              <w:rPr>
                <w:i/>
              </w:rPr>
            </w:pPr>
            <w:r>
              <w:rPr>
                <w:i/>
              </w:rPr>
              <w:t>Contact information</w:t>
            </w:r>
          </w:p>
        </w:tc>
      </w:tr>
      <w:tr w:rsidR="00462C7B">
        <w:trPr>
          <w:trHeight w:val="270"/>
        </w:trPr>
        <w:tc>
          <w:tcPr>
            <w:tcW w:w="4080" w:type="dxa"/>
            <w:gridSpan w:val="3"/>
          </w:tcPr>
          <w:p w:rsidR="00462C7B" w:rsidRDefault="00462C7B" w:rsidP="00462C7B">
            <w:pPr>
              <w:pBdr>
                <w:top w:val="nil"/>
                <w:left w:val="nil"/>
                <w:bottom w:val="nil"/>
                <w:right w:val="nil"/>
                <w:between w:val="nil"/>
              </w:pBdr>
              <w:spacing w:before="60" w:after="60"/>
              <w:rPr>
                <w:b/>
                <w:color w:val="000000"/>
                <w:sz w:val="22"/>
                <w:szCs w:val="22"/>
              </w:rPr>
            </w:pPr>
            <w:r>
              <w:rPr>
                <w:b/>
                <w:color w:val="000000"/>
                <w:sz w:val="22"/>
                <w:szCs w:val="22"/>
              </w:rPr>
              <w:t>Surname:</w:t>
            </w:r>
          </w:p>
        </w:tc>
        <w:tc>
          <w:tcPr>
            <w:tcW w:w="6105" w:type="dxa"/>
          </w:tcPr>
          <w:p w:rsidR="00462C7B" w:rsidRPr="000C0B6C" w:rsidRDefault="00462C7B" w:rsidP="00462C7B">
            <w:proofErr w:type="spellStart"/>
            <w:r>
              <w:t>Zúñiga</w:t>
            </w:r>
            <w:proofErr w:type="spellEnd"/>
          </w:p>
        </w:tc>
      </w:tr>
      <w:tr w:rsidR="00462C7B">
        <w:trPr>
          <w:trHeight w:val="270"/>
        </w:trPr>
        <w:tc>
          <w:tcPr>
            <w:tcW w:w="4080" w:type="dxa"/>
            <w:gridSpan w:val="3"/>
          </w:tcPr>
          <w:p w:rsidR="00462C7B" w:rsidRDefault="00462C7B" w:rsidP="00462C7B">
            <w:pPr>
              <w:pBdr>
                <w:top w:val="nil"/>
                <w:left w:val="nil"/>
                <w:bottom w:val="nil"/>
                <w:right w:val="nil"/>
                <w:between w:val="nil"/>
              </w:pBdr>
              <w:spacing w:before="60" w:after="60"/>
              <w:rPr>
                <w:b/>
                <w:color w:val="000000"/>
                <w:sz w:val="22"/>
                <w:szCs w:val="22"/>
              </w:rPr>
            </w:pPr>
            <w:r>
              <w:rPr>
                <w:b/>
                <w:color w:val="000000"/>
                <w:sz w:val="22"/>
                <w:szCs w:val="22"/>
              </w:rPr>
              <w:t>Given Name:</w:t>
            </w:r>
          </w:p>
        </w:tc>
        <w:tc>
          <w:tcPr>
            <w:tcW w:w="6105" w:type="dxa"/>
          </w:tcPr>
          <w:p w:rsidR="00462C7B" w:rsidRPr="000C0B6C" w:rsidRDefault="00462C7B" w:rsidP="00462C7B">
            <w:r>
              <w:t>Luis</w:t>
            </w:r>
          </w:p>
        </w:tc>
      </w:tr>
      <w:tr w:rsidR="00462C7B">
        <w:trPr>
          <w:trHeight w:val="280"/>
        </w:trPr>
        <w:tc>
          <w:tcPr>
            <w:tcW w:w="4080" w:type="dxa"/>
            <w:gridSpan w:val="3"/>
          </w:tcPr>
          <w:p w:rsidR="00462C7B" w:rsidRDefault="00462C7B" w:rsidP="00462C7B">
            <w:pPr>
              <w:pBdr>
                <w:top w:val="nil"/>
                <w:left w:val="nil"/>
                <w:bottom w:val="nil"/>
                <w:right w:val="nil"/>
                <w:between w:val="nil"/>
              </w:pBdr>
              <w:spacing w:before="60" w:after="60"/>
              <w:rPr>
                <w:b/>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105" w:type="dxa"/>
          </w:tcPr>
          <w:p w:rsidR="00462C7B" w:rsidRPr="000C0B6C" w:rsidRDefault="00462C7B" w:rsidP="00462C7B"/>
        </w:tc>
      </w:tr>
      <w:tr w:rsidR="00462C7B" w:rsidRPr="00462C7B">
        <w:trPr>
          <w:trHeight w:val="270"/>
        </w:trPr>
        <w:tc>
          <w:tcPr>
            <w:tcW w:w="4080" w:type="dxa"/>
            <w:gridSpan w:val="3"/>
          </w:tcPr>
          <w:p w:rsidR="00462C7B" w:rsidRDefault="00462C7B" w:rsidP="00462C7B">
            <w:pPr>
              <w:pBdr>
                <w:top w:val="nil"/>
                <w:left w:val="nil"/>
                <w:bottom w:val="nil"/>
                <w:right w:val="nil"/>
                <w:between w:val="nil"/>
              </w:pBdr>
              <w:spacing w:before="60" w:after="60"/>
              <w:rPr>
                <w:b/>
                <w:color w:val="000000"/>
                <w:sz w:val="22"/>
                <w:szCs w:val="22"/>
              </w:rPr>
            </w:pPr>
            <w:r>
              <w:rPr>
                <w:b/>
                <w:color w:val="000000"/>
                <w:sz w:val="22"/>
                <w:szCs w:val="22"/>
              </w:rPr>
              <w:t>Organization:</w:t>
            </w:r>
          </w:p>
        </w:tc>
        <w:tc>
          <w:tcPr>
            <w:tcW w:w="6105" w:type="dxa"/>
          </w:tcPr>
          <w:p w:rsidR="00462C7B" w:rsidRPr="004A502D" w:rsidRDefault="00462C7B" w:rsidP="00462C7B">
            <w:pPr>
              <w:rPr>
                <w:lang w:val="es-MX"/>
              </w:rPr>
            </w:pPr>
            <w:r>
              <w:rPr>
                <w:lang w:val="es-MX"/>
              </w:rPr>
              <w:t>(</w:t>
            </w:r>
            <w:proofErr w:type="spellStart"/>
            <w:r>
              <w:rPr>
                <w:lang w:val="es-MX"/>
              </w:rPr>
              <w:t>On</w:t>
            </w:r>
            <w:proofErr w:type="spellEnd"/>
            <w:r>
              <w:rPr>
                <w:lang w:val="es-MX"/>
              </w:rPr>
              <w:t xml:space="preserve"> </w:t>
            </w:r>
            <w:proofErr w:type="spellStart"/>
            <w:r>
              <w:rPr>
                <w:lang w:val="es-MX"/>
              </w:rPr>
              <w:t>behalf</w:t>
            </w:r>
            <w:proofErr w:type="spellEnd"/>
            <w:r>
              <w:rPr>
                <w:lang w:val="es-MX"/>
              </w:rPr>
              <w:t xml:space="preserve"> </w:t>
            </w:r>
            <w:proofErr w:type="spellStart"/>
            <w:r>
              <w:rPr>
                <w:lang w:val="es-MX"/>
              </w:rPr>
              <w:t>of</w:t>
            </w:r>
            <w:proofErr w:type="spellEnd"/>
            <w:r>
              <w:rPr>
                <w:lang w:val="es-MX"/>
              </w:rPr>
              <w:t xml:space="preserve">) </w:t>
            </w:r>
            <w:r w:rsidRPr="004A502D">
              <w:rPr>
                <w:lang w:val="es-MX"/>
              </w:rPr>
              <w:t>Alianza Mexicana por la Biodiversidad</w:t>
            </w:r>
          </w:p>
        </w:tc>
      </w:tr>
      <w:tr w:rsidR="00462C7B">
        <w:trPr>
          <w:trHeight w:val="280"/>
        </w:trPr>
        <w:tc>
          <w:tcPr>
            <w:tcW w:w="4080" w:type="dxa"/>
            <w:gridSpan w:val="3"/>
          </w:tcPr>
          <w:p w:rsidR="00462C7B" w:rsidRDefault="00462C7B" w:rsidP="00462C7B">
            <w:pPr>
              <w:pBdr>
                <w:top w:val="nil"/>
                <w:left w:val="nil"/>
                <w:bottom w:val="nil"/>
                <w:right w:val="nil"/>
                <w:between w:val="nil"/>
              </w:pBdr>
              <w:spacing w:before="60" w:after="60"/>
              <w:rPr>
                <w:b/>
                <w:color w:val="000000"/>
                <w:sz w:val="22"/>
                <w:szCs w:val="22"/>
              </w:rPr>
            </w:pPr>
            <w:r>
              <w:rPr>
                <w:b/>
                <w:color w:val="000000"/>
                <w:sz w:val="22"/>
                <w:szCs w:val="22"/>
              </w:rPr>
              <w:t xml:space="preserve">Address:  </w:t>
            </w:r>
          </w:p>
        </w:tc>
        <w:tc>
          <w:tcPr>
            <w:tcW w:w="6105" w:type="dxa"/>
          </w:tcPr>
          <w:p w:rsidR="00462C7B" w:rsidRPr="000C0B6C" w:rsidRDefault="00462C7B" w:rsidP="00462C7B"/>
        </w:tc>
      </w:tr>
      <w:tr w:rsidR="00462C7B">
        <w:trPr>
          <w:trHeight w:val="270"/>
        </w:trPr>
        <w:tc>
          <w:tcPr>
            <w:tcW w:w="4080" w:type="dxa"/>
            <w:gridSpan w:val="3"/>
          </w:tcPr>
          <w:p w:rsidR="00462C7B" w:rsidRDefault="00462C7B" w:rsidP="00462C7B">
            <w:pPr>
              <w:pBdr>
                <w:top w:val="nil"/>
                <w:left w:val="nil"/>
                <w:bottom w:val="nil"/>
                <w:right w:val="nil"/>
                <w:between w:val="nil"/>
              </w:pBdr>
              <w:spacing w:before="60" w:after="60"/>
              <w:rPr>
                <w:b/>
                <w:color w:val="000000"/>
                <w:sz w:val="22"/>
                <w:szCs w:val="22"/>
              </w:rPr>
            </w:pPr>
            <w:r>
              <w:rPr>
                <w:b/>
                <w:color w:val="000000"/>
                <w:sz w:val="22"/>
                <w:szCs w:val="22"/>
              </w:rPr>
              <w:t>City:</w:t>
            </w:r>
          </w:p>
        </w:tc>
        <w:tc>
          <w:tcPr>
            <w:tcW w:w="6105" w:type="dxa"/>
          </w:tcPr>
          <w:p w:rsidR="00462C7B" w:rsidRPr="000C0B6C" w:rsidRDefault="00462C7B" w:rsidP="00462C7B">
            <w:r>
              <w:t>Mexico City</w:t>
            </w:r>
          </w:p>
        </w:tc>
      </w:tr>
      <w:tr w:rsidR="00462C7B">
        <w:trPr>
          <w:trHeight w:val="280"/>
        </w:trPr>
        <w:tc>
          <w:tcPr>
            <w:tcW w:w="4080" w:type="dxa"/>
            <w:gridSpan w:val="3"/>
          </w:tcPr>
          <w:p w:rsidR="00462C7B" w:rsidRDefault="00462C7B" w:rsidP="00462C7B">
            <w:pPr>
              <w:pBdr>
                <w:top w:val="nil"/>
                <w:left w:val="nil"/>
                <w:bottom w:val="nil"/>
                <w:right w:val="nil"/>
                <w:between w:val="nil"/>
              </w:pBdr>
              <w:spacing w:before="60" w:after="60"/>
              <w:rPr>
                <w:b/>
                <w:color w:val="000000"/>
                <w:sz w:val="22"/>
                <w:szCs w:val="22"/>
              </w:rPr>
            </w:pPr>
            <w:r>
              <w:rPr>
                <w:b/>
                <w:color w:val="000000"/>
                <w:sz w:val="22"/>
                <w:szCs w:val="22"/>
              </w:rPr>
              <w:t>Country:</w:t>
            </w:r>
          </w:p>
        </w:tc>
        <w:tc>
          <w:tcPr>
            <w:tcW w:w="6105" w:type="dxa"/>
          </w:tcPr>
          <w:p w:rsidR="00462C7B" w:rsidRPr="000C0B6C" w:rsidRDefault="00462C7B" w:rsidP="00462C7B">
            <w:r>
              <w:t>MEXICO</w:t>
            </w:r>
          </w:p>
        </w:tc>
      </w:tr>
      <w:tr w:rsidR="00462C7B">
        <w:trPr>
          <w:trHeight w:val="233"/>
        </w:trPr>
        <w:tc>
          <w:tcPr>
            <w:tcW w:w="4080" w:type="dxa"/>
            <w:gridSpan w:val="3"/>
          </w:tcPr>
          <w:p w:rsidR="00462C7B" w:rsidRDefault="00462C7B" w:rsidP="00462C7B">
            <w:pPr>
              <w:pBdr>
                <w:top w:val="nil"/>
                <w:left w:val="nil"/>
                <w:bottom w:val="nil"/>
                <w:right w:val="nil"/>
                <w:between w:val="nil"/>
              </w:pBdr>
              <w:rPr>
                <w:b/>
                <w:color w:val="000000"/>
                <w:sz w:val="22"/>
                <w:szCs w:val="22"/>
              </w:rPr>
            </w:pPr>
            <w:r>
              <w:rPr>
                <w:b/>
                <w:color w:val="000000"/>
                <w:sz w:val="22"/>
                <w:szCs w:val="22"/>
              </w:rPr>
              <w:t>E-mail:</w:t>
            </w:r>
          </w:p>
        </w:tc>
        <w:tc>
          <w:tcPr>
            <w:tcW w:w="6105" w:type="dxa"/>
          </w:tcPr>
          <w:p w:rsidR="00462C7B" w:rsidRPr="000C0B6C" w:rsidRDefault="00462C7B" w:rsidP="00462C7B">
            <w:r w:rsidRPr="004A502D">
              <w:t>alianzamexbiodiversidad@gmail.com</w:t>
            </w:r>
          </w:p>
        </w:tc>
      </w:tr>
      <w:tr w:rsidR="00462C7B">
        <w:trPr>
          <w:trHeight w:val="224"/>
        </w:trPr>
        <w:tc>
          <w:tcPr>
            <w:tcW w:w="10185" w:type="dxa"/>
            <w:gridSpan w:val="4"/>
            <w:shd w:val="clear" w:color="auto" w:fill="C0C0C0"/>
          </w:tcPr>
          <w:p w:rsidR="00462C7B" w:rsidRDefault="00462C7B" w:rsidP="00462C7B">
            <w:pPr>
              <w:jc w:val="center"/>
              <w:rPr>
                <w:b/>
                <w:i/>
              </w:rPr>
            </w:pPr>
            <w:r>
              <w:rPr>
                <w:b/>
                <w:i/>
              </w:rPr>
              <w:t>General comments</w:t>
            </w:r>
          </w:p>
        </w:tc>
      </w:tr>
      <w:tr w:rsidR="00462C7B">
        <w:trPr>
          <w:trHeight w:val="224"/>
        </w:trPr>
        <w:tc>
          <w:tcPr>
            <w:tcW w:w="10185" w:type="dxa"/>
            <w:gridSpan w:val="4"/>
          </w:tcPr>
          <w:p w:rsidR="00462C7B" w:rsidRDefault="00462C7B" w:rsidP="00462C7B">
            <w:pPr>
              <w:numPr>
                <w:ilvl w:val="0"/>
                <w:numId w:val="2"/>
              </w:numPr>
              <w:rPr>
                <w:b/>
                <w:sz w:val="22"/>
                <w:szCs w:val="22"/>
              </w:rPr>
            </w:pPr>
            <w:r>
              <w:rPr>
                <w:b/>
                <w:sz w:val="22"/>
                <w:szCs w:val="22"/>
              </w:rPr>
              <w:t>Based on research published by the Stockholm Resilience Center in 2016, it would be interesting to generate a graph on how biodiversity connects all SDGs and explain it in Section I (</w:t>
            </w:r>
            <w:hyperlink r:id="rId5">
              <w:r>
                <w:rPr>
                  <w:b/>
                  <w:color w:val="1155CC"/>
                  <w:sz w:val="22"/>
                  <w:szCs w:val="22"/>
                  <w:u w:val="single"/>
                </w:rPr>
                <w:t>https://www.stockholmresilience.org/research/research-news/2016-06-14-how-food-connects-all-the-sdgs.html</w:t>
              </w:r>
            </w:hyperlink>
            <w:r>
              <w:rPr>
                <w:b/>
                <w:sz w:val="22"/>
                <w:szCs w:val="22"/>
              </w:rPr>
              <w:t>).</w:t>
            </w:r>
          </w:p>
        </w:tc>
      </w:tr>
      <w:tr w:rsidR="00462C7B">
        <w:trPr>
          <w:trHeight w:val="224"/>
        </w:trPr>
        <w:tc>
          <w:tcPr>
            <w:tcW w:w="10185" w:type="dxa"/>
            <w:gridSpan w:val="4"/>
          </w:tcPr>
          <w:p w:rsidR="00462C7B" w:rsidRDefault="00462C7B" w:rsidP="00462C7B">
            <w:pPr>
              <w:numPr>
                <w:ilvl w:val="0"/>
                <w:numId w:val="2"/>
              </w:numPr>
              <w:rPr>
                <w:b/>
                <w:sz w:val="22"/>
                <w:szCs w:val="22"/>
              </w:rPr>
            </w:pPr>
            <w:r>
              <w:rPr>
                <w:b/>
                <w:sz w:val="22"/>
                <w:szCs w:val="22"/>
              </w:rPr>
              <w:t>We celebrate intergenerational and intragenerational equity is addressed</w:t>
            </w:r>
          </w:p>
        </w:tc>
      </w:tr>
      <w:tr w:rsidR="00462C7B">
        <w:trPr>
          <w:trHeight w:val="224"/>
        </w:trPr>
        <w:tc>
          <w:tcPr>
            <w:tcW w:w="10185" w:type="dxa"/>
            <w:gridSpan w:val="4"/>
          </w:tcPr>
          <w:p w:rsidR="00462C7B" w:rsidRDefault="00462C7B" w:rsidP="00462C7B">
            <w:pPr>
              <w:numPr>
                <w:ilvl w:val="0"/>
                <w:numId w:val="1"/>
              </w:numPr>
              <w:rPr>
                <w:b/>
                <w:sz w:val="22"/>
                <w:szCs w:val="22"/>
              </w:rPr>
            </w:pPr>
            <w:r>
              <w:rPr>
                <w:b/>
                <w:sz w:val="22"/>
                <w:szCs w:val="22"/>
              </w:rPr>
              <w:t xml:space="preserve">Effective implementation of the post-2020 GBF should be based on building alliances, thus the overall GBF contributes to SDG 17. This could be addressed at the GBF Goal </w:t>
            </w:r>
            <w:proofErr w:type="gramStart"/>
            <w:r>
              <w:rPr>
                <w:b/>
                <w:sz w:val="22"/>
                <w:szCs w:val="22"/>
              </w:rPr>
              <w:t>level, and</w:t>
            </w:r>
            <w:proofErr w:type="gramEnd"/>
            <w:r>
              <w:rPr>
                <w:b/>
                <w:sz w:val="22"/>
                <w:szCs w:val="22"/>
              </w:rPr>
              <w:t xml:space="preserve"> include Goal 17 for each one of the four proposed GBF goals. </w:t>
            </w:r>
          </w:p>
        </w:tc>
      </w:tr>
      <w:tr w:rsidR="00462C7B">
        <w:trPr>
          <w:trHeight w:val="224"/>
        </w:trPr>
        <w:tc>
          <w:tcPr>
            <w:tcW w:w="10185" w:type="dxa"/>
            <w:gridSpan w:val="4"/>
          </w:tcPr>
          <w:p w:rsidR="00462C7B" w:rsidRDefault="00462C7B" w:rsidP="00462C7B">
            <w:pPr>
              <w:numPr>
                <w:ilvl w:val="0"/>
                <w:numId w:val="1"/>
              </w:numPr>
              <w:rPr>
                <w:b/>
                <w:sz w:val="22"/>
                <w:szCs w:val="22"/>
              </w:rPr>
            </w:pPr>
            <w:r>
              <w:rPr>
                <w:b/>
                <w:sz w:val="22"/>
                <w:szCs w:val="22"/>
              </w:rPr>
              <w:t xml:space="preserve">Effective implementation of the post-2020 GBF will allow us to address peace, justice and achieve strengthened institutions. In this context, the overall GBF contributes to SDG 17. This could be addressed at the GBF Goal </w:t>
            </w:r>
            <w:proofErr w:type="gramStart"/>
            <w:r>
              <w:rPr>
                <w:b/>
                <w:sz w:val="22"/>
                <w:szCs w:val="22"/>
              </w:rPr>
              <w:t>level, and</w:t>
            </w:r>
            <w:proofErr w:type="gramEnd"/>
            <w:r>
              <w:rPr>
                <w:b/>
                <w:sz w:val="22"/>
                <w:szCs w:val="22"/>
              </w:rPr>
              <w:t xml:space="preserve"> include Goal 16 for each one of the four proposed GBF goals. </w:t>
            </w:r>
          </w:p>
        </w:tc>
      </w:tr>
      <w:tr w:rsidR="00462C7B">
        <w:trPr>
          <w:trHeight w:val="224"/>
        </w:trPr>
        <w:tc>
          <w:tcPr>
            <w:tcW w:w="10185" w:type="dxa"/>
            <w:gridSpan w:val="4"/>
            <w:shd w:val="clear" w:color="auto" w:fill="C0C0C0"/>
          </w:tcPr>
          <w:p w:rsidR="00462C7B" w:rsidRDefault="00462C7B" w:rsidP="00462C7B">
            <w:pPr>
              <w:jc w:val="center"/>
              <w:rPr>
                <w:b/>
                <w:i/>
              </w:rPr>
            </w:pPr>
            <w:bookmarkStart w:id="0" w:name="_gjdgxs" w:colFirst="0" w:colLast="0"/>
            <w:bookmarkEnd w:id="0"/>
            <w:r>
              <w:rPr>
                <w:b/>
                <w:i/>
              </w:rPr>
              <w:t>Specific comments</w:t>
            </w:r>
          </w:p>
        </w:tc>
      </w:tr>
      <w:tr w:rsidR="00462C7B">
        <w:trPr>
          <w:trHeight w:val="224"/>
        </w:trPr>
        <w:tc>
          <w:tcPr>
            <w:tcW w:w="810" w:type="dxa"/>
          </w:tcPr>
          <w:p w:rsidR="00462C7B" w:rsidRDefault="00462C7B" w:rsidP="00462C7B">
            <w:pPr>
              <w:rPr>
                <w:b/>
              </w:rPr>
            </w:pPr>
            <w:r>
              <w:rPr>
                <w:b/>
                <w:sz w:val="22"/>
                <w:szCs w:val="22"/>
              </w:rPr>
              <w:t xml:space="preserve">Page </w:t>
            </w:r>
          </w:p>
        </w:tc>
        <w:tc>
          <w:tcPr>
            <w:tcW w:w="1305" w:type="dxa"/>
          </w:tcPr>
          <w:p w:rsidR="00462C7B" w:rsidRDefault="00462C7B" w:rsidP="00462C7B">
            <w:pPr>
              <w:rPr>
                <w:b/>
              </w:rPr>
            </w:pPr>
            <w:r>
              <w:rPr>
                <w:b/>
                <w:sz w:val="22"/>
                <w:szCs w:val="22"/>
              </w:rPr>
              <w:t>Paragraph</w:t>
            </w:r>
          </w:p>
        </w:tc>
        <w:tc>
          <w:tcPr>
            <w:tcW w:w="8070" w:type="dxa"/>
            <w:gridSpan w:val="2"/>
          </w:tcPr>
          <w:p w:rsidR="00462C7B" w:rsidRDefault="00462C7B" w:rsidP="00462C7B">
            <w:pPr>
              <w:rPr>
                <w:b/>
              </w:rPr>
            </w:pPr>
            <w:r>
              <w:rPr>
                <w:b/>
                <w:sz w:val="22"/>
                <w:szCs w:val="22"/>
              </w:rPr>
              <w:t>Comment</w:t>
            </w:r>
          </w:p>
        </w:tc>
      </w:tr>
      <w:tr w:rsidR="00462C7B">
        <w:trPr>
          <w:trHeight w:val="224"/>
        </w:trPr>
        <w:tc>
          <w:tcPr>
            <w:tcW w:w="810" w:type="dxa"/>
          </w:tcPr>
          <w:p w:rsidR="00462C7B" w:rsidRDefault="00462C7B" w:rsidP="00462C7B">
            <w:pPr>
              <w:rPr>
                <w:sz w:val="22"/>
                <w:szCs w:val="22"/>
              </w:rPr>
            </w:pPr>
            <w:r>
              <w:rPr>
                <w:sz w:val="22"/>
                <w:szCs w:val="22"/>
              </w:rPr>
              <w:t>4</w:t>
            </w:r>
          </w:p>
        </w:tc>
        <w:tc>
          <w:tcPr>
            <w:tcW w:w="1305" w:type="dxa"/>
          </w:tcPr>
          <w:p w:rsidR="00462C7B" w:rsidRDefault="00462C7B" w:rsidP="00462C7B">
            <w:pPr>
              <w:rPr>
                <w:sz w:val="22"/>
                <w:szCs w:val="22"/>
              </w:rPr>
            </w:pPr>
            <w:r>
              <w:rPr>
                <w:sz w:val="22"/>
                <w:szCs w:val="22"/>
              </w:rPr>
              <w:t>Target 2</w:t>
            </w:r>
          </w:p>
        </w:tc>
        <w:tc>
          <w:tcPr>
            <w:tcW w:w="8070" w:type="dxa"/>
            <w:gridSpan w:val="2"/>
          </w:tcPr>
          <w:p w:rsidR="00462C7B" w:rsidRDefault="00462C7B" w:rsidP="00462C7B">
            <w:pPr>
              <w:rPr>
                <w:sz w:val="22"/>
                <w:szCs w:val="22"/>
              </w:rPr>
            </w:pPr>
            <w:r>
              <w:rPr>
                <w:sz w:val="22"/>
                <w:szCs w:val="22"/>
              </w:rPr>
              <w:t xml:space="preserve">This target addresses one of the main reasons future pandemics could be prevented. </w:t>
            </w:r>
          </w:p>
          <w:p w:rsidR="00462C7B" w:rsidRDefault="00462C7B" w:rsidP="00462C7B">
            <w:pPr>
              <w:rPr>
                <w:sz w:val="22"/>
                <w:szCs w:val="22"/>
              </w:rPr>
            </w:pPr>
            <w:r>
              <w:rPr>
                <w:sz w:val="22"/>
                <w:szCs w:val="22"/>
              </w:rPr>
              <w:t>On May, Parks journal published the paper EDITORIAL ESSAY: COVID‐19 AND PROTECTED AND CONSERVED AREAS which addresses how effectively and equitably managed systems of protected and conserved areas can be part of a response to the pandemic that both lessens the chance of a recurrence of similar events and builds a more sustainable future for people and nature. In this context, Target 2 should be linked to SDG 3, although no specific targets exist, so far, addressing the concept of One Health.</w:t>
            </w:r>
          </w:p>
        </w:tc>
      </w:tr>
      <w:tr w:rsidR="00462C7B">
        <w:trPr>
          <w:trHeight w:val="233"/>
        </w:trPr>
        <w:tc>
          <w:tcPr>
            <w:tcW w:w="810" w:type="dxa"/>
          </w:tcPr>
          <w:p w:rsidR="00462C7B" w:rsidRDefault="00462C7B" w:rsidP="00462C7B">
            <w:pPr>
              <w:rPr>
                <w:sz w:val="22"/>
                <w:szCs w:val="22"/>
              </w:rPr>
            </w:pPr>
            <w:r>
              <w:rPr>
                <w:sz w:val="22"/>
                <w:szCs w:val="22"/>
              </w:rPr>
              <w:t>5</w:t>
            </w:r>
          </w:p>
        </w:tc>
        <w:tc>
          <w:tcPr>
            <w:tcW w:w="1305" w:type="dxa"/>
          </w:tcPr>
          <w:p w:rsidR="00462C7B" w:rsidRDefault="00462C7B" w:rsidP="00462C7B">
            <w:pPr>
              <w:rPr>
                <w:sz w:val="22"/>
                <w:szCs w:val="22"/>
              </w:rPr>
            </w:pPr>
            <w:r>
              <w:rPr>
                <w:sz w:val="22"/>
                <w:szCs w:val="22"/>
              </w:rPr>
              <w:t>Target 3</w:t>
            </w:r>
          </w:p>
        </w:tc>
        <w:tc>
          <w:tcPr>
            <w:tcW w:w="8070" w:type="dxa"/>
            <w:gridSpan w:val="2"/>
          </w:tcPr>
          <w:p w:rsidR="00462C7B" w:rsidRDefault="00462C7B" w:rsidP="00462C7B">
            <w:pPr>
              <w:rPr>
                <w:sz w:val="22"/>
                <w:szCs w:val="22"/>
              </w:rPr>
            </w:pPr>
            <w:r>
              <w:rPr>
                <w:sz w:val="22"/>
                <w:szCs w:val="22"/>
              </w:rPr>
              <w:t>Human-wildlife conflict contributes to much more than only Targets 15.7 and 15.c it also does to the following SDGs: 1, 2, 8, and 12. Below the specific targets it can be related to:</w:t>
            </w:r>
          </w:p>
          <w:p w:rsidR="00462C7B" w:rsidRDefault="00462C7B" w:rsidP="00462C7B">
            <w:pPr>
              <w:rPr>
                <w:sz w:val="22"/>
                <w:szCs w:val="22"/>
              </w:rPr>
            </w:pPr>
            <w:r>
              <w:rPr>
                <w:sz w:val="22"/>
                <w:szCs w:val="22"/>
              </w:rPr>
              <w:t>1.5 By 2030, build the resilience of the poor and those in vulnerable situations and reduce their exposure and vulnerability to climate-related extreme events and other economic, social and environmental shocks and disasters</w:t>
            </w:r>
          </w:p>
          <w:p w:rsidR="00462C7B" w:rsidRDefault="00462C7B" w:rsidP="00462C7B">
            <w:pPr>
              <w:rPr>
                <w:sz w:val="22"/>
                <w:szCs w:val="22"/>
              </w:rPr>
            </w:pPr>
            <w:r>
              <w:rPr>
                <w:sz w:val="22"/>
                <w:szCs w:val="22"/>
              </w:rPr>
              <w:t xml:space="preserve">The most vulnerable populations are the ones most exposed to impacts of human-wildlife conflict (HWC). Building resilience and alternative livelihoods to foster coexistence contributes to this target. </w:t>
            </w:r>
          </w:p>
          <w:p w:rsidR="00462C7B" w:rsidRDefault="00462C7B" w:rsidP="00462C7B">
            <w:pPr>
              <w:rPr>
                <w:sz w:val="22"/>
                <w:szCs w:val="22"/>
              </w:rPr>
            </w:pPr>
          </w:p>
          <w:p w:rsidR="00462C7B" w:rsidRDefault="00462C7B" w:rsidP="00462C7B">
            <w:pPr>
              <w:rPr>
                <w:sz w:val="22"/>
                <w:szCs w:val="22"/>
              </w:rPr>
            </w:pPr>
            <w:r>
              <w:rPr>
                <w:sz w:val="22"/>
                <w:szCs w:val="22"/>
              </w:rPr>
              <w:t>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462C7B" w:rsidRDefault="00462C7B" w:rsidP="00462C7B">
            <w:pPr>
              <w:rPr>
                <w:sz w:val="22"/>
                <w:szCs w:val="22"/>
              </w:rPr>
            </w:pPr>
            <w:r>
              <w:rPr>
                <w:sz w:val="22"/>
                <w:szCs w:val="22"/>
              </w:rPr>
              <w:t xml:space="preserve">HWC happens mostly in small productive sites that impacts </w:t>
            </w:r>
            <w:proofErr w:type="spellStart"/>
            <w:r>
              <w:rPr>
                <w:sz w:val="22"/>
                <w:szCs w:val="22"/>
              </w:rPr>
              <w:t>agro</w:t>
            </w:r>
            <w:proofErr w:type="spellEnd"/>
            <w:r>
              <w:rPr>
                <w:sz w:val="22"/>
                <w:szCs w:val="22"/>
              </w:rPr>
              <w:t>-productivity. Active management actions to reduce HWC and foster co-existence will allow to increase productivity of small-scale producers.</w:t>
            </w:r>
          </w:p>
          <w:p w:rsidR="00462C7B" w:rsidRDefault="00462C7B" w:rsidP="00462C7B">
            <w:pPr>
              <w:rPr>
                <w:sz w:val="22"/>
                <w:szCs w:val="22"/>
              </w:rPr>
            </w:pPr>
          </w:p>
          <w:p w:rsidR="00462C7B" w:rsidRDefault="00462C7B" w:rsidP="00462C7B">
            <w:pPr>
              <w:rPr>
                <w:sz w:val="22"/>
                <w:szCs w:val="22"/>
              </w:rPr>
            </w:pPr>
            <w:r>
              <w:rPr>
                <w:sz w:val="22"/>
                <w:szCs w:val="22"/>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rsidR="00462C7B" w:rsidRDefault="00462C7B" w:rsidP="00462C7B">
            <w:pPr>
              <w:rPr>
                <w:sz w:val="22"/>
                <w:szCs w:val="22"/>
              </w:rPr>
            </w:pPr>
            <w:r>
              <w:rPr>
                <w:sz w:val="22"/>
                <w:szCs w:val="22"/>
              </w:rPr>
              <w:t>To decrease HWC decent job creation and sustainable productive activities is fundamental, as many of these encounters happen on lands of small producers.</w:t>
            </w:r>
          </w:p>
          <w:p w:rsidR="00462C7B" w:rsidRDefault="00462C7B" w:rsidP="00462C7B">
            <w:pPr>
              <w:rPr>
                <w:sz w:val="22"/>
                <w:szCs w:val="22"/>
              </w:rPr>
            </w:pPr>
          </w:p>
          <w:p w:rsidR="00462C7B" w:rsidRDefault="00462C7B" w:rsidP="00462C7B">
            <w:pPr>
              <w:rPr>
                <w:sz w:val="22"/>
                <w:szCs w:val="22"/>
              </w:rPr>
            </w:pPr>
            <w:r>
              <w:rPr>
                <w:sz w:val="22"/>
                <w:szCs w:val="22"/>
              </w:rPr>
              <w:t>12.8 By 2030, ensure that people everywhere have the relevant information and awareness for sustainable development and lifestyles in harmony with nature</w:t>
            </w:r>
          </w:p>
          <w:p w:rsidR="00462C7B" w:rsidRDefault="00462C7B" w:rsidP="00462C7B">
            <w:pPr>
              <w:rPr>
                <w:sz w:val="22"/>
                <w:szCs w:val="22"/>
              </w:rPr>
            </w:pPr>
          </w:p>
        </w:tc>
      </w:tr>
      <w:tr w:rsidR="00462C7B">
        <w:trPr>
          <w:trHeight w:val="224"/>
        </w:trPr>
        <w:tc>
          <w:tcPr>
            <w:tcW w:w="810" w:type="dxa"/>
          </w:tcPr>
          <w:p w:rsidR="00462C7B" w:rsidRDefault="00462C7B" w:rsidP="00462C7B">
            <w:pPr>
              <w:rPr>
                <w:sz w:val="22"/>
                <w:szCs w:val="22"/>
              </w:rPr>
            </w:pPr>
            <w:r>
              <w:rPr>
                <w:sz w:val="22"/>
                <w:szCs w:val="22"/>
              </w:rPr>
              <w:lastRenderedPageBreak/>
              <w:t>29</w:t>
            </w:r>
          </w:p>
        </w:tc>
        <w:tc>
          <w:tcPr>
            <w:tcW w:w="1305" w:type="dxa"/>
          </w:tcPr>
          <w:p w:rsidR="00462C7B" w:rsidRDefault="00462C7B" w:rsidP="00462C7B">
            <w:pPr>
              <w:rPr>
                <w:sz w:val="22"/>
                <w:szCs w:val="22"/>
              </w:rPr>
            </w:pPr>
            <w:r>
              <w:rPr>
                <w:sz w:val="22"/>
                <w:szCs w:val="22"/>
              </w:rPr>
              <w:t>15</w:t>
            </w:r>
          </w:p>
        </w:tc>
        <w:tc>
          <w:tcPr>
            <w:tcW w:w="8070" w:type="dxa"/>
            <w:gridSpan w:val="2"/>
          </w:tcPr>
          <w:p w:rsidR="00462C7B" w:rsidRDefault="00462C7B" w:rsidP="00462C7B">
            <w:pPr>
              <w:rPr>
                <w:sz w:val="22"/>
                <w:szCs w:val="22"/>
              </w:rPr>
            </w:pPr>
            <w:r>
              <w:rPr>
                <w:sz w:val="22"/>
                <w:szCs w:val="22"/>
              </w:rPr>
              <w:t xml:space="preserve">Include both business and finance sectors in paragraph 15, as it only addresses private sector and businesses. </w:t>
            </w:r>
          </w:p>
          <w:p w:rsidR="00462C7B" w:rsidRDefault="00462C7B" w:rsidP="00462C7B">
            <w:pPr>
              <w:rPr>
                <w:sz w:val="22"/>
                <w:szCs w:val="22"/>
              </w:rPr>
            </w:pPr>
            <w:r>
              <w:rPr>
                <w:sz w:val="22"/>
                <w:szCs w:val="22"/>
              </w:rPr>
              <w:t xml:space="preserve">The Global Biodiversity Framework includes two targets which refer to business’ </w:t>
            </w:r>
            <w:r>
              <w:rPr>
                <w:b/>
                <w:sz w:val="22"/>
                <w:szCs w:val="22"/>
              </w:rPr>
              <w:t>and finance sector</w:t>
            </w:r>
            <w:r>
              <w:rPr>
                <w:sz w:val="22"/>
                <w:szCs w:val="22"/>
              </w:rPr>
              <w:t xml:space="preserve"> role in addressing biodiversity loss, including target 14 which calls for mainstreaming across all sectors, and target 15 which aims to reduce biodiversity impact in production practices and supply chains. However, the role of </w:t>
            </w:r>
            <w:r>
              <w:rPr>
                <w:b/>
                <w:sz w:val="22"/>
                <w:szCs w:val="22"/>
              </w:rPr>
              <w:t>both the</w:t>
            </w:r>
            <w:r>
              <w:rPr>
                <w:sz w:val="22"/>
                <w:szCs w:val="22"/>
              </w:rPr>
              <w:t xml:space="preserve"> business </w:t>
            </w:r>
            <w:r>
              <w:rPr>
                <w:b/>
                <w:sz w:val="22"/>
                <w:szCs w:val="22"/>
              </w:rPr>
              <w:t>and finance sector</w:t>
            </w:r>
            <w:r>
              <w:rPr>
                <w:sz w:val="22"/>
                <w:szCs w:val="22"/>
              </w:rPr>
              <w:t>, and its impacts on biodiversity...</w:t>
            </w:r>
          </w:p>
        </w:tc>
      </w:tr>
      <w:tr w:rsidR="00462C7B">
        <w:trPr>
          <w:trHeight w:val="224"/>
        </w:trPr>
        <w:tc>
          <w:tcPr>
            <w:tcW w:w="810" w:type="dxa"/>
          </w:tcPr>
          <w:p w:rsidR="00462C7B" w:rsidRDefault="00462C7B" w:rsidP="00462C7B"/>
        </w:tc>
        <w:tc>
          <w:tcPr>
            <w:tcW w:w="1305" w:type="dxa"/>
          </w:tcPr>
          <w:p w:rsidR="00462C7B" w:rsidRDefault="00462C7B" w:rsidP="00462C7B"/>
        </w:tc>
        <w:tc>
          <w:tcPr>
            <w:tcW w:w="8070" w:type="dxa"/>
            <w:gridSpan w:val="2"/>
          </w:tcPr>
          <w:p w:rsidR="00462C7B" w:rsidRDefault="00462C7B" w:rsidP="00462C7B"/>
        </w:tc>
      </w:tr>
      <w:tr w:rsidR="00462C7B">
        <w:trPr>
          <w:trHeight w:val="224"/>
        </w:trPr>
        <w:tc>
          <w:tcPr>
            <w:tcW w:w="810" w:type="dxa"/>
          </w:tcPr>
          <w:p w:rsidR="00462C7B" w:rsidRDefault="00462C7B" w:rsidP="00462C7B"/>
        </w:tc>
        <w:tc>
          <w:tcPr>
            <w:tcW w:w="1305" w:type="dxa"/>
          </w:tcPr>
          <w:p w:rsidR="00462C7B" w:rsidRDefault="00462C7B" w:rsidP="00462C7B"/>
        </w:tc>
        <w:tc>
          <w:tcPr>
            <w:tcW w:w="8070" w:type="dxa"/>
            <w:gridSpan w:val="2"/>
          </w:tcPr>
          <w:p w:rsidR="00462C7B" w:rsidRDefault="00462C7B" w:rsidP="00462C7B">
            <w:r>
              <w:rPr>
                <w:sz w:val="22"/>
                <w:szCs w:val="22"/>
              </w:rPr>
              <w:t>Additional rows can be added to this table by selecting “Table” followed by “insert” and “rows below”</w:t>
            </w:r>
          </w:p>
        </w:tc>
      </w:tr>
    </w:tbl>
    <w:p w:rsidR="00751329" w:rsidRDefault="00751329">
      <w:pPr>
        <w:pBdr>
          <w:top w:val="nil"/>
          <w:left w:val="nil"/>
          <w:bottom w:val="nil"/>
          <w:right w:val="nil"/>
          <w:between w:val="nil"/>
        </w:pBdr>
        <w:jc w:val="center"/>
        <w:rPr>
          <w:b/>
          <w:color w:val="000000"/>
          <w:sz w:val="22"/>
          <w:szCs w:val="22"/>
          <w:u w:val="single"/>
        </w:rPr>
      </w:pPr>
    </w:p>
    <w:p w:rsidR="00751329" w:rsidRDefault="00462C7B">
      <w:pPr>
        <w:tabs>
          <w:tab w:val="left" w:pos="5900"/>
        </w:tabs>
        <w:jc w:val="both"/>
        <w:rPr>
          <w:i/>
        </w:rPr>
      </w:pPr>
      <w:r>
        <w:rPr>
          <w:i/>
          <w:sz w:val="22"/>
          <w:szCs w:val="22"/>
        </w:rPr>
        <w:t xml:space="preserve">Comments should be sent by e-mail to </w:t>
      </w:r>
      <w:hyperlink r:id="rId6">
        <w:r>
          <w:rPr>
            <w:i/>
            <w:color w:val="0000FF"/>
            <w:sz w:val="22"/>
            <w:szCs w:val="22"/>
            <w:u w:val="single"/>
          </w:rPr>
          <w:t>secretariat@cbd.int</w:t>
        </w:r>
      </w:hyperlink>
      <w:r>
        <w:rPr>
          <w:i/>
          <w:sz w:val="22"/>
          <w:szCs w:val="22"/>
        </w:rPr>
        <w:t xml:space="preserve"> by 25 July 2020</w:t>
      </w:r>
    </w:p>
    <w:p w:rsidR="00751329" w:rsidRDefault="00751329">
      <w:bookmarkStart w:id="1" w:name="_GoBack"/>
      <w:bookmarkEnd w:id="1"/>
    </w:p>
    <w:sectPr w:rsidR="0075132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742"/>
    <w:multiLevelType w:val="multilevel"/>
    <w:tmpl w:val="BFACC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32601"/>
    <w:multiLevelType w:val="multilevel"/>
    <w:tmpl w:val="64C0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29"/>
    <w:rsid w:val="00462C7B"/>
    <w:rsid w:val="007513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AA19"/>
  <w15:docId w15:val="{787BE9DE-3113-4CAB-A3C9-6118325A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cbd.int" TargetMode="External"/><Relationship Id="rId5" Type="http://schemas.openxmlformats.org/officeDocument/2006/relationships/hyperlink" Target="https://www.stockholmresilience.org/research/research-news/2016-06-14-how-food-connects-all-the-sd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3927</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 Cruz Blancas</cp:lastModifiedBy>
  <cp:revision>2</cp:revision>
  <dcterms:created xsi:type="dcterms:W3CDTF">2020-08-11T23:24:00Z</dcterms:created>
  <dcterms:modified xsi:type="dcterms:W3CDTF">2020-08-11T23:24:00Z</dcterms:modified>
</cp:coreProperties>
</file>