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73C2A8C3" w:rsidR="00236608" w:rsidRPr="000C0B6C" w:rsidRDefault="00BB7C73" w:rsidP="009251C2">
            <w:r>
              <w:t>Acevedo</w:t>
            </w:r>
            <w:r w:rsidR="005C1C74">
              <w:t xml:space="preserve"> and </w:t>
            </w:r>
            <w:proofErr w:type="spellStart"/>
            <w:r w:rsidR="005C1C74">
              <w:t>Burgeff</w:t>
            </w:r>
            <w:proofErr w:type="spellEnd"/>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2623A20A" w:rsidR="00236608" w:rsidRPr="000C0B6C" w:rsidRDefault="00BB7C73" w:rsidP="009251C2">
            <w:r>
              <w:t>Francisca</w:t>
            </w:r>
            <w:r w:rsidR="005C1C74">
              <w:t xml:space="preserve"> and Caroline</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3B2FEAD1" w:rsidR="00236608" w:rsidRPr="000C0B6C" w:rsidRDefault="00BB7C73" w:rsidP="009251C2">
            <w:r>
              <w:t>CONABIO</w:t>
            </w:r>
          </w:p>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04CF6291" w:rsidR="00236608" w:rsidRPr="000C0B6C" w:rsidRDefault="00BB7C73" w:rsidP="009251C2">
            <w:r>
              <w:t>CONABIO</w:t>
            </w:r>
          </w:p>
        </w:tc>
      </w:tr>
      <w:tr w:rsidR="00236608" w:rsidRPr="00B0452E"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7C189038" w:rsidR="00236608" w:rsidRPr="00BB7C73" w:rsidRDefault="00BB7C73" w:rsidP="009251C2">
            <w:pPr>
              <w:rPr>
                <w:lang w:val="es-ES"/>
              </w:rPr>
            </w:pPr>
            <w:r w:rsidRPr="00BB7C73">
              <w:rPr>
                <w:lang w:val="es-ES"/>
              </w:rPr>
              <w:t>Liga Periférico-Insurgentes Sur 4903, C</w:t>
            </w:r>
            <w:r>
              <w:rPr>
                <w:lang w:val="es-ES"/>
              </w:rPr>
              <w:t xml:space="preserve">ol. Parques del Pedregal, CP 14010, Alcaldía de Tlalpan, </w:t>
            </w:r>
            <w:proofErr w:type="spellStart"/>
            <w:r>
              <w:rPr>
                <w:lang w:val="es-ES"/>
              </w:rPr>
              <w:t>CdMx</w:t>
            </w:r>
            <w:proofErr w:type="spellEnd"/>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5AF45183" w:rsidR="00236608" w:rsidRPr="000C0B6C" w:rsidRDefault="00BB7C73" w:rsidP="009251C2">
            <w:r>
              <w:t>Mexico City</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6BE785C7" w:rsidR="00236608" w:rsidRPr="000C0B6C" w:rsidRDefault="00BB7C73" w:rsidP="009251C2">
            <w:r>
              <w:t>Mexico</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191E920E" w:rsidR="00236608" w:rsidRPr="000C0B6C" w:rsidRDefault="00B0452E" w:rsidP="009251C2">
            <w:hyperlink r:id="rId7" w:history="1">
              <w:r w:rsidR="005C1C74" w:rsidRPr="00055087">
                <w:rPr>
                  <w:rStyle w:val="Hyperlink"/>
                </w:rPr>
                <w:t>facevedo@conabio.gob.mx</w:t>
              </w:r>
            </w:hyperlink>
            <w:r w:rsidR="005C1C74">
              <w:t xml:space="preserve">  </w:t>
            </w:r>
            <w:hyperlink r:id="rId8" w:history="1">
              <w:r w:rsidRPr="00055087">
                <w:rPr>
                  <w:rStyle w:val="Hyperlink"/>
                </w:rPr>
                <w:t>cburgeff@conabio.gob.mx</w:t>
              </w:r>
            </w:hyperlink>
            <w:r>
              <w:t xml:space="preserve"> </w:t>
            </w:r>
            <w:bookmarkStart w:id="0" w:name="_GoBack"/>
            <w:bookmarkEnd w:id="0"/>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0C0B6C" w:rsidRDefault="00236608" w:rsidP="009251C2">
            <w:pPr>
              <w:jc w:val="center"/>
              <w:rPr>
                <w:b/>
                <w:i/>
              </w:rPr>
            </w:pPr>
            <w:r w:rsidRPr="000C0B6C">
              <w:rPr>
                <w:b/>
                <w:i/>
                <w:highlight w:val="lightGray"/>
              </w:rPr>
              <w:t>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F2CD79B" w14:textId="77777777" w:rsidTr="009251C2">
        <w:trPr>
          <w:trHeight w:val="233"/>
        </w:trPr>
        <w:tc>
          <w:tcPr>
            <w:tcW w:w="818" w:type="dxa"/>
          </w:tcPr>
          <w:p w14:paraId="0C67F728" w14:textId="77777777" w:rsidR="00236608" w:rsidRPr="000C0B6C" w:rsidRDefault="00236608" w:rsidP="009251C2">
            <w:r w:rsidRPr="000C0B6C">
              <w:rPr>
                <w:sz w:val="22"/>
                <w:szCs w:val="22"/>
              </w:rPr>
              <w:t>0</w:t>
            </w:r>
          </w:p>
        </w:tc>
        <w:tc>
          <w:tcPr>
            <w:tcW w:w="1231" w:type="dxa"/>
          </w:tcPr>
          <w:p w14:paraId="0B8173C1" w14:textId="77777777" w:rsidR="00236608" w:rsidRPr="000C0B6C" w:rsidRDefault="00236608" w:rsidP="009251C2">
            <w:r w:rsidRPr="000C0B6C">
              <w:rPr>
                <w:sz w:val="22"/>
                <w:szCs w:val="22"/>
              </w:rPr>
              <w:t>0</w:t>
            </w:r>
          </w:p>
        </w:tc>
        <w:tc>
          <w:tcPr>
            <w:tcW w:w="8139" w:type="dxa"/>
            <w:gridSpan w:val="2"/>
          </w:tcPr>
          <w:p w14:paraId="00426BC3" w14:textId="77777777" w:rsidR="00236608" w:rsidRPr="000C0B6C" w:rsidRDefault="00236608" w:rsidP="009251C2">
            <w:r w:rsidRPr="000C0B6C">
              <w:rPr>
                <w:sz w:val="22"/>
                <w:szCs w:val="22"/>
              </w:rPr>
              <w:t>This is an example of an entry of a general comment</w:t>
            </w:r>
          </w:p>
        </w:tc>
      </w:tr>
      <w:tr w:rsidR="00236608" w:rsidRPr="000C0B6C" w14:paraId="0C9C63D9" w14:textId="77777777" w:rsidTr="009251C2">
        <w:trPr>
          <w:trHeight w:val="224"/>
        </w:trPr>
        <w:tc>
          <w:tcPr>
            <w:tcW w:w="818" w:type="dxa"/>
          </w:tcPr>
          <w:p w14:paraId="46581EE4" w14:textId="77777777" w:rsidR="00236608" w:rsidRPr="000C0B6C" w:rsidRDefault="00236608" w:rsidP="009251C2">
            <w:r>
              <w:rPr>
                <w:sz w:val="22"/>
                <w:szCs w:val="22"/>
              </w:rPr>
              <w:t>14</w:t>
            </w:r>
          </w:p>
        </w:tc>
        <w:tc>
          <w:tcPr>
            <w:tcW w:w="1231" w:type="dxa"/>
          </w:tcPr>
          <w:p w14:paraId="3DA5E0E9" w14:textId="77777777" w:rsidR="00236608" w:rsidRPr="000C0B6C" w:rsidRDefault="00236608" w:rsidP="009251C2">
            <w:r w:rsidRPr="000C0B6C">
              <w:rPr>
                <w:sz w:val="22"/>
                <w:szCs w:val="22"/>
              </w:rPr>
              <w:t>23</w:t>
            </w:r>
          </w:p>
        </w:tc>
        <w:tc>
          <w:tcPr>
            <w:tcW w:w="8139" w:type="dxa"/>
            <w:gridSpan w:val="2"/>
          </w:tcPr>
          <w:p w14:paraId="1FB20CA9" w14:textId="7CBC1BFA" w:rsidR="00236608" w:rsidRPr="000C0B6C" w:rsidRDefault="00236608" w:rsidP="009251C2">
            <w:r w:rsidRPr="000C0B6C">
              <w:rPr>
                <w:sz w:val="22"/>
                <w:szCs w:val="22"/>
              </w:rPr>
              <w:t xml:space="preserve">This is an example of a specific comment on Page </w:t>
            </w:r>
            <w:r>
              <w:rPr>
                <w:sz w:val="22"/>
                <w:szCs w:val="22"/>
              </w:rPr>
              <w:t>14</w:t>
            </w:r>
            <w:r w:rsidRPr="000C0B6C">
              <w:rPr>
                <w:sz w:val="22"/>
                <w:szCs w:val="22"/>
              </w:rPr>
              <w:t xml:space="preserve">  </w:t>
            </w:r>
            <w:r w:rsidR="00790F3D">
              <w:rPr>
                <w:sz w:val="22"/>
                <w:szCs w:val="22"/>
              </w:rPr>
              <w:t>Paragraph</w:t>
            </w:r>
            <w:r w:rsidRPr="000C0B6C">
              <w:rPr>
                <w:sz w:val="22"/>
                <w:szCs w:val="22"/>
              </w:rPr>
              <w:t xml:space="preserve"> 23</w:t>
            </w:r>
          </w:p>
        </w:tc>
      </w:tr>
      <w:tr w:rsidR="00FD2F06" w:rsidRPr="000C0B6C" w14:paraId="7FD46870" w14:textId="77777777" w:rsidTr="009251C2">
        <w:trPr>
          <w:trHeight w:val="224"/>
        </w:trPr>
        <w:tc>
          <w:tcPr>
            <w:tcW w:w="818" w:type="dxa"/>
          </w:tcPr>
          <w:p w14:paraId="497D27AA" w14:textId="12B78C79" w:rsidR="00FD2F06" w:rsidRDefault="00FD2F06" w:rsidP="009251C2">
            <w:pPr>
              <w:rPr>
                <w:sz w:val="22"/>
                <w:szCs w:val="22"/>
              </w:rPr>
            </w:pPr>
            <w:r>
              <w:rPr>
                <w:sz w:val="22"/>
                <w:szCs w:val="22"/>
              </w:rPr>
              <w:t>3</w:t>
            </w:r>
          </w:p>
        </w:tc>
        <w:tc>
          <w:tcPr>
            <w:tcW w:w="1231" w:type="dxa"/>
          </w:tcPr>
          <w:p w14:paraId="61677FDF" w14:textId="3E252566" w:rsidR="00FD2F06" w:rsidRPr="000C0B6C" w:rsidRDefault="00FD2F06" w:rsidP="009251C2">
            <w:pPr>
              <w:rPr>
                <w:sz w:val="22"/>
                <w:szCs w:val="22"/>
              </w:rPr>
            </w:pPr>
            <w:r>
              <w:rPr>
                <w:sz w:val="22"/>
                <w:szCs w:val="22"/>
              </w:rPr>
              <w:t>Goal C</w:t>
            </w:r>
          </w:p>
        </w:tc>
        <w:tc>
          <w:tcPr>
            <w:tcW w:w="8139" w:type="dxa"/>
            <w:gridSpan w:val="2"/>
          </w:tcPr>
          <w:p w14:paraId="5AA17A0F" w14:textId="048CEA25" w:rsidR="00FD2F06" w:rsidRPr="001A5050" w:rsidRDefault="00FD2F06" w:rsidP="00016BB0">
            <w:r w:rsidRPr="001A5050">
              <w:t xml:space="preserve">Do fairly and equitably shared benefits </w:t>
            </w:r>
            <w:r w:rsidR="00016BB0" w:rsidRPr="001A5050">
              <w:t xml:space="preserve">considered in this goal arise </w:t>
            </w:r>
            <w:r w:rsidRPr="001A5050">
              <w:t>only from “Utilization” of Genetic resources in the Nag</w:t>
            </w:r>
            <w:r w:rsidR="00016BB0" w:rsidRPr="001A5050">
              <w:t>oya Protocol sense</w:t>
            </w:r>
            <w:r w:rsidRPr="001A5050">
              <w:t xml:space="preserve">? Shouldn’t it  consider fairly and equitably shared benefits coming from a wider origin </w:t>
            </w:r>
            <w:r w:rsidR="00016BB0" w:rsidRPr="001A5050">
              <w:t>(</w:t>
            </w:r>
            <w:proofErr w:type="spellStart"/>
            <w:r w:rsidR="00016BB0" w:rsidRPr="001A5050">
              <w:t>i</w:t>
            </w:r>
            <w:proofErr w:type="spellEnd"/>
            <w:r w:rsidR="00016BB0" w:rsidRPr="001A5050">
              <w:t xml:space="preserve">. e. not only “utilization”), </w:t>
            </w:r>
            <w:r w:rsidRPr="001A5050">
              <w:t>in order to support all the SDGs enlisted?</w:t>
            </w:r>
          </w:p>
        </w:tc>
      </w:tr>
      <w:tr w:rsidR="00236608" w:rsidRPr="000C0B6C" w14:paraId="6153AF8D" w14:textId="77777777" w:rsidTr="009251C2">
        <w:trPr>
          <w:trHeight w:val="233"/>
        </w:trPr>
        <w:tc>
          <w:tcPr>
            <w:tcW w:w="818" w:type="dxa"/>
          </w:tcPr>
          <w:p w14:paraId="66AF3500" w14:textId="608F1F9D" w:rsidR="00236608" w:rsidRPr="000C0B6C" w:rsidRDefault="00C0462E" w:rsidP="009251C2">
            <w:r>
              <w:t>7</w:t>
            </w:r>
          </w:p>
        </w:tc>
        <w:tc>
          <w:tcPr>
            <w:tcW w:w="1231" w:type="dxa"/>
          </w:tcPr>
          <w:p w14:paraId="6A91318A" w14:textId="2A690534" w:rsidR="00236608" w:rsidRPr="000C0B6C" w:rsidRDefault="00C0462E" w:rsidP="009251C2">
            <w:r>
              <w:t>Target7</w:t>
            </w:r>
          </w:p>
        </w:tc>
        <w:tc>
          <w:tcPr>
            <w:tcW w:w="8139" w:type="dxa"/>
            <w:gridSpan w:val="2"/>
          </w:tcPr>
          <w:p w14:paraId="30F01EB4" w14:textId="4407AE31" w:rsidR="00606052" w:rsidRDefault="00606052" w:rsidP="009251C2">
            <w:r>
              <w:t>This target could be linked to SDG 2 in general besides SDG 13.</w:t>
            </w:r>
          </w:p>
          <w:p w14:paraId="0F059B45" w14:textId="77777777" w:rsidR="009B2920" w:rsidRDefault="009B2920" w:rsidP="009251C2">
            <w:r>
              <w:t xml:space="preserve">(e.g. </w:t>
            </w:r>
            <w:r w:rsidRPr="009B2920">
              <w:rPr>
                <w:i/>
              </w:rPr>
              <w:t>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t xml:space="preserve">.  </w:t>
            </w:r>
          </w:p>
          <w:p w14:paraId="75B26FF4" w14:textId="41DD1E7C" w:rsidR="009B2920" w:rsidRDefault="009B2920" w:rsidP="009251C2">
            <w:pPr>
              <w:rPr>
                <w:i/>
              </w:rPr>
            </w:pPr>
            <w:r w:rsidRPr="009B2920">
              <w:rPr>
                <w:i/>
              </w:rPr>
              <w:t>Target 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5AE75F4D" w14:textId="1D968D26" w:rsidR="009B2920" w:rsidRPr="009B2920" w:rsidRDefault="009B2920" w:rsidP="009B2920">
            <w:pPr>
              <w:rPr>
                <w:i/>
              </w:rPr>
            </w:pPr>
            <w:r w:rsidRPr="009B2920">
              <w:rPr>
                <w:i/>
              </w:rPr>
              <w:t>Indicators: 2.4.1 Proportion of agricultural area under productive and sustainable agriculture; 2.5.1 Number of plant and animal genetic resources for food and agriculture secured in either medium- or long-term conservation facilities;</w:t>
            </w:r>
            <w:r>
              <w:rPr>
                <w:i/>
              </w:rPr>
              <w:t xml:space="preserve"> </w:t>
            </w:r>
            <w:r w:rsidRPr="009B2920">
              <w:rPr>
                <w:i/>
              </w:rPr>
              <w:t>2.5.2 Proportion of local breeds classified as being at risk of extinction</w:t>
            </w:r>
            <w:r w:rsidR="005C1C74" w:rsidRPr="001A5050">
              <w:t>)</w:t>
            </w:r>
          </w:p>
          <w:p w14:paraId="3B9E6929" w14:textId="77777777" w:rsidR="009B2920" w:rsidRDefault="009B2920" w:rsidP="009251C2"/>
          <w:p w14:paraId="5F267497" w14:textId="67F84C92" w:rsidR="00606052" w:rsidRPr="000C0B6C" w:rsidRDefault="00606052" w:rsidP="009251C2">
            <w:r>
              <w:t xml:space="preserve">On comments, last column, it would be relevant to signal out that one of the key mechanisms to achieve adaptability and resilience to climate change is through harboring and protecting genetic diversity in general of all species, and in particular of such species that are cultivated, including their wild relatives, not </w:t>
            </w:r>
            <w:r>
              <w:lastRenderedPageBreak/>
              <w:t>only in ex situ conditions but also in situ conditions, as well as protecting and promoting the forms of life that enhance them.</w:t>
            </w:r>
          </w:p>
        </w:tc>
      </w:tr>
      <w:tr w:rsidR="00236608" w:rsidRPr="000C0B6C" w14:paraId="30930566" w14:textId="77777777" w:rsidTr="009251C2">
        <w:trPr>
          <w:trHeight w:val="224"/>
        </w:trPr>
        <w:tc>
          <w:tcPr>
            <w:tcW w:w="818" w:type="dxa"/>
          </w:tcPr>
          <w:p w14:paraId="7E88CD75" w14:textId="0E1DF050" w:rsidR="00236608" w:rsidRPr="000C0B6C" w:rsidRDefault="00606052" w:rsidP="009251C2">
            <w:r>
              <w:lastRenderedPageBreak/>
              <w:t>10</w:t>
            </w:r>
          </w:p>
        </w:tc>
        <w:tc>
          <w:tcPr>
            <w:tcW w:w="1231" w:type="dxa"/>
          </w:tcPr>
          <w:p w14:paraId="613F0F0B" w14:textId="0761E1E6" w:rsidR="00236608" w:rsidRPr="000C0B6C" w:rsidRDefault="00606052" w:rsidP="009251C2">
            <w:r>
              <w:t>Target 9</w:t>
            </w:r>
          </w:p>
        </w:tc>
        <w:tc>
          <w:tcPr>
            <w:tcW w:w="8139" w:type="dxa"/>
            <w:gridSpan w:val="2"/>
          </w:tcPr>
          <w:p w14:paraId="3EBAF564" w14:textId="77777777" w:rsidR="00236608" w:rsidRDefault="00606052" w:rsidP="009251C2">
            <w:r>
              <w:t>We agree with the comments, but it might help making it</w:t>
            </w:r>
            <w:r w:rsidR="00B31B50">
              <w:t xml:space="preserve"> explicit that small scale farmers provide public goods in the form of food supply to a large proportion of the world population, which should be valued and accounted for, as well as evolutionary services, especially in those parts of the world where native crops and/or their wild relatives are present. These provisions must be recognized and supported, so that what these people accomplish is well rewarded and becomes a better dignified way of living.</w:t>
            </w:r>
          </w:p>
          <w:p w14:paraId="4B30F77B" w14:textId="55063942" w:rsidR="0054377A" w:rsidRPr="000C0B6C" w:rsidRDefault="0054377A" w:rsidP="009251C2"/>
        </w:tc>
      </w:tr>
      <w:tr w:rsidR="00236608" w:rsidRPr="000C0B6C" w14:paraId="419DB47A" w14:textId="77777777" w:rsidTr="009251C2">
        <w:trPr>
          <w:trHeight w:val="224"/>
        </w:trPr>
        <w:tc>
          <w:tcPr>
            <w:tcW w:w="818" w:type="dxa"/>
          </w:tcPr>
          <w:p w14:paraId="583A2152" w14:textId="5DB89966" w:rsidR="00236608" w:rsidRPr="000C0B6C" w:rsidRDefault="00B31B50" w:rsidP="009251C2">
            <w:r>
              <w:t>13</w:t>
            </w:r>
          </w:p>
        </w:tc>
        <w:tc>
          <w:tcPr>
            <w:tcW w:w="1231" w:type="dxa"/>
          </w:tcPr>
          <w:p w14:paraId="491D28B8" w14:textId="6D28B221" w:rsidR="00236608" w:rsidRPr="000C0B6C" w:rsidRDefault="00B31B50" w:rsidP="009251C2">
            <w:r>
              <w:t>Target 12</w:t>
            </w:r>
          </w:p>
        </w:tc>
        <w:tc>
          <w:tcPr>
            <w:tcW w:w="8139" w:type="dxa"/>
            <w:gridSpan w:val="2"/>
          </w:tcPr>
          <w:p w14:paraId="7EB00430" w14:textId="6D30B917" w:rsidR="00236608" w:rsidRPr="000C0B6C" w:rsidRDefault="00B31B50" w:rsidP="009251C2">
            <w:r>
              <w:t>It might be necessary to urge the different competent international organizations to look into why benefit sharing is still a rather weakly implemented idea and how to manage in fortifying it. A</w:t>
            </w:r>
            <w:r w:rsidR="005C1C74">
              <w:t>n</w:t>
            </w:r>
            <w:r>
              <w:t xml:space="preserve"> example </w:t>
            </w:r>
            <w:r w:rsidR="005C1C74">
              <w:t>would be</w:t>
            </w:r>
            <w:r>
              <w:t xml:space="preserve"> the Multilateral System under the Treaty of FAO.</w:t>
            </w:r>
          </w:p>
        </w:tc>
      </w:tr>
      <w:tr w:rsidR="0054377A" w:rsidRPr="000C0B6C" w14:paraId="0FAC74CD" w14:textId="77777777" w:rsidTr="009251C2">
        <w:trPr>
          <w:trHeight w:val="224"/>
        </w:trPr>
        <w:tc>
          <w:tcPr>
            <w:tcW w:w="818" w:type="dxa"/>
          </w:tcPr>
          <w:p w14:paraId="4AC75BCA" w14:textId="3637B4C0" w:rsidR="0054377A" w:rsidRDefault="0054377A" w:rsidP="009251C2">
            <w:r>
              <w:t>16</w:t>
            </w:r>
          </w:p>
        </w:tc>
        <w:tc>
          <w:tcPr>
            <w:tcW w:w="1231" w:type="dxa"/>
          </w:tcPr>
          <w:p w14:paraId="5D192741" w14:textId="6019B249" w:rsidR="0054377A" w:rsidRDefault="0054377A" w:rsidP="009251C2">
            <w:r>
              <w:t>Target 15</w:t>
            </w:r>
          </w:p>
        </w:tc>
        <w:tc>
          <w:tcPr>
            <w:tcW w:w="8139" w:type="dxa"/>
            <w:gridSpan w:val="2"/>
          </w:tcPr>
          <w:p w14:paraId="2903BE68" w14:textId="0330FD3D" w:rsidR="0054377A" w:rsidRDefault="00FD2F06" w:rsidP="009251C2">
            <w:r>
              <w:t xml:space="preserve"> </w:t>
            </w:r>
            <w:r w:rsidRPr="005C1C74">
              <w:rPr>
                <w:i/>
              </w:rPr>
              <w:t>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sidRPr="00FD2F06">
              <w:t xml:space="preserve">.  </w:t>
            </w:r>
            <w:r>
              <w:t xml:space="preserve"> Might also be linked to this Target. To eliminate unsustainable consumption patterns, food production should be considered too</w:t>
            </w:r>
          </w:p>
        </w:tc>
      </w:tr>
      <w:tr w:rsidR="00236608" w:rsidRPr="000C0B6C" w14:paraId="5DBDB291" w14:textId="77777777" w:rsidTr="009251C2">
        <w:trPr>
          <w:trHeight w:val="224"/>
        </w:trPr>
        <w:tc>
          <w:tcPr>
            <w:tcW w:w="818" w:type="dxa"/>
          </w:tcPr>
          <w:p w14:paraId="29E068DB" w14:textId="12606958" w:rsidR="00236608" w:rsidRPr="000C0B6C" w:rsidRDefault="00B31B50" w:rsidP="009251C2">
            <w:r>
              <w:t>18</w:t>
            </w:r>
          </w:p>
        </w:tc>
        <w:tc>
          <w:tcPr>
            <w:tcW w:w="1231" w:type="dxa"/>
          </w:tcPr>
          <w:p w14:paraId="212354D4" w14:textId="0E3D0083" w:rsidR="00236608" w:rsidRPr="000C0B6C" w:rsidRDefault="00B31B50" w:rsidP="009251C2">
            <w:r>
              <w:t>Target 17</w:t>
            </w:r>
          </w:p>
        </w:tc>
        <w:tc>
          <w:tcPr>
            <w:tcW w:w="8139" w:type="dxa"/>
            <w:gridSpan w:val="2"/>
          </w:tcPr>
          <w:p w14:paraId="637A167D" w14:textId="2C623054" w:rsidR="00236608" w:rsidRPr="000C0B6C" w:rsidRDefault="00B31B50" w:rsidP="009251C2">
            <w:r>
              <w:t>The comment should in</w:t>
            </w:r>
            <w:r w:rsidR="00494C2C">
              <w:t>cl</w:t>
            </w:r>
            <w:r>
              <w:t>ude</w:t>
            </w:r>
            <w:r w:rsidR="00494C2C">
              <w:t xml:space="preserve"> explicitly to enhance agrobiodiversity.</w:t>
            </w:r>
          </w:p>
        </w:tc>
      </w:tr>
      <w:tr w:rsidR="00236608" w:rsidRPr="000C0B6C" w14:paraId="7A865B83" w14:textId="77777777" w:rsidTr="009251C2">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9251C2">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236608" w:rsidRPr="000C0B6C" w14:paraId="435624C6" w14:textId="77777777" w:rsidTr="009251C2">
        <w:trPr>
          <w:trHeight w:val="224"/>
        </w:trPr>
        <w:tc>
          <w:tcPr>
            <w:tcW w:w="818" w:type="dxa"/>
          </w:tcPr>
          <w:p w14:paraId="112D65BF" w14:textId="77777777" w:rsidR="00236608" w:rsidRPr="000C0B6C" w:rsidRDefault="00236608" w:rsidP="009251C2"/>
        </w:tc>
        <w:tc>
          <w:tcPr>
            <w:tcW w:w="1231" w:type="dxa"/>
          </w:tcPr>
          <w:p w14:paraId="15A50A76" w14:textId="77777777" w:rsidR="00236608" w:rsidRPr="000C0B6C" w:rsidRDefault="00236608" w:rsidP="009251C2"/>
        </w:tc>
        <w:tc>
          <w:tcPr>
            <w:tcW w:w="8139" w:type="dxa"/>
            <w:gridSpan w:val="2"/>
          </w:tcPr>
          <w:p w14:paraId="778EFB93" w14:textId="77777777" w:rsidR="00236608" w:rsidRPr="000C0B6C" w:rsidRDefault="00236608" w:rsidP="009251C2"/>
        </w:tc>
      </w:tr>
      <w:tr w:rsidR="006060BF" w:rsidRPr="000C0B6C" w14:paraId="1FCC3F88" w14:textId="77777777" w:rsidTr="009251C2">
        <w:trPr>
          <w:trHeight w:val="224"/>
        </w:trPr>
        <w:tc>
          <w:tcPr>
            <w:tcW w:w="818" w:type="dxa"/>
          </w:tcPr>
          <w:p w14:paraId="7F4E8176" w14:textId="77777777" w:rsidR="006060BF" w:rsidRPr="000C0B6C" w:rsidRDefault="006060BF" w:rsidP="009251C2"/>
        </w:tc>
        <w:tc>
          <w:tcPr>
            <w:tcW w:w="1231" w:type="dxa"/>
          </w:tcPr>
          <w:p w14:paraId="01C993F1" w14:textId="77777777" w:rsidR="006060BF" w:rsidRPr="000C0B6C" w:rsidRDefault="006060BF" w:rsidP="009251C2"/>
        </w:tc>
        <w:tc>
          <w:tcPr>
            <w:tcW w:w="8139" w:type="dxa"/>
            <w:gridSpan w:val="2"/>
          </w:tcPr>
          <w:p w14:paraId="2D3D32A2" w14:textId="77777777" w:rsidR="006060BF" w:rsidRPr="000C0B6C" w:rsidRDefault="006060BF" w:rsidP="009251C2"/>
        </w:tc>
      </w:tr>
      <w:tr w:rsidR="006060BF" w:rsidRPr="000C0B6C" w14:paraId="22A28E2C" w14:textId="77777777" w:rsidTr="009251C2">
        <w:trPr>
          <w:trHeight w:val="224"/>
        </w:trPr>
        <w:tc>
          <w:tcPr>
            <w:tcW w:w="818" w:type="dxa"/>
          </w:tcPr>
          <w:p w14:paraId="27B43458" w14:textId="77777777" w:rsidR="006060BF" w:rsidRPr="000C0B6C" w:rsidRDefault="006060BF" w:rsidP="009251C2"/>
        </w:tc>
        <w:tc>
          <w:tcPr>
            <w:tcW w:w="1231" w:type="dxa"/>
          </w:tcPr>
          <w:p w14:paraId="4748D5FB" w14:textId="77777777" w:rsidR="006060BF" w:rsidRPr="000C0B6C" w:rsidRDefault="006060BF" w:rsidP="009251C2"/>
        </w:tc>
        <w:tc>
          <w:tcPr>
            <w:tcW w:w="8139" w:type="dxa"/>
            <w:gridSpan w:val="2"/>
          </w:tcPr>
          <w:p w14:paraId="5045D8FF" w14:textId="77777777" w:rsidR="006060BF" w:rsidRPr="000C0B6C" w:rsidRDefault="006060BF" w:rsidP="009251C2"/>
        </w:tc>
      </w:tr>
      <w:tr w:rsidR="006060BF" w:rsidRPr="000C0B6C" w14:paraId="69101B4F" w14:textId="77777777" w:rsidTr="009251C2">
        <w:trPr>
          <w:trHeight w:val="224"/>
        </w:trPr>
        <w:tc>
          <w:tcPr>
            <w:tcW w:w="818" w:type="dxa"/>
          </w:tcPr>
          <w:p w14:paraId="7FEEC057" w14:textId="77777777" w:rsidR="006060BF" w:rsidRPr="000C0B6C" w:rsidRDefault="006060BF" w:rsidP="009251C2"/>
        </w:tc>
        <w:tc>
          <w:tcPr>
            <w:tcW w:w="1231" w:type="dxa"/>
          </w:tcPr>
          <w:p w14:paraId="0555C2D8" w14:textId="77777777" w:rsidR="006060BF" w:rsidRPr="000C0B6C" w:rsidRDefault="006060BF" w:rsidP="009251C2"/>
        </w:tc>
        <w:tc>
          <w:tcPr>
            <w:tcW w:w="8139" w:type="dxa"/>
            <w:gridSpan w:val="2"/>
          </w:tcPr>
          <w:p w14:paraId="4620880C" w14:textId="77777777" w:rsidR="006060BF" w:rsidRPr="000C0B6C" w:rsidRDefault="006060BF" w:rsidP="009251C2"/>
        </w:tc>
      </w:tr>
      <w:tr w:rsidR="006060BF" w:rsidRPr="000C0B6C" w14:paraId="00DA4A24" w14:textId="77777777" w:rsidTr="009251C2">
        <w:trPr>
          <w:trHeight w:val="224"/>
        </w:trPr>
        <w:tc>
          <w:tcPr>
            <w:tcW w:w="818" w:type="dxa"/>
          </w:tcPr>
          <w:p w14:paraId="0BF9A4EA" w14:textId="77777777" w:rsidR="006060BF" w:rsidRPr="000C0B6C" w:rsidRDefault="006060BF" w:rsidP="009251C2"/>
        </w:tc>
        <w:tc>
          <w:tcPr>
            <w:tcW w:w="1231" w:type="dxa"/>
          </w:tcPr>
          <w:p w14:paraId="03384ADA" w14:textId="77777777" w:rsidR="006060BF" w:rsidRPr="000C0B6C" w:rsidRDefault="006060BF" w:rsidP="009251C2"/>
        </w:tc>
        <w:tc>
          <w:tcPr>
            <w:tcW w:w="8139" w:type="dxa"/>
            <w:gridSpan w:val="2"/>
          </w:tcPr>
          <w:p w14:paraId="219C3642" w14:textId="77777777" w:rsidR="006060BF" w:rsidRPr="000C0B6C" w:rsidRDefault="006060BF" w:rsidP="009251C2"/>
        </w:tc>
      </w:tr>
      <w:tr w:rsidR="006060BF" w:rsidRPr="000C0B6C" w14:paraId="0D3F0894" w14:textId="77777777" w:rsidTr="009251C2">
        <w:trPr>
          <w:trHeight w:val="224"/>
        </w:trPr>
        <w:tc>
          <w:tcPr>
            <w:tcW w:w="818" w:type="dxa"/>
          </w:tcPr>
          <w:p w14:paraId="021FCAB6" w14:textId="77777777" w:rsidR="006060BF" w:rsidRPr="000C0B6C" w:rsidRDefault="006060BF" w:rsidP="009251C2"/>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9251C2">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9"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16BB0"/>
    <w:rsid w:val="00176683"/>
    <w:rsid w:val="001A5050"/>
    <w:rsid w:val="001E3048"/>
    <w:rsid w:val="00236608"/>
    <w:rsid w:val="00334544"/>
    <w:rsid w:val="003B08FB"/>
    <w:rsid w:val="00494C2C"/>
    <w:rsid w:val="00504926"/>
    <w:rsid w:val="0053118E"/>
    <w:rsid w:val="005324AB"/>
    <w:rsid w:val="0054377A"/>
    <w:rsid w:val="005C1C74"/>
    <w:rsid w:val="00606052"/>
    <w:rsid w:val="006060BF"/>
    <w:rsid w:val="006125AA"/>
    <w:rsid w:val="00790F3D"/>
    <w:rsid w:val="008E7015"/>
    <w:rsid w:val="00933E55"/>
    <w:rsid w:val="009B2920"/>
    <w:rsid w:val="00A51FA4"/>
    <w:rsid w:val="00AF4AD0"/>
    <w:rsid w:val="00B0452E"/>
    <w:rsid w:val="00B31B50"/>
    <w:rsid w:val="00B51493"/>
    <w:rsid w:val="00B7390A"/>
    <w:rsid w:val="00B91902"/>
    <w:rsid w:val="00BB7C73"/>
    <w:rsid w:val="00BD481F"/>
    <w:rsid w:val="00C0462E"/>
    <w:rsid w:val="00D93CCA"/>
    <w:rsid w:val="00DB20C0"/>
    <w:rsid w:val="00FD2F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FB3F"/>
  <w15:docId w15:val="{2E7FDBE9-6B96-8540-B5C9-74F5820B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9B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2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4377A"/>
    <w:rPr>
      <w:sz w:val="16"/>
      <w:szCs w:val="16"/>
    </w:rPr>
  </w:style>
  <w:style w:type="paragraph" w:styleId="Revision">
    <w:name w:val="Revision"/>
    <w:hidden/>
    <w:uiPriority w:val="99"/>
    <w:semiHidden/>
    <w:rsid w:val="005C1C74"/>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C1C74"/>
    <w:rPr>
      <w:color w:val="605E5C"/>
      <w:shd w:val="clear" w:color="auto" w:fill="E1DFDD"/>
    </w:rPr>
  </w:style>
  <w:style w:type="character" w:styleId="UnresolvedMention">
    <w:name w:val="Unresolved Mention"/>
    <w:basedOn w:val="DefaultParagraphFont"/>
    <w:uiPriority w:val="99"/>
    <w:semiHidden/>
    <w:unhideWhenUsed/>
    <w:rsid w:val="00B04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geff@conabio.gob.mx" TargetMode="External"/><Relationship Id="rId3" Type="http://schemas.openxmlformats.org/officeDocument/2006/relationships/customXml" Target="../customXml/item3.xml"/><Relationship Id="rId7" Type="http://schemas.openxmlformats.org/officeDocument/2006/relationships/hyperlink" Target="mailto:facevedo@conabio.gob.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Fran</cp:lastModifiedBy>
  <cp:revision>3</cp:revision>
  <dcterms:created xsi:type="dcterms:W3CDTF">2020-07-24T18:07:00Z</dcterms:created>
  <dcterms:modified xsi:type="dcterms:W3CDTF">2020-07-24T19:52:00Z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