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E87B9E">
        <w:trPr>
          <w:trHeight w:val="233"/>
        </w:trPr>
        <w:tc>
          <w:tcPr>
            <w:tcW w:w="10188" w:type="dxa"/>
            <w:gridSpan w:val="4"/>
            <w:shd w:val="clear" w:color="auto" w:fill="C0C0C0"/>
          </w:tcPr>
          <w:p w14:paraId="297416BC" w14:textId="77777777" w:rsidR="00236608" w:rsidRPr="000C0B6C" w:rsidRDefault="00236608" w:rsidP="00E87B9E">
            <w:pPr>
              <w:jc w:val="center"/>
              <w:rPr>
                <w:i/>
              </w:rPr>
            </w:pPr>
            <w:r w:rsidRPr="000C0B6C">
              <w:rPr>
                <w:i/>
              </w:rPr>
              <w:t>Contact information</w:t>
            </w:r>
          </w:p>
        </w:tc>
      </w:tr>
      <w:tr w:rsidR="00236608" w:rsidRPr="000C0B6C" w14:paraId="212CCDF4" w14:textId="77777777" w:rsidTr="00E87B9E">
        <w:trPr>
          <w:trHeight w:val="270"/>
        </w:trPr>
        <w:tc>
          <w:tcPr>
            <w:tcW w:w="4086" w:type="dxa"/>
            <w:gridSpan w:val="3"/>
          </w:tcPr>
          <w:p w14:paraId="13CBB394" w14:textId="77777777" w:rsidR="00236608" w:rsidRPr="000C0B6C" w:rsidRDefault="00236608" w:rsidP="00E87B9E">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240455BE" w:rsidR="00236608" w:rsidRPr="000C0B6C" w:rsidRDefault="001D5D5B" w:rsidP="00E87B9E">
            <w:r>
              <w:t>Jatana</w:t>
            </w:r>
          </w:p>
        </w:tc>
      </w:tr>
      <w:tr w:rsidR="00236608" w:rsidRPr="000C0B6C" w14:paraId="70478EC8" w14:textId="77777777" w:rsidTr="00E87B9E">
        <w:trPr>
          <w:trHeight w:val="270"/>
        </w:trPr>
        <w:tc>
          <w:tcPr>
            <w:tcW w:w="4086" w:type="dxa"/>
            <w:gridSpan w:val="3"/>
          </w:tcPr>
          <w:p w14:paraId="4EE5D0BF" w14:textId="77777777" w:rsidR="00236608" w:rsidRPr="000C0B6C" w:rsidRDefault="00236608" w:rsidP="00E87B9E">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1EA56CE6" w:rsidR="00236608" w:rsidRPr="000C0B6C" w:rsidRDefault="001D5D5B" w:rsidP="00E87B9E">
            <w:r>
              <w:t>Nina</w:t>
            </w:r>
          </w:p>
        </w:tc>
      </w:tr>
      <w:tr w:rsidR="00236608" w:rsidRPr="000C0B6C" w14:paraId="60004B01" w14:textId="77777777" w:rsidTr="00E87B9E">
        <w:trPr>
          <w:trHeight w:val="280"/>
        </w:trPr>
        <w:tc>
          <w:tcPr>
            <w:tcW w:w="4086" w:type="dxa"/>
            <w:gridSpan w:val="3"/>
          </w:tcPr>
          <w:p w14:paraId="043D7251" w14:textId="77777777" w:rsidR="00236608" w:rsidRPr="000C0B6C" w:rsidRDefault="00236608" w:rsidP="00E87B9E">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77777777" w:rsidR="00236608" w:rsidRPr="000C0B6C" w:rsidRDefault="00236608" w:rsidP="00E87B9E"/>
        </w:tc>
      </w:tr>
      <w:tr w:rsidR="00236608" w:rsidRPr="000C0B6C" w14:paraId="41DAE210" w14:textId="77777777" w:rsidTr="00E87B9E">
        <w:trPr>
          <w:trHeight w:val="270"/>
        </w:trPr>
        <w:tc>
          <w:tcPr>
            <w:tcW w:w="4086" w:type="dxa"/>
            <w:gridSpan w:val="3"/>
          </w:tcPr>
          <w:p w14:paraId="064A5C6E" w14:textId="77777777" w:rsidR="00236608" w:rsidRPr="000C0B6C" w:rsidRDefault="00236608" w:rsidP="00E87B9E">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17E128B9" w:rsidR="00236608" w:rsidRPr="000C0B6C" w:rsidRDefault="001D5D5B" w:rsidP="001D5D5B">
            <w:r>
              <w:t>Population Matters</w:t>
            </w:r>
          </w:p>
        </w:tc>
      </w:tr>
      <w:tr w:rsidR="00236608" w:rsidRPr="000C0B6C" w14:paraId="19EAFF8D" w14:textId="77777777" w:rsidTr="00E87B9E">
        <w:trPr>
          <w:trHeight w:val="280"/>
        </w:trPr>
        <w:tc>
          <w:tcPr>
            <w:tcW w:w="4086" w:type="dxa"/>
            <w:gridSpan w:val="3"/>
          </w:tcPr>
          <w:p w14:paraId="051F46C6" w14:textId="77777777" w:rsidR="00236608" w:rsidRPr="000C0B6C" w:rsidRDefault="00236608" w:rsidP="00E87B9E">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7661941F" w:rsidR="00236608" w:rsidRPr="000D387B" w:rsidRDefault="000D387B" w:rsidP="00E87B9E">
            <w:r w:rsidRPr="000D387B">
              <w:rPr>
                <w:color w:val="333333"/>
                <w:shd w:val="clear" w:color="auto" w:fill="FFFFFF"/>
              </w:rPr>
              <w:t>135-137 Station Road</w:t>
            </w:r>
          </w:p>
        </w:tc>
      </w:tr>
      <w:tr w:rsidR="00236608" w:rsidRPr="000C0B6C" w14:paraId="3310BC30" w14:textId="77777777" w:rsidTr="00E87B9E">
        <w:trPr>
          <w:trHeight w:val="270"/>
        </w:trPr>
        <w:tc>
          <w:tcPr>
            <w:tcW w:w="4086" w:type="dxa"/>
            <w:gridSpan w:val="3"/>
          </w:tcPr>
          <w:p w14:paraId="675A80C3" w14:textId="77777777" w:rsidR="00236608" w:rsidRPr="000C0B6C" w:rsidRDefault="00236608" w:rsidP="00E87B9E">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22638170" w:rsidR="00236608" w:rsidRPr="000C0B6C" w:rsidRDefault="00C46A27" w:rsidP="00E87B9E">
            <w:r>
              <w:t>London</w:t>
            </w:r>
          </w:p>
        </w:tc>
      </w:tr>
      <w:tr w:rsidR="00236608" w:rsidRPr="000C0B6C" w14:paraId="0303D967" w14:textId="77777777" w:rsidTr="00E87B9E">
        <w:trPr>
          <w:trHeight w:val="280"/>
        </w:trPr>
        <w:tc>
          <w:tcPr>
            <w:tcW w:w="4086" w:type="dxa"/>
            <w:gridSpan w:val="3"/>
          </w:tcPr>
          <w:p w14:paraId="241052A2" w14:textId="77777777" w:rsidR="00236608" w:rsidRPr="000C0B6C" w:rsidRDefault="00236608" w:rsidP="00E87B9E">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0C6B9C77" w:rsidR="00236608" w:rsidRPr="000C0B6C" w:rsidRDefault="00C46A27" w:rsidP="00E87B9E">
            <w:r>
              <w:t>UK</w:t>
            </w:r>
          </w:p>
        </w:tc>
      </w:tr>
      <w:tr w:rsidR="00236608" w:rsidRPr="000C0B6C" w14:paraId="7C74835B" w14:textId="77777777" w:rsidTr="00E87B9E">
        <w:trPr>
          <w:trHeight w:val="233"/>
        </w:trPr>
        <w:tc>
          <w:tcPr>
            <w:tcW w:w="4086" w:type="dxa"/>
            <w:gridSpan w:val="3"/>
          </w:tcPr>
          <w:p w14:paraId="45DEDB26" w14:textId="77777777" w:rsidR="00236608" w:rsidRPr="000C0B6C" w:rsidRDefault="00236608" w:rsidP="00E87B9E">
            <w:pPr>
              <w:pStyle w:val="CommentSubject"/>
              <w:rPr>
                <w:sz w:val="22"/>
                <w:szCs w:val="22"/>
              </w:rPr>
            </w:pPr>
            <w:r w:rsidRPr="000C0B6C">
              <w:rPr>
                <w:sz w:val="22"/>
                <w:szCs w:val="22"/>
              </w:rPr>
              <w:t>E-mail:</w:t>
            </w:r>
          </w:p>
        </w:tc>
        <w:tc>
          <w:tcPr>
            <w:tcW w:w="6102" w:type="dxa"/>
          </w:tcPr>
          <w:p w14:paraId="118A29DB" w14:textId="6E33B4D5" w:rsidR="00236608" w:rsidRPr="000C0B6C" w:rsidRDefault="00C46A27" w:rsidP="00E87B9E">
            <w:r>
              <w:t>Nina.jatana@populationmatters.org</w:t>
            </w:r>
          </w:p>
        </w:tc>
      </w:tr>
      <w:tr w:rsidR="00236608" w:rsidRPr="000C0B6C" w14:paraId="623341FC" w14:textId="77777777" w:rsidTr="00E87B9E">
        <w:trPr>
          <w:trHeight w:val="224"/>
        </w:trPr>
        <w:tc>
          <w:tcPr>
            <w:tcW w:w="10188" w:type="dxa"/>
            <w:gridSpan w:val="4"/>
            <w:shd w:val="clear" w:color="auto" w:fill="C0C0C0"/>
          </w:tcPr>
          <w:p w14:paraId="1CE0413B" w14:textId="48B1412B" w:rsidR="00236608" w:rsidRPr="000C0B6C" w:rsidRDefault="008C7855" w:rsidP="00E87B9E">
            <w:pPr>
              <w:jc w:val="center"/>
              <w:rPr>
                <w:b/>
                <w:i/>
              </w:rPr>
            </w:pPr>
            <w:r>
              <w:rPr>
                <w:b/>
                <w:i/>
              </w:rPr>
              <w:t>General comments</w:t>
            </w:r>
          </w:p>
        </w:tc>
      </w:tr>
      <w:tr w:rsidR="008C7855" w:rsidRPr="000C0B6C" w14:paraId="7ABFA388" w14:textId="77777777" w:rsidTr="00E87B9E">
        <w:trPr>
          <w:trHeight w:val="224"/>
        </w:trPr>
        <w:tc>
          <w:tcPr>
            <w:tcW w:w="10188" w:type="dxa"/>
            <w:gridSpan w:val="4"/>
          </w:tcPr>
          <w:p w14:paraId="2E141BC1" w14:textId="0105221F" w:rsidR="00443E1E" w:rsidRPr="00643618" w:rsidRDefault="00443E1E" w:rsidP="008366D3">
            <w:pPr>
              <w:rPr>
                <w:rStyle w:val="Emphasis"/>
                <w:i w:val="0"/>
                <w:sz w:val="22"/>
                <w:szCs w:val="22"/>
                <w:shd w:val="clear" w:color="auto" w:fill="FFFFFF"/>
              </w:rPr>
            </w:pPr>
            <w:r w:rsidRPr="00443E1E">
              <w:rPr>
                <w:rStyle w:val="Strong"/>
                <w:b w:val="0"/>
                <w:color w:val="333333"/>
                <w:sz w:val="22"/>
                <w:szCs w:val="22"/>
                <w:shd w:val="clear" w:color="auto" w:fill="FFFFFF"/>
              </w:rPr>
              <w:t>Habitat loss and overexploitation, driven by our rapid population growth, are the primary causes of biodiversity loss which is now happening up to ten thousand times faster than for millions of years before.</w:t>
            </w:r>
            <w:r>
              <w:rPr>
                <w:rStyle w:val="Strong"/>
                <w:rFonts w:ascii="Georgia" w:hAnsi="Georgia"/>
                <w:color w:val="333333"/>
                <w:sz w:val="27"/>
                <w:szCs w:val="27"/>
                <w:shd w:val="clear" w:color="auto" w:fill="FFFFFF"/>
              </w:rPr>
              <w:t xml:space="preserve"> </w:t>
            </w:r>
            <w:r w:rsidR="00F73ABA">
              <w:rPr>
                <w:color w:val="333333"/>
                <w:sz w:val="22"/>
                <w:szCs w:val="22"/>
                <w:shd w:val="clear" w:color="auto" w:fill="FFFFFF"/>
              </w:rPr>
              <w:t xml:space="preserve">A </w:t>
            </w:r>
            <w:r w:rsidR="00856957">
              <w:rPr>
                <w:color w:val="333333"/>
                <w:sz w:val="22"/>
                <w:szCs w:val="22"/>
                <w:shd w:val="clear" w:color="auto" w:fill="FFFFFF"/>
              </w:rPr>
              <w:t xml:space="preserve">2019 </w:t>
            </w:r>
            <w:r w:rsidR="00F73ABA">
              <w:rPr>
                <w:color w:val="333333"/>
                <w:sz w:val="22"/>
                <w:szCs w:val="22"/>
                <w:shd w:val="clear" w:color="auto" w:fill="FFFFFF"/>
              </w:rPr>
              <w:t xml:space="preserve">study published in the </w:t>
            </w:r>
            <w:hyperlink r:id="rId10" w:history="1">
              <w:r w:rsidR="00F73ABA" w:rsidRPr="002B4D6B">
                <w:rPr>
                  <w:rStyle w:val="Hyperlink"/>
                  <w:sz w:val="22"/>
                  <w:szCs w:val="22"/>
                  <w:shd w:val="clear" w:color="auto" w:fill="FFFFFF"/>
                </w:rPr>
                <w:t>Journal People and Nature</w:t>
              </w:r>
            </w:hyperlink>
            <w:r w:rsidR="00F73ABA">
              <w:rPr>
                <w:color w:val="333333"/>
                <w:sz w:val="22"/>
                <w:szCs w:val="22"/>
                <w:shd w:val="clear" w:color="auto" w:fill="FFFFFF"/>
              </w:rPr>
              <w:t xml:space="preserve"> found that population growth has</w:t>
            </w:r>
            <w:r w:rsidR="00F73ABA" w:rsidRPr="00F73ABA">
              <w:rPr>
                <w:color w:val="333333"/>
                <w:sz w:val="22"/>
                <w:szCs w:val="22"/>
                <w:shd w:val="clear" w:color="auto" w:fill="FFFFFF"/>
              </w:rPr>
              <w:t xml:space="preserve"> a consistently negative effect on wildlife across all species and locations</w:t>
            </w:r>
            <w:r w:rsidR="00856957">
              <w:rPr>
                <w:color w:val="333333"/>
                <w:sz w:val="22"/>
                <w:szCs w:val="22"/>
                <w:shd w:val="clear" w:color="auto" w:fill="FFFFFF"/>
              </w:rPr>
              <w:t xml:space="preserve"> in lower income countries</w:t>
            </w:r>
            <w:r w:rsidR="00F73ABA">
              <w:rPr>
                <w:color w:val="333333"/>
                <w:sz w:val="22"/>
                <w:szCs w:val="22"/>
                <w:shd w:val="clear" w:color="auto" w:fill="FFFFFF"/>
              </w:rPr>
              <w:t>.</w:t>
            </w:r>
            <w:r w:rsidR="00856957">
              <w:rPr>
                <w:color w:val="333333"/>
                <w:sz w:val="22"/>
                <w:szCs w:val="22"/>
                <w:shd w:val="clear" w:color="auto" w:fill="FFFFFF"/>
              </w:rPr>
              <w:t xml:space="preserve"> </w:t>
            </w:r>
            <w:r w:rsidR="00F73ABA">
              <w:rPr>
                <w:color w:val="333333"/>
                <w:sz w:val="22"/>
                <w:szCs w:val="22"/>
                <w:shd w:val="clear" w:color="auto" w:fill="FFFFFF"/>
              </w:rPr>
              <w:t>This corresponds with the IPBES’s 2019 Global Assessment which</w:t>
            </w:r>
            <w:r w:rsidR="008366D3">
              <w:rPr>
                <w:color w:val="333333"/>
                <w:sz w:val="22"/>
                <w:szCs w:val="22"/>
                <w:shd w:val="clear" w:color="auto" w:fill="FFFFFF"/>
              </w:rPr>
              <w:t xml:space="preserve"> explicitly noted that</w:t>
            </w:r>
            <w:r w:rsidR="00F73ABA">
              <w:rPr>
                <w:color w:val="333333"/>
                <w:sz w:val="22"/>
                <w:szCs w:val="22"/>
                <w:shd w:val="clear" w:color="auto" w:fill="FFFFFF"/>
              </w:rPr>
              <w:t xml:space="preserve"> </w:t>
            </w:r>
            <w:r w:rsidR="008366D3">
              <w:rPr>
                <w:color w:val="333333"/>
                <w:sz w:val="22"/>
                <w:szCs w:val="22"/>
                <w:shd w:val="clear" w:color="auto" w:fill="FFFFFF"/>
              </w:rPr>
              <w:t xml:space="preserve">human population growth is an indirect driver of biodiversity loss and stated: </w:t>
            </w:r>
            <w:r w:rsidR="008366D3" w:rsidRPr="008366D3">
              <w:rPr>
                <w:rStyle w:val="Emphasis"/>
                <w:sz w:val="22"/>
                <w:szCs w:val="22"/>
                <w:shd w:val="clear" w:color="auto" w:fill="FFFFFF"/>
              </w:rPr>
              <w:t>“changes to the direct drivers of nature deterioration cannot be achieved without </w:t>
            </w:r>
            <w:r w:rsidR="008366D3" w:rsidRPr="008366D3">
              <w:rPr>
                <w:rStyle w:val="Strong"/>
                <w:i/>
                <w:iCs/>
                <w:sz w:val="22"/>
                <w:szCs w:val="22"/>
                <w:shd w:val="clear" w:color="auto" w:fill="FFFFFF"/>
              </w:rPr>
              <w:t xml:space="preserve">transformative change that simultaneously addresses the </w:t>
            </w:r>
            <w:r w:rsidR="008366D3" w:rsidRPr="00643618">
              <w:rPr>
                <w:rStyle w:val="Strong"/>
                <w:i/>
                <w:iCs/>
                <w:sz w:val="22"/>
                <w:szCs w:val="22"/>
                <w:shd w:val="clear" w:color="auto" w:fill="FFFFFF"/>
              </w:rPr>
              <w:t>indirect drivers.</w:t>
            </w:r>
            <w:r w:rsidR="008366D3" w:rsidRPr="00643618">
              <w:rPr>
                <w:rStyle w:val="Emphasis"/>
                <w:sz w:val="22"/>
                <w:szCs w:val="22"/>
                <w:shd w:val="clear" w:color="auto" w:fill="FFFFFF"/>
              </w:rPr>
              <w:t xml:space="preserve">” </w:t>
            </w:r>
            <w:r w:rsidR="00C13C8F">
              <w:rPr>
                <w:rStyle w:val="Emphasis"/>
                <w:i w:val="0"/>
                <w:sz w:val="22"/>
                <w:szCs w:val="22"/>
                <w:shd w:val="clear" w:color="auto" w:fill="FFFFFF"/>
              </w:rPr>
              <w:t>Ther</w:t>
            </w:r>
            <w:r w:rsidR="002B4D6B" w:rsidRPr="00643618">
              <w:rPr>
                <w:rStyle w:val="Emphasis"/>
                <w:i w:val="0"/>
                <w:sz w:val="22"/>
                <w:szCs w:val="22"/>
                <w:shd w:val="clear" w:color="auto" w:fill="FFFFFF"/>
              </w:rPr>
              <w:t>e are</w:t>
            </w:r>
            <w:r w:rsidR="00B11F08">
              <w:rPr>
                <w:rStyle w:val="Emphasis"/>
                <w:i w:val="0"/>
                <w:sz w:val="22"/>
                <w:szCs w:val="22"/>
                <w:shd w:val="clear" w:color="auto" w:fill="FFFFFF"/>
              </w:rPr>
              <w:t xml:space="preserve"> </w:t>
            </w:r>
            <w:r w:rsidR="00B11F08" w:rsidRPr="00643618">
              <w:rPr>
                <w:rStyle w:val="Emphasis"/>
                <w:i w:val="0"/>
                <w:sz w:val="22"/>
                <w:szCs w:val="22"/>
                <w:shd w:val="clear" w:color="auto" w:fill="FFFFFF"/>
              </w:rPr>
              <w:t>numerous, authoritative scientific bodies</w:t>
            </w:r>
            <w:r w:rsidR="00B878C7">
              <w:rPr>
                <w:rStyle w:val="Emphasis"/>
                <w:i w:val="0"/>
                <w:sz w:val="22"/>
                <w:szCs w:val="22"/>
                <w:shd w:val="clear" w:color="auto" w:fill="FFFFFF"/>
              </w:rPr>
              <w:t xml:space="preserve"> which</w:t>
            </w:r>
            <w:bookmarkStart w:id="0" w:name="_GoBack"/>
            <w:bookmarkEnd w:id="0"/>
            <w:r w:rsidR="00B11F08" w:rsidRPr="00643618">
              <w:rPr>
                <w:rStyle w:val="Emphasis"/>
                <w:i w:val="0"/>
                <w:sz w:val="22"/>
                <w:szCs w:val="22"/>
                <w:shd w:val="clear" w:color="auto" w:fill="FFFFFF"/>
              </w:rPr>
              <w:t xml:space="preserve"> link rapid population growth and human consumption as key drivers of biodiversity loss</w:t>
            </w:r>
            <w:r w:rsidR="001A7D8C">
              <w:rPr>
                <w:rStyle w:val="Emphasis"/>
                <w:i w:val="0"/>
                <w:sz w:val="22"/>
                <w:szCs w:val="22"/>
                <w:shd w:val="clear" w:color="auto" w:fill="FFFFFF"/>
              </w:rPr>
              <w:t xml:space="preserve"> – many of these informed our </w:t>
            </w:r>
            <w:r w:rsidR="002B4D6B" w:rsidRPr="00643618">
              <w:rPr>
                <w:rStyle w:val="Emphasis"/>
                <w:i w:val="0"/>
                <w:sz w:val="22"/>
                <w:szCs w:val="22"/>
                <w:shd w:val="clear" w:color="auto" w:fill="FFFFFF"/>
              </w:rPr>
              <w:t xml:space="preserve">2019 briefing paper </w:t>
            </w:r>
            <w:hyperlink r:id="rId11" w:history="1">
              <w:r w:rsidR="002B4D6B" w:rsidRPr="00643618">
                <w:rPr>
                  <w:rStyle w:val="Hyperlink"/>
                  <w:sz w:val="22"/>
                  <w:szCs w:val="22"/>
                  <w:shd w:val="clear" w:color="auto" w:fill="FFFFFF"/>
                </w:rPr>
                <w:t>Human Population and Biodiversity Loss</w:t>
              </w:r>
            </w:hyperlink>
            <w:r w:rsidR="001A7D8C">
              <w:rPr>
                <w:rStyle w:val="Emphasis"/>
                <w:i w:val="0"/>
                <w:sz w:val="22"/>
                <w:szCs w:val="22"/>
                <w:shd w:val="clear" w:color="auto" w:fill="FFFFFF"/>
              </w:rPr>
              <w:t>. F</w:t>
            </w:r>
            <w:r w:rsidR="00B11F08">
              <w:rPr>
                <w:rStyle w:val="Emphasis"/>
                <w:i w:val="0"/>
                <w:sz w:val="22"/>
                <w:szCs w:val="22"/>
                <w:shd w:val="clear" w:color="auto" w:fill="FFFFFF"/>
              </w:rPr>
              <w:t>or example,</w:t>
            </w:r>
            <w:r w:rsidR="00643618" w:rsidRPr="00643618">
              <w:rPr>
                <w:rStyle w:val="Emphasis"/>
                <w:i w:val="0"/>
                <w:sz w:val="22"/>
                <w:szCs w:val="22"/>
                <w:shd w:val="clear" w:color="auto" w:fill="FFFFFF"/>
              </w:rPr>
              <w:t xml:space="preserve"> </w:t>
            </w:r>
            <w:r w:rsidR="0072556D" w:rsidRPr="00643618">
              <w:rPr>
                <w:sz w:val="22"/>
                <w:szCs w:val="22"/>
              </w:rPr>
              <w:t>the July 2017 Proceedings of US National Academy of Sciences</w:t>
            </w:r>
            <w:r w:rsidR="001160A3">
              <w:rPr>
                <w:rStyle w:val="EndnoteReference"/>
                <w:sz w:val="22"/>
                <w:szCs w:val="22"/>
              </w:rPr>
              <w:endnoteReference w:id="1"/>
            </w:r>
            <w:r w:rsidR="0072556D" w:rsidRPr="00643618">
              <w:rPr>
                <w:sz w:val="22"/>
                <w:szCs w:val="22"/>
              </w:rPr>
              <w:t xml:space="preserve"> concluded that </w:t>
            </w:r>
            <w:r w:rsidR="0072556D" w:rsidRPr="00643618">
              <w:rPr>
                <w:i/>
                <w:sz w:val="22"/>
                <w:szCs w:val="22"/>
              </w:rPr>
              <w:t>“the ultimate drivers of those immediate causes of biotic destruction [are] human overpopulation and continued population growth, and overconsumption, especially by the rich.”</w:t>
            </w:r>
            <w:r w:rsidR="00643618" w:rsidRPr="00643618">
              <w:rPr>
                <w:sz w:val="22"/>
                <w:szCs w:val="22"/>
              </w:rPr>
              <w:t xml:space="preserve"> In Nature Ecology &amp; Evolution, Marques et al examined biodiversity loss and carbon sequestration through the measures of bird biodiversity and deforestation and used decomposition analysis to quantify the particular impacts of drivers including population and affluence. </w:t>
            </w:r>
            <w:r w:rsidR="009C6175">
              <w:rPr>
                <w:sz w:val="22"/>
                <w:szCs w:val="22"/>
              </w:rPr>
              <w:t>T</w:t>
            </w:r>
            <w:r w:rsidR="00643618" w:rsidRPr="00643618">
              <w:rPr>
                <w:sz w:val="22"/>
                <w:szCs w:val="22"/>
              </w:rPr>
              <w:t xml:space="preserve">hey concluded that any efficiency gains were cancelled by overall growth and the authors concluded that </w:t>
            </w:r>
            <w:r w:rsidR="00643618" w:rsidRPr="00643618">
              <w:rPr>
                <w:i/>
                <w:sz w:val="22"/>
                <w:szCs w:val="22"/>
              </w:rPr>
              <w:t>“Economic and population growth have been driving the upward trend of impacts on biodiversity and ecosystem services, despite a reduction of the impacts per unit of GDP.</w:t>
            </w:r>
            <w:r w:rsidR="001160A3">
              <w:rPr>
                <w:rStyle w:val="EndnoteReference"/>
                <w:i/>
                <w:sz w:val="22"/>
                <w:szCs w:val="22"/>
              </w:rPr>
              <w:endnoteReference w:id="2"/>
            </w:r>
            <w:r w:rsidR="00643618" w:rsidRPr="00643618">
              <w:rPr>
                <w:i/>
                <w:sz w:val="22"/>
                <w:szCs w:val="22"/>
              </w:rPr>
              <w:t>”</w:t>
            </w:r>
          </w:p>
          <w:p w14:paraId="402BF94A" w14:textId="77777777" w:rsidR="004D46DE" w:rsidRDefault="004D46DE" w:rsidP="008366D3">
            <w:pPr>
              <w:rPr>
                <w:rStyle w:val="Emphasis"/>
                <w:i w:val="0"/>
                <w:sz w:val="22"/>
                <w:szCs w:val="22"/>
                <w:shd w:val="clear" w:color="auto" w:fill="FFFFFF"/>
              </w:rPr>
            </w:pPr>
          </w:p>
          <w:p w14:paraId="560E3978" w14:textId="0EBD3480" w:rsidR="008C7855" w:rsidRPr="00CD197D" w:rsidRDefault="00463770" w:rsidP="00A95769">
            <w:pPr>
              <w:rPr>
                <w:iCs/>
                <w:sz w:val="22"/>
                <w:szCs w:val="22"/>
                <w:shd w:val="clear" w:color="auto" w:fill="FFFFFF"/>
              </w:rPr>
            </w:pPr>
            <w:r>
              <w:rPr>
                <w:color w:val="333333"/>
              </w:rPr>
              <w:t xml:space="preserve">To </w:t>
            </w:r>
            <w:r w:rsidR="00856957">
              <w:rPr>
                <w:rStyle w:val="Emphasis"/>
                <w:i w:val="0"/>
                <w:sz w:val="22"/>
                <w:szCs w:val="22"/>
                <w:shd w:val="clear" w:color="auto" w:fill="FFFFFF"/>
              </w:rPr>
              <w:t xml:space="preserve">date progress </w:t>
            </w:r>
            <w:r w:rsidR="004D46DE">
              <w:rPr>
                <w:rStyle w:val="Emphasis"/>
                <w:i w:val="0"/>
                <w:sz w:val="22"/>
                <w:szCs w:val="22"/>
                <w:shd w:val="clear" w:color="auto" w:fill="FFFFFF"/>
              </w:rPr>
              <w:t xml:space="preserve">meeting </w:t>
            </w:r>
            <w:r w:rsidR="00856957">
              <w:rPr>
                <w:rStyle w:val="Emphasis"/>
                <w:i w:val="0"/>
                <w:sz w:val="22"/>
                <w:szCs w:val="22"/>
                <w:shd w:val="clear" w:color="auto" w:fill="FFFFFF"/>
              </w:rPr>
              <w:t>the Aichi Targets is moving</w:t>
            </w:r>
            <w:r w:rsidR="004D46DE">
              <w:rPr>
                <w:rStyle w:val="Emphasis"/>
                <w:i w:val="0"/>
                <w:sz w:val="22"/>
                <w:szCs w:val="22"/>
                <w:shd w:val="clear" w:color="auto" w:fill="FFFFFF"/>
              </w:rPr>
              <w:t xml:space="preserve"> slowly and </w:t>
            </w:r>
            <w:r w:rsidR="00A969FE">
              <w:rPr>
                <w:rStyle w:val="Emphasis"/>
                <w:i w:val="0"/>
                <w:sz w:val="22"/>
                <w:szCs w:val="22"/>
                <w:shd w:val="clear" w:color="auto" w:fill="FFFFFF"/>
              </w:rPr>
              <w:t>there are many reasons for this, but</w:t>
            </w:r>
            <w:r w:rsidR="004D46DE">
              <w:rPr>
                <w:rStyle w:val="Emphasis"/>
                <w:i w:val="0"/>
                <w:sz w:val="22"/>
                <w:szCs w:val="22"/>
                <w:shd w:val="clear" w:color="auto" w:fill="FFFFFF"/>
              </w:rPr>
              <w:t xml:space="preserve"> their </w:t>
            </w:r>
            <w:r w:rsidR="004D46DE" w:rsidRPr="00A969FE">
              <w:rPr>
                <w:rStyle w:val="Emphasis"/>
                <w:i w:val="0"/>
                <w:sz w:val="22"/>
                <w:szCs w:val="22"/>
                <w:shd w:val="clear" w:color="auto" w:fill="FFFFFF"/>
              </w:rPr>
              <w:t xml:space="preserve">failure to address human population growth </w:t>
            </w:r>
            <w:r w:rsidR="0063352B" w:rsidRPr="00A969FE">
              <w:rPr>
                <w:rStyle w:val="Emphasis"/>
                <w:i w:val="0"/>
                <w:sz w:val="22"/>
                <w:szCs w:val="22"/>
                <w:shd w:val="clear" w:color="auto" w:fill="FFFFFF"/>
              </w:rPr>
              <w:t xml:space="preserve">is certainly among them. </w:t>
            </w:r>
            <w:r w:rsidR="00D81E35" w:rsidRPr="00A969FE">
              <w:rPr>
                <w:sz w:val="22"/>
                <w:szCs w:val="22"/>
                <w:shd w:val="clear" w:color="auto" w:fill="FFFFFF"/>
              </w:rPr>
              <w:t xml:space="preserve">At Population Matters we campaign for ethical and empowering solutions to address population growth. We do this through supporting policies which call for universal access to modern contraception; empowering and educating women; alleviating poverty and encouraging and incentivizing smaller families. </w:t>
            </w:r>
            <w:r w:rsidR="00D81E35" w:rsidRPr="00A969FE">
              <w:rPr>
                <w:rStyle w:val="Emphasis"/>
                <w:i w:val="0"/>
              </w:rPr>
              <w:t>N</w:t>
            </w:r>
            <w:r w:rsidR="00D81E35" w:rsidRPr="00A969FE">
              <w:rPr>
                <w:rStyle w:val="Emphasis"/>
                <w:i w:val="0"/>
                <w:sz w:val="22"/>
                <w:szCs w:val="22"/>
                <w:shd w:val="clear" w:color="auto" w:fill="FFFFFF"/>
              </w:rPr>
              <w:t xml:space="preserve">umerous studies and evidence shows that </w:t>
            </w:r>
            <w:r w:rsidR="00D81E35" w:rsidRPr="00A969FE">
              <w:rPr>
                <w:sz w:val="22"/>
                <w:szCs w:val="22"/>
                <w:shd w:val="clear" w:color="auto" w:fill="FFFFFF"/>
              </w:rPr>
              <w:t>empowered women who have full control over their own bodies and lives have fewer children and make key contributions to environmental sustainability.</w:t>
            </w:r>
            <w:r w:rsidR="00D81E35" w:rsidRPr="00A969FE">
              <w:rPr>
                <w:rStyle w:val="Emphasis"/>
                <w:i w:val="0"/>
                <w:sz w:val="22"/>
                <w:szCs w:val="22"/>
                <w:shd w:val="clear" w:color="auto" w:fill="FFFFFF"/>
              </w:rPr>
              <w:t xml:space="preserve"> We recognize the complex interrelationships between each Goal – some positive, many negative – but we believe that </w:t>
            </w:r>
            <w:r w:rsidR="00CD197D" w:rsidRPr="00A969FE">
              <w:rPr>
                <w:rStyle w:val="Emphasis"/>
                <w:i w:val="0"/>
                <w:sz w:val="22"/>
                <w:szCs w:val="22"/>
                <w:shd w:val="clear" w:color="auto" w:fill="FFFFFF"/>
              </w:rPr>
              <w:t>although tackling population growth will not solve our problems; failure to address unsustainable population</w:t>
            </w:r>
            <w:r w:rsidR="003A7EE8">
              <w:rPr>
                <w:rStyle w:val="Emphasis"/>
                <w:i w:val="0"/>
                <w:sz w:val="22"/>
                <w:szCs w:val="22"/>
                <w:shd w:val="clear" w:color="auto" w:fill="FFFFFF"/>
              </w:rPr>
              <w:t xml:space="preserve"> growth</w:t>
            </w:r>
            <w:r w:rsidR="00CD197D" w:rsidRPr="00A969FE">
              <w:rPr>
                <w:rStyle w:val="Emphasis"/>
                <w:i w:val="0"/>
                <w:sz w:val="22"/>
                <w:szCs w:val="22"/>
                <w:shd w:val="clear" w:color="auto" w:fill="FFFFFF"/>
              </w:rPr>
              <w:t xml:space="preserve"> will prevent us from achieving many of those Goals. </w:t>
            </w:r>
            <w:r w:rsidR="00CD197D" w:rsidRPr="00A969FE">
              <w:rPr>
                <w:sz w:val="22"/>
                <w:szCs w:val="22"/>
                <w:shd w:val="clear" w:color="auto" w:fill="FFFFFF"/>
              </w:rPr>
              <w:t xml:space="preserve">Therefore, </w:t>
            </w:r>
            <w:r w:rsidR="00CD197D" w:rsidRPr="00A969FE">
              <w:rPr>
                <w:rStyle w:val="Emphasis"/>
                <w:i w:val="0"/>
                <w:sz w:val="22"/>
                <w:szCs w:val="22"/>
                <w:shd w:val="clear" w:color="auto" w:fill="FFFFFF"/>
              </w:rPr>
              <w:t>i</w:t>
            </w:r>
            <w:r w:rsidR="00F86F5F" w:rsidRPr="00A969FE">
              <w:rPr>
                <w:rStyle w:val="Emphasis"/>
                <w:i w:val="0"/>
                <w:sz w:val="22"/>
                <w:szCs w:val="22"/>
                <w:shd w:val="clear" w:color="auto" w:fill="FFFFFF"/>
              </w:rPr>
              <w:t xml:space="preserve">t is with pleasure we are able to contribute </w:t>
            </w:r>
            <w:r w:rsidR="00F86F5F">
              <w:rPr>
                <w:rStyle w:val="Emphasis"/>
                <w:i w:val="0"/>
                <w:sz w:val="22"/>
                <w:szCs w:val="22"/>
                <w:shd w:val="clear" w:color="auto" w:fill="FFFFFF"/>
              </w:rPr>
              <w:t>to this peer review process</w:t>
            </w:r>
            <w:r w:rsidR="00CD197D">
              <w:rPr>
                <w:rStyle w:val="Emphasis"/>
                <w:i w:val="0"/>
                <w:sz w:val="22"/>
                <w:szCs w:val="22"/>
                <w:shd w:val="clear" w:color="auto" w:fill="FFFFFF"/>
              </w:rPr>
              <w:t xml:space="preserve"> and ensure the population solutions already embedded in SDGs 1, 2, 3,5 &amp; 10 are included in the Post 2020 GBF, </w:t>
            </w:r>
            <w:r w:rsidR="00F86F5F">
              <w:rPr>
                <w:rStyle w:val="Emphasis"/>
                <w:i w:val="0"/>
                <w:sz w:val="22"/>
                <w:szCs w:val="22"/>
                <w:shd w:val="clear" w:color="auto" w:fill="FFFFFF"/>
              </w:rPr>
              <w:t xml:space="preserve">to increase the likelihood of meeting the 2030 targets. </w:t>
            </w:r>
          </w:p>
        </w:tc>
      </w:tr>
      <w:tr w:rsidR="008C7855" w:rsidRPr="000C0B6C" w14:paraId="245B7828" w14:textId="77777777" w:rsidTr="00E87B9E">
        <w:trPr>
          <w:trHeight w:val="224"/>
        </w:trPr>
        <w:tc>
          <w:tcPr>
            <w:tcW w:w="10188" w:type="dxa"/>
            <w:gridSpan w:val="4"/>
          </w:tcPr>
          <w:p w14:paraId="2C64714E" w14:textId="77777777" w:rsidR="008C7855" w:rsidRPr="000C0B6C" w:rsidRDefault="008C7855" w:rsidP="00E87B9E">
            <w:pPr>
              <w:rPr>
                <w:b/>
                <w:sz w:val="22"/>
                <w:szCs w:val="22"/>
              </w:rPr>
            </w:pPr>
          </w:p>
        </w:tc>
      </w:tr>
      <w:tr w:rsidR="008C7855" w:rsidRPr="000C0B6C" w14:paraId="50F9BB95" w14:textId="77777777" w:rsidTr="00E87B9E">
        <w:trPr>
          <w:trHeight w:val="224"/>
        </w:trPr>
        <w:tc>
          <w:tcPr>
            <w:tcW w:w="10188" w:type="dxa"/>
            <w:gridSpan w:val="4"/>
            <w:shd w:val="clear" w:color="auto" w:fill="C0C0C0"/>
          </w:tcPr>
          <w:p w14:paraId="7AACC475" w14:textId="4272E4B9" w:rsidR="008C7855" w:rsidRPr="000C0B6C" w:rsidRDefault="008C7855" w:rsidP="00E87B9E">
            <w:pPr>
              <w:jc w:val="center"/>
              <w:rPr>
                <w:b/>
                <w:i/>
              </w:rPr>
            </w:pPr>
            <w:r>
              <w:rPr>
                <w:b/>
                <w:i/>
              </w:rPr>
              <w:lastRenderedPageBreak/>
              <w:t>Specific comments</w:t>
            </w:r>
          </w:p>
        </w:tc>
      </w:tr>
      <w:tr w:rsidR="00236608" w:rsidRPr="000C0B6C" w14:paraId="2D6B6755" w14:textId="77777777" w:rsidTr="00E87B9E">
        <w:trPr>
          <w:trHeight w:val="224"/>
        </w:trPr>
        <w:tc>
          <w:tcPr>
            <w:tcW w:w="818" w:type="dxa"/>
          </w:tcPr>
          <w:p w14:paraId="63773A4F" w14:textId="77777777" w:rsidR="00236608" w:rsidRPr="000C0B6C" w:rsidRDefault="00236608" w:rsidP="00E87B9E">
            <w:pPr>
              <w:rPr>
                <w:b/>
              </w:rPr>
            </w:pPr>
            <w:r w:rsidRPr="000C0B6C">
              <w:rPr>
                <w:b/>
                <w:sz w:val="22"/>
                <w:szCs w:val="22"/>
              </w:rPr>
              <w:t xml:space="preserve">Page </w:t>
            </w:r>
          </w:p>
        </w:tc>
        <w:tc>
          <w:tcPr>
            <w:tcW w:w="1231" w:type="dxa"/>
          </w:tcPr>
          <w:p w14:paraId="7004D9C3" w14:textId="77777777" w:rsidR="00236608" w:rsidRPr="000C0B6C" w:rsidRDefault="00236608" w:rsidP="00E87B9E">
            <w:pPr>
              <w:rPr>
                <w:b/>
              </w:rPr>
            </w:pPr>
            <w:r>
              <w:rPr>
                <w:b/>
                <w:sz w:val="22"/>
                <w:szCs w:val="22"/>
              </w:rPr>
              <w:t>Paragraph</w:t>
            </w:r>
          </w:p>
        </w:tc>
        <w:tc>
          <w:tcPr>
            <w:tcW w:w="8139" w:type="dxa"/>
            <w:gridSpan w:val="2"/>
          </w:tcPr>
          <w:p w14:paraId="052311B8" w14:textId="77777777" w:rsidR="00236608" w:rsidRPr="000C0B6C" w:rsidRDefault="00236608" w:rsidP="00E87B9E">
            <w:pPr>
              <w:rPr>
                <w:b/>
              </w:rPr>
            </w:pPr>
            <w:r w:rsidRPr="000C0B6C">
              <w:rPr>
                <w:b/>
                <w:sz w:val="22"/>
                <w:szCs w:val="22"/>
              </w:rPr>
              <w:t>Comment</w:t>
            </w:r>
          </w:p>
        </w:tc>
      </w:tr>
      <w:tr w:rsidR="00236608" w:rsidRPr="000C0B6C" w14:paraId="6153AF8D" w14:textId="77777777" w:rsidTr="00E87B9E">
        <w:trPr>
          <w:trHeight w:val="233"/>
        </w:trPr>
        <w:tc>
          <w:tcPr>
            <w:tcW w:w="818" w:type="dxa"/>
          </w:tcPr>
          <w:p w14:paraId="66AF3500" w14:textId="50E4A62D" w:rsidR="00236608" w:rsidRPr="000C0B6C" w:rsidRDefault="00406F94" w:rsidP="00E87B9E">
            <w:r>
              <w:t>3</w:t>
            </w:r>
          </w:p>
        </w:tc>
        <w:tc>
          <w:tcPr>
            <w:tcW w:w="1231" w:type="dxa"/>
          </w:tcPr>
          <w:p w14:paraId="6A91318A" w14:textId="7C64EC50" w:rsidR="00236608" w:rsidRPr="000C0B6C" w:rsidRDefault="00406F94" w:rsidP="00E87B9E">
            <w:r>
              <w:t>Goal D</w:t>
            </w:r>
          </w:p>
        </w:tc>
        <w:tc>
          <w:tcPr>
            <w:tcW w:w="8139" w:type="dxa"/>
            <w:gridSpan w:val="2"/>
          </w:tcPr>
          <w:p w14:paraId="5F267497" w14:textId="4EB5EB20" w:rsidR="00236608" w:rsidRPr="00406F94" w:rsidRDefault="00406F94" w:rsidP="00BC0E36">
            <w:pPr>
              <w:rPr>
                <w:sz w:val="22"/>
                <w:szCs w:val="22"/>
              </w:rPr>
            </w:pPr>
            <w:r w:rsidRPr="00406F94">
              <w:rPr>
                <w:sz w:val="22"/>
                <w:szCs w:val="22"/>
              </w:rPr>
              <w:t xml:space="preserve">GDF Goal D is also linked with </w:t>
            </w:r>
            <w:r w:rsidRPr="009E3B00">
              <w:rPr>
                <w:b/>
                <w:sz w:val="22"/>
                <w:szCs w:val="22"/>
              </w:rPr>
              <w:t>SDGs Goal 5</w:t>
            </w:r>
            <w:r w:rsidRPr="00406F94">
              <w:rPr>
                <w:sz w:val="22"/>
                <w:szCs w:val="22"/>
              </w:rPr>
              <w:t xml:space="preserve"> – Achieve gender equality </w:t>
            </w:r>
            <w:r w:rsidR="00BC0E36">
              <w:rPr>
                <w:sz w:val="22"/>
                <w:szCs w:val="22"/>
              </w:rPr>
              <w:t xml:space="preserve">and empower all women and girls. SDG </w:t>
            </w:r>
            <w:r w:rsidR="004C1DB0">
              <w:rPr>
                <w:sz w:val="22"/>
                <w:szCs w:val="22"/>
                <w:shd w:val="clear" w:color="auto" w:fill="FFFFFF"/>
              </w:rPr>
              <w:t xml:space="preserve">5 must work together </w:t>
            </w:r>
            <w:r w:rsidR="005E7DE2">
              <w:rPr>
                <w:sz w:val="22"/>
                <w:szCs w:val="22"/>
                <w:shd w:val="clear" w:color="auto" w:fill="FFFFFF"/>
              </w:rPr>
              <w:t xml:space="preserve">with Goal D </w:t>
            </w:r>
            <w:r w:rsidR="004C1DB0">
              <w:rPr>
                <w:sz w:val="22"/>
                <w:szCs w:val="22"/>
                <w:shd w:val="clear" w:color="auto" w:fill="FFFFFF"/>
              </w:rPr>
              <w:t>to ensure women have</w:t>
            </w:r>
            <w:r w:rsidR="00BC0E36">
              <w:rPr>
                <w:sz w:val="22"/>
                <w:szCs w:val="22"/>
                <w:shd w:val="clear" w:color="auto" w:fill="FFFFFF"/>
              </w:rPr>
              <w:t xml:space="preserve"> the right to choose, access to education </w:t>
            </w:r>
            <w:r w:rsidR="004C1DB0">
              <w:rPr>
                <w:sz w:val="22"/>
                <w:szCs w:val="22"/>
                <w:shd w:val="clear" w:color="auto" w:fill="FFFFFF"/>
              </w:rPr>
              <w:t>and therefore empowered to have the means to play a meaningful and</w:t>
            </w:r>
            <w:r w:rsidR="009D6C18">
              <w:rPr>
                <w:sz w:val="22"/>
                <w:szCs w:val="22"/>
                <w:shd w:val="clear" w:color="auto" w:fill="FFFFFF"/>
              </w:rPr>
              <w:t xml:space="preserve"> productive role in society</w:t>
            </w:r>
            <w:r w:rsidR="004C1DB0">
              <w:rPr>
                <w:sz w:val="22"/>
                <w:szCs w:val="22"/>
                <w:shd w:val="clear" w:color="auto" w:fill="FFFFFF"/>
              </w:rPr>
              <w:t xml:space="preserve">. </w:t>
            </w:r>
            <w:r w:rsidR="00BC0E36">
              <w:rPr>
                <w:sz w:val="22"/>
                <w:szCs w:val="22"/>
                <w:shd w:val="clear" w:color="auto" w:fill="FFFFFF"/>
              </w:rPr>
              <w:t>For example, a</w:t>
            </w:r>
            <w:r w:rsidR="004C1DB0">
              <w:rPr>
                <w:sz w:val="22"/>
                <w:szCs w:val="22"/>
                <w:shd w:val="clear" w:color="auto" w:fill="FFFFFF"/>
              </w:rPr>
              <w:t xml:space="preserve">t present access to contraception to meet unmet needs </w:t>
            </w:r>
            <w:r w:rsidR="00536ECA">
              <w:rPr>
                <w:sz w:val="22"/>
                <w:szCs w:val="22"/>
                <w:shd w:val="clear" w:color="auto" w:fill="FFFFFF"/>
              </w:rPr>
              <w:t>has increased by only 2% from 75 percent in 2010 to 77</w:t>
            </w:r>
            <w:r w:rsidR="004C1DB0">
              <w:rPr>
                <w:sz w:val="22"/>
                <w:szCs w:val="22"/>
                <w:shd w:val="clear" w:color="auto" w:fill="FFFFFF"/>
              </w:rPr>
              <w:t xml:space="preserve"> percent in 2020, according to the UN</w:t>
            </w:r>
            <w:r w:rsidR="007D0449">
              <w:rPr>
                <w:rStyle w:val="EndnoteReference"/>
                <w:sz w:val="22"/>
                <w:szCs w:val="22"/>
                <w:shd w:val="clear" w:color="auto" w:fill="FFFFFF"/>
              </w:rPr>
              <w:endnoteReference w:id="3"/>
            </w:r>
            <w:r w:rsidR="00BC0E36">
              <w:rPr>
                <w:sz w:val="22"/>
                <w:szCs w:val="22"/>
                <w:shd w:val="clear" w:color="auto" w:fill="FFFFFF"/>
              </w:rPr>
              <w:t xml:space="preserve">, and the number of girls out of secondary school in Sub Saharan in Africa has </w:t>
            </w:r>
            <w:r w:rsidR="00BC0E36" w:rsidRPr="00BC0E36">
              <w:rPr>
                <w:i/>
                <w:sz w:val="22"/>
                <w:szCs w:val="22"/>
                <w:shd w:val="clear" w:color="auto" w:fill="FFFFFF"/>
              </w:rPr>
              <w:t>increased</w:t>
            </w:r>
            <w:r w:rsidR="00BC0E36">
              <w:rPr>
                <w:sz w:val="22"/>
                <w:szCs w:val="22"/>
                <w:shd w:val="clear" w:color="auto" w:fill="FFFFFF"/>
              </w:rPr>
              <w:t xml:space="preserve"> by 7 million due to the region’s population growth</w:t>
            </w:r>
            <w:r w:rsidR="00BC0E36">
              <w:rPr>
                <w:rStyle w:val="EndnoteReference"/>
                <w:sz w:val="22"/>
                <w:szCs w:val="22"/>
                <w:shd w:val="clear" w:color="auto" w:fill="FFFFFF"/>
              </w:rPr>
              <w:endnoteReference w:id="4"/>
            </w:r>
            <w:r w:rsidR="00BC0E36">
              <w:rPr>
                <w:sz w:val="22"/>
                <w:szCs w:val="22"/>
                <w:shd w:val="clear" w:color="auto" w:fill="FFFFFF"/>
              </w:rPr>
              <w:t>.</w:t>
            </w:r>
          </w:p>
        </w:tc>
      </w:tr>
      <w:tr w:rsidR="006E3E33" w:rsidRPr="000C0B6C" w14:paraId="74D1568B" w14:textId="77777777" w:rsidTr="00E87B9E">
        <w:trPr>
          <w:trHeight w:val="233"/>
        </w:trPr>
        <w:tc>
          <w:tcPr>
            <w:tcW w:w="818" w:type="dxa"/>
          </w:tcPr>
          <w:p w14:paraId="77C0AFC6" w14:textId="42355241" w:rsidR="006E3E33" w:rsidRDefault="006E3E33" w:rsidP="00E87B9E">
            <w:r>
              <w:t>4</w:t>
            </w:r>
          </w:p>
        </w:tc>
        <w:tc>
          <w:tcPr>
            <w:tcW w:w="1231" w:type="dxa"/>
          </w:tcPr>
          <w:p w14:paraId="36244474" w14:textId="7CF0DF08" w:rsidR="006E3E33" w:rsidRDefault="006E3E33" w:rsidP="00E87B9E">
            <w:r>
              <w:t>Target 1&amp; Target 2</w:t>
            </w:r>
          </w:p>
        </w:tc>
        <w:tc>
          <w:tcPr>
            <w:tcW w:w="8139" w:type="dxa"/>
            <w:gridSpan w:val="2"/>
          </w:tcPr>
          <w:p w14:paraId="2862E3FE" w14:textId="7FADC524" w:rsidR="006E3E33" w:rsidRPr="00406F94" w:rsidRDefault="006E3E33" w:rsidP="006E3E33">
            <w:pPr>
              <w:rPr>
                <w:sz w:val="22"/>
                <w:szCs w:val="22"/>
              </w:rPr>
            </w:pPr>
            <w:r>
              <w:rPr>
                <w:sz w:val="22"/>
                <w:szCs w:val="22"/>
              </w:rPr>
              <w:t xml:space="preserve">Both of these targets seek to conserve, restore and halt biodiversity loss both on land and below. To do so without factoring the rapid population growth that continues, especially </w:t>
            </w:r>
            <w:r w:rsidR="00A10795">
              <w:rPr>
                <w:sz w:val="22"/>
                <w:szCs w:val="22"/>
              </w:rPr>
              <w:t xml:space="preserve">in </w:t>
            </w:r>
            <w:r w:rsidR="00E811B0">
              <w:rPr>
                <w:sz w:val="22"/>
                <w:szCs w:val="22"/>
              </w:rPr>
              <w:t xml:space="preserve">tropical </w:t>
            </w:r>
            <w:r w:rsidR="00A10795">
              <w:rPr>
                <w:sz w:val="22"/>
                <w:szCs w:val="22"/>
              </w:rPr>
              <w:t>countries w</w:t>
            </w:r>
            <w:r w:rsidR="00E811B0">
              <w:rPr>
                <w:sz w:val="22"/>
                <w:szCs w:val="22"/>
              </w:rPr>
              <w:t xml:space="preserve">hich hold vast areas of biodiversity, will impede the ability to meet the targets. </w:t>
            </w:r>
            <w:r w:rsidR="00E811B0" w:rsidRPr="00C03D83">
              <w:rPr>
                <w:b/>
                <w:sz w:val="22"/>
                <w:szCs w:val="22"/>
              </w:rPr>
              <w:t>Suggest including Target 3.7</w:t>
            </w:r>
            <w:r w:rsidR="00E811B0">
              <w:rPr>
                <w:sz w:val="22"/>
                <w:szCs w:val="22"/>
              </w:rPr>
              <w:t xml:space="preserve"> – By 2030, ensure universal and reproductive health-care services, including for family planning, information and education and the integration of reproductive health into national strategies and programmes. </w:t>
            </w:r>
            <w:r w:rsidR="00E811B0" w:rsidRPr="002F37E2">
              <w:rPr>
                <w:b/>
                <w:sz w:val="22"/>
                <w:szCs w:val="22"/>
              </w:rPr>
              <w:t>Suggest including Indicator 3.7.1</w:t>
            </w:r>
            <w:r w:rsidR="00E811B0">
              <w:rPr>
                <w:sz w:val="22"/>
                <w:szCs w:val="22"/>
              </w:rPr>
              <w:t xml:space="preserve"> – Proportion of women of reproductive age (age 15-49) years who have their need for family planning satisfied with modern methods. </w:t>
            </w:r>
            <w:r w:rsidR="00E811B0" w:rsidRPr="002022B4">
              <w:rPr>
                <w:b/>
                <w:sz w:val="22"/>
                <w:szCs w:val="22"/>
              </w:rPr>
              <w:t>Suggest including Target 4.1</w:t>
            </w:r>
            <w:r w:rsidR="00E811B0">
              <w:rPr>
                <w:sz w:val="22"/>
                <w:szCs w:val="22"/>
              </w:rPr>
              <w:t xml:space="preserve"> – By 2030, ensure all girls and boys complete free, equitable and quality primary and secondary education. </w:t>
            </w:r>
            <w:r w:rsidR="00E811B0" w:rsidRPr="005921F4">
              <w:rPr>
                <w:b/>
                <w:sz w:val="22"/>
                <w:szCs w:val="22"/>
              </w:rPr>
              <w:t>Suggest including Indicator 4.1.1</w:t>
            </w:r>
            <w:r w:rsidR="00E811B0">
              <w:rPr>
                <w:sz w:val="22"/>
                <w:szCs w:val="22"/>
              </w:rPr>
              <w:t xml:space="preserve"> – Proportion of children and young people: (a) in grades 2/3; (b) at the end of primary; and (c) at the end of lower secondary achieving at least a minimum proficiency level in (i) reading and (ii) mathematics, by sex.  </w:t>
            </w:r>
          </w:p>
        </w:tc>
      </w:tr>
      <w:tr w:rsidR="00236608" w:rsidRPr="000C0B6C" w14:paraId="6D0FC60A" w14:textId="77777777" w:rsidTr="009D525C">
        <w:trPr>
          <w:trHeight w:val="224"/>
        </w:trPr>
        <w:tc>
          <w:tcPr>
            <w:tcW w:w="818" w:type="dxa"/>
          </w:tcPr>
          <w:p w14:paraId="6282A73C" w14:textId="296C9CAE" w:rsidR="00236608" w:rsidRPr="000C0B6C" w:rsidRDefault="006E3E33" w:rsidP="00E87B9E">
            <w:r>
              <w:t>5</w:t>
            </w:r>
          </w:p>
        </w:tc>
        <w:tc>
          <w:tcPr>
            <w:tcW w:w="1231" w:type="dxa"/>
          </w:tcPr>
          <w:p w14:paraId="4956A208" w14:textId="29071D14" w:rsidR="00236608" w:rsidRPr="000C0B6C" w:rsidRDefault="00ED6E47" w:rsidP="00E87B9E">
            <w:r>
              <w:t>Target 3</w:t>
            </w:r>
          </w:p>
        </w:tc>
        <w:tc>
          <w:tcPr>
            <w:tcW w:w="8139" w:type="dxa"/>
            <w:gridSpan w:val="2"/>
            <w:shd w:val="clear" w:color="auto" w:fill="FFFFFF" w:themeFill="background1"/>
          </w:tcPr>
          <w:p w14:paraId="2E455596" w14:textId="77777777" w:rsidR="00565DDC" w:rsidRDefault="009D525C" w:rsidP="00E30E39">
            <w:pPr>
              <w:rPr>
                <w:sz w:val="22"/>
                <w:szCs w:val="22"/>
              </w:rPr>
            </w:pPr>
            <w:r w:rsidRPr="009D525C">
              <w:rPr>
                <w:sz w:val="22"/>
                <w:szCs w:val="22"/>
              </w:rPr>
              <w:t>People living in poverty can have a devastating impact on local biodiversity through the increasing conflict between humans and wildlife and hunting animals for food. Poorer nations have typically higher fertility rates in part due to higher mortality rates thus increasing the likelihood of larger families, which in turn provides security for households in the absence of adequate social protection systems.</w:t>
            </w:r>
            <w:r>
              <w:rPr>
                <w:sz w:val="22"/>
                <w:szCs w:val="22"/>
              </w:rPr>
              <w:t xml:space="preserve"> </w:t>
            </w:r>
          </w:p>
          <w:p w14:paraId="078BD31E" w14:textId="1FB6436C" w:rsidR="00E30E39" w:rsidRPr="009D525C" w:rsidRDefault="009D525C" w:rsidP="00E30E39">
            <w:pPr>
              <w:rPr>
                <w:sz w:val="22"/>
                <w:szCs w:val="22"/>
              </w:rPr>
            </w:pPr>
            <w:r w:rsidRPr="00D861FE">
              <w:rPr>
                <w:b/>
                <w:sz w:val="22"/>
                <w:szCs w:val="22"/>
              </w:rPr>
              <w:t>Suggest including Target 1</w:t>
            </w:r>
            <w:r w:rsidR="00D861FE" w:rsidRPr="00D861FE">
              <w:rPr>
                <w:b/>
                <w:sz w:val="22"/>
                <w:szCs w:val="22"/>
              </w:rPr>
              <w:t xml:space="preserve">.a </w:t>
            </w:r>
            <w:r>
              <w:rPr>
                <w:sz w:val="22"/>
                <w:szCs w:val="22"/>
              </w:rPr>
              <w:t>- Ensure significant mobilisation of resources from a va</w:t>
            </w:r>
            <w:r w:rsidR="00D861FE">
              <w:rPr>
                <w:sz w:val="22"/>
                <w:szCs w:val="22"/>
              </w:rPr>
              <w:t xml:space="preserve">riety of sources, including through enhanced development cooperation, in order to provide adequate and predictable means for developing countries, in particular least developed countries, to implement and end poverty in all its dimensions. </w:t>
            </w:r>
            <w:r w:rsidR="00D861FE" w:rsidRPr="00D861FE">
              <w:rPr>
                <w:b/>
                <w:sz w:val="22"/>
                <w:szCs w:val="22"/>
              </w:rPr>
              <w:t>Suggest adding Indicator 1.a.2</w:t>
            </w:r>
            <w:r w:rsidR="00D861FE">
              <w:rPr>
                <w:sz w:val="22"/>
                <w:szCs w:val="22"/>
              </w:rPr>
              <w:t xml:space="preserve"> – Proportion of total government spending on essential services (education, health and social protection). </w:t>
            </w:r>
          </w:p>
          <w:p w14:paraId="1B92E2B4" w14:textId="39E3C992" w:rsidR="00E30E39" w:rsidRPr="00E30E39" w:rsidRDefault="00E30E39" w:rsidP="00C020A3">
            <w:r w:rsidRPr="009D525C">
              <w:rPr>
                <w:b/>
                <w:sz w:val="22"/>
                <w:szCs w:val="22"/>
              </w:rPr>
              <w:t>Suggest including Target 5.6</w:t>
            </w:r>
            <w:r w:rsidR="009D525C">
              <w:rPr>
                <w:b/>
                <w:sz w:val="22"/>
                <w:szCs w:val="22"/>
              </w:rPr>
              <w:t xml:space="preserve"> -</w:t>
            </w:r>
            <w:r w:rsidRPr="00406F94">
              <w:rPr>
                <w:sz w:val="22"/>
                <w:szCs w:val="22"/>
              </w:rPr>
              <w:t xml:space="preserve"> </w:t>
            </w:r>
            <w:r w:rsidRPr="00406F94">
              <w:rPr>
                <w:sz w:val="22"/>
                <w:szCs w:val="22"/>
                <w:shd w:val="clear" w:color="auto" w:fill="FFFFFF"/>
              </w:rPr>
              <w:t>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r>
              <w:rPr>
                <w:sz w:val="22"/>
                <w:szCs w:val="22"/>
                <w:shd w:val="clear" w:color="auto" w:fill="FFFFFF"/>
              </w:rPr>
              <w:t xml:space="preserve">. </w:t>
            </w:r>
            <w:r w:rsidRPr="009D525C">
              <w:rPr>
                <w:b/>
                <w:sz w:val="22"/>
                <w:szCs w:val="22"/>
                <w:shd w:val="clear" w:color="auto" w:fill="FFFFFF"/>
              </w:rPr>
              <w:t xml:space="preserve">Suggest </w:t>
            </w:r>
            <w:r w:rsidR="00D94227" w:rsidRPr="009D525C">
              <w:rPr>
                <w:b/>
                <w:sz w:val="22"/>
                <w:szCs w:val="22"/>
                <w:shd w:val="clear" w:color="auto" w:fill="FFFFFF"/>
              </w:rPr>
              <w:t>including Indicator 5.6.1</w:t>
            </w:r>
            <w:r w:rsidR="00D94227">
              <w:rPr>
                <w:sz w:val="22"/>
                <w:szCs w:val="22"/>
                <w:shd w:val="clear" w:color="auto" w:fill="FFFFFF"/>
              </w:rPr>
              <w:t xml:space="preserve"> – Proportion of women aged 15-49 years who make their own informed decisions regarding sexual relations, contraceptive use and reproductive healthcare. </w:t>
            </w:r>
          </w:p>
        </w:tc>
      </w:tr>
      <w:tr w:rsidR="00236608" w:rsidRPr="000C0B6C" w14:paraId="30930566" w14:textId="77777777" w:rsidTr="00E87B9E">
        <w:trPr>
          <w:trHeight w:val="224"/>
        </w:trPr>
        <w:tc>
          <w:tcPr>
            <w:tcW w:w="818" w:type="dxa"/>
          </w:tcPr>
          <w:p w14:paraId="7E88CD75" w14:textId="706DFE5D" w:rsidR="00236608" w:rsidRPr="000C0B6C" w:rsidRDefault="00565DDC" w:rsidP="00E87B9E">
            <w:r>
              <w:t>6</w:t>
            </w:r>
          </w:p>
        </w:tc>
        <w:tc>
          <w:tcPr>
            <w:tcW w:w="1231" w:type="dxa"/>
          </w:tcPr>
          <w:p w14:paraId="613F0F0B" w14:textId="0C288E4D" w:rsidR="00236608" w:rsidRPr="000C0B6C" w:rsidRDefault="00521351" w:rsidP="00E87B9E">
            <w:r>
              <w:t>Target 6</w:t>
            </w:r>
          </w:p>
        </w:tc>
        <w:tc>
          <w:tcPr>
            <w:tcW w:w="8139" w:type="dxa"/>
            <w:gridSpan w:val="2"/>
          </w:tcPr>
          <w:p w14:paraId="7DCB0C47" w14:textId="77777777" w:rsidR="002B4D6B" w:rsidRDefault="00011374" w:rsidP="00414A47">
            <w:pPr>
              <w:rPr>
                <w:sz w:val="22"/>
                <w:szCs w:val="22"/>
              </w:rPr>
            </w:pPr>
            <w:r>
              <w:rPr>
                <w:sz w:val="22"/>
                <w:szCs w:val="22"/>
              </w:rPr>
              <w:t>Due to rapid population growth the actual number of people using dirty fuels in Sub Saharan Africa has increased</w:t>
            </w:r>
            <w:r w:rsidR="008D449F">
              <w:rPr>
                <w:rStyle w:val="EndnoteReference"/>
                <w:sz w:val="22"/>
                <w:szCs w:val="22"/>
              </w:rPr>
              <w:endnoteReference w:id="5"/>
            </w:r>
            <w:r>
              <w:rPr>
                <w:sz w:val="22"/>
                <w:szCs w:val="22"/>
              </w:rPr>
              <w:t xml:space="preserve">. At </w:t>
            </w:r>
            <w:r w:rsidR="00414A47" w:rsidRPr="00414A47">
              <w:rPr>
                <w:sz w:val="22"/>
                <w:szCs w:val="22"/>
              </w:rPr>
              <w:t>present 3 billion</w:t>
            </w:r>
            <w:r w:rsidR="005F629F">
              <w:rPr>
                <w:rStyle w:val="EndnoteReference"/>
                <w:sz w:val="22"/>
                <w:szCs w:val="22"/>
              </w:rPr>
              <w:endnoteReference w:id="6"/>
            </w:r>
            <w:r w:rsidR="00414A47" w:rsidRPr="00414A47">
              <w:rPr>
                <w:sz w:val="22"/>
                <w:szCs w:val="22"/>
              </w:rPr>
              <w:t xml:space="preserve"> people in poverty are using dirty fuels </w:t>
            </w:r>
            <w:r w:rsidR="00414A47">
              <w:rPr>
                <w:sz w:val="22"/>
                <w:szCs w:val="22"/>
              </w:rPr>
              <w:t>an</w:t>
            </w:r>
          </w:p>
          <w:p w14:paraId="5428C55D" w14:textId="2B3DD2C1" w:rsidR="00E023A9" w:rsidRDefault="00414A47" w:rsidP="00414A47">
            <w:r>
              <w:rPr>
                <w:sz w:val="22"/>
                <w:szCs w:val="22"/>
              </w:rPr>
              <w:t>d 2.3 billion people will still be using them in 2030</w:t>
            </w:r>
            <w:r w:rsidR="00011374">
              <w:rPr>
                <w:rStyle w:val="EndnoteReference"/>
                <w:sz w:val="22"/>
                <w:szCs w:val="22"/>
              </w:rPr>
              <w:endnoteReference w:id="7"/>
            </w:r>
            <w:r>
              <w:t xml:space="preserve">. </w:t>
            </w:r>
          </w:p>
          <w:p w14:paraId="4B30F77B" w14:textId="064DCE4E" w:rsidR="00414A47" w:rsidRPr="00C12AF2" w:rsidRDefault="00414A47" w:rsidP="00565DDC">
            <w:pPr>
              <w:rPr>
                <w:sz w:val="22"/>
                <w:szCs w:val="22"/>
              </w:rPr>
            </w:pPr>
            <w:r w:rsidRPr="009D525C">
              <w:rPr>
                <w:b/>
                <w:sz w:val="22"/>
                <w:szCs w:val="22"/>
              </w:rPr>
              <w:t>Sugges</w:t>
            </w:r>
            <w:r w:rsidR="00E023A9" w:rsidRPr="009D525C">
              <w:rPr>
                <w:b/>
                <w:sz w:val="22"/>
                <w:szCs w:val="22"/>
              </w:rPr>
              <w:t>t including Target 7.1</w:t>
            </w:r>
            <w:r w:rsidR="00E023A9">
              <w:rPr>
                <w:sz w:val="22"/>
                <w:szCs w:val="22"/>
              </w:rPr>
              <w:t xml:space="preserve">- </w:t>
            </w:r>
            <w:r w:rsidRPr="00414A47">
              <w:rPr>
                <w:sz w:val="22"/>
                <w:szCs w:val="22"/>
              </w:rPr>
              <w:t xml:space="preserve">By 2030, ensure universal access to affordable reliable and modern energy services. </w:t>
            </w:r>
            <w:r w:rsidR="00565DDC" w:rsidRPr="00565DDC">
              <w:rPr>
                <w:b/>
                <w:sz w:val="22"/>
                <w:szCs w:val="22"/>
              </w:rPr>
              <w:t xml:space="preserve">Suggest including </w:t>
            </w:r>
            <w:r w:rsidRPr="00565DDC">
              <w:rPr>
                <w:b/>
                <w:sz w:val="22"/>
                <w:szCs w:val="22"/>
              </w:rPr>
              <w:t>Indicator 7.</w:t>
            </w:r>
            <w:r w:rsidRPr="00DE17D8">
              <w:rPr>
                <w:b/>
                <w:sz w:val="22"/>
                <w:szCs w:val="22"/>
              </w:rPr>
              <w:t>1.2</w:t>
            </w:r>
            <w:r w:rsidR="00E023A9">
              <w:rPr>
                <w:sz w:val="22"/>
                <w:szCs w:val="22"/>
              </w:rPr>
              <w:t xml:space="preserve"> -</w:t>
            </w:r>
            <w:r>
              <w:rPr>
                <w:sz w:val="22"/>
                <w:szCs w:val="22"/>
              </w:rPr>
              <w:t xml:space="preserve"> Proportion of population with primary reliance on clean fuels and technology. </w:t>
            </w:r>
          </w:p>
        </w:tc>
      </w:tr>
      <w:tr w:rsidR="0001241E" w:rsidRPr="000C0B6C" w14:paraId="3C317C06" w14:textId="77777777" w:rsidTr="00E87B9E">
        <w:trPr>
          <w:trHeight w:val="224"/>
        </w:trPr>
        <w:tc>
          <w:tcPr>
            <w:tcW w:w="818" w:type="dxa"/>
          </w:tcPr>
          <w:p w14:paraId="04FBC7EE" w14:textId="54FFD9F2" w:rsidR="0001241E" w:rsidRDefault="00721EC6" w:rsidP="00E87B9E">
            <w:r>
              <w:t>7</w:t>
            </w:r>
          </w:p>
        </w:tc>
        <w:tc>
          <w:tcPr>
            <w:tcW w:w="1231" w:type="dxa"/>
          </w:tcPr>
          <w:p w14:paraId="4A31B8E5" w14:textId="00B5CD6F" w:rsidR="0001241E" w:rsidRDefault="0001241E" w:rsidP="00E87B9E">
            <w:r>
              <w:t>Target 7</w:t>
            </w:r>
          </w:p>
        </w:tc>
        <w:tc>
          <w:tcPr>
            <w:tcW w:w="8139" w:type="dxa"/>
            <w:gridSpan w:val="2"/>
          </w:tcPr>
          <w:p w14:paraId="708F154F" w14:textId="5BB2D668" w:rsidR="00DE17D8" w:rsidRPr="00414A47" w:rsidRDefault="009A4FD5" w:rsidP="00DE17D8">
            <w:pPr>
              <w:rPr>
                <w:sz w:val="22"/>
                <w:szCs w:val="22"/>
              </w:rPr>
            </w:pPr>
            <w:r>
              <w:rPr>
                <w:sz w:val="22"/>
                <w:szCs w:val="22"/>
              </w:rPr>
              <w:t xml:space="preserve">Investment in health and education </w:t>
            </w:r>
            <w:r w:rsidR="00A726FC">
              <w:rPr>
                <w:sz w:val="22"/>
                <w:szCs w:val="22"/>
              </w:rPr>
              <w:t>has been proven to be one of the most powerful ways to reduce atmospheric CO2 by 2050.</w:t>
            </w:r>
            <w:r>
              <w:rPr>
                <w:sz w:val="22"/>
                <w:szCs w:val="22"/>
              </w:rPr>
              <w:t xml:space="preserve"> The combination of these factors, because of their powerful population effects, equate to reducing atmospheric CO2 by 85.42 gigatonnes, </w:t>
            </w:r>
            <w:r>
              <w:rPr>
                <w:sz w:val="22"/>
                <w:szCs w:val="22"/>
              </w:rPr>
              <w:lastRenderedPageBreak/>
              <w:t>more than all onshore and offshore wind combined</w:t>
            </w:r>
            <w:r w:rsidR="005F629F">
              <w:rPr>
                <w:rStyle w:val="EndnoteReference"/>
                <w:sz w:val="22"/>
                <w:szCs w:val="22"/>
              </w:rPr>
              <w:endnoteReference w:id="8"/>
            </w:r>
            <w:r>
              <w:rPr>
                <w:sz w:val="22"/>
                <w:szCs w:val="22"/>
              </w:rPr>
              <w:t xml:space="preserve">. </w:t>
            </w:r>
            <w:r w:rsidR="00DE17D8" w:rsidRPr="00C03D83">
              <w:rPr>
                <w:b/>
                <w:sz w:val="22"/>
                <w:szCs w:val="22"/>
              </w:rPr>
              <w:t>Suggest including Target 3.7</w:t>
            </w:r>
            <w:r w:rsidR="00DE17D8">
              <w:rPr>
                <w:sz w:val="22"/>
                <w:szCs w:val="22"/>
              </w:rPr>
              <w:t xml:space="preserve"> – By 2030, ensure universal and reproductive health-care services, including for family planning, information and education and the integration of reproductive health into national strategies and programmes. </w:t>
            </w:r>
            <w:r w:rsidR="00DE17D8" w:rsidRPr="002F37E2">
              <w:rPr>
                <w:b/>
                <w:sz w:val="22"/>
                <w:szCs w:val="22"/>
              </w:rPr>
              <w:t>Suggest including Indicator 3.7.1</w:t>
            </w:r>
            <w:r w:rsidR="00DE17D8">
              <w:rPr>
                <w:sz w:val="22"/>
                <w:szCs w:val="22"/>
              </w:rPr>
              <w:t xml:space="preserve"> – Proportion of women of reproductive age (age 15-49) years who have their need for family planning satisfied with modern methods. </w:t>
            </w:r>
            <w:r w:rsidR="00DE17D8" w:rsidRPr="002022B4">
              <w:rPr>
                <w:b/>
                <w:sz w:val="22"/>
                <w:szCs w:val="22"/>
              </w:rPr>
              <w:t>Suggest including Target 4.1</w:t>
            </w:r>
            <w:r w:rsidR="00DE17D8">
              <w:rPr>
                <w:sz w:val="22"/>
                <w:szCs w:val="22"/>
              </w:rPr>
              <w:t xml:space="preserve"> – By 2030, ensure all</w:t>
            </w:r>
            <w:r w:rsidR="00710856">
              <w:rPr>
                <w:sz w:val="22"/>
                <w:szCs w:val="22"/>
              </w:rPr>
              <w:t xml:space="preserve"> girls and boys complete free, equitable and quality </w:t>
            </w:r>
            <w:r w:rsidR="005921F4">
              <w:rPr>
                <w:sz w:val="22"/>
                <w:szCs w:val="22"/>
              </w:rPr>
              <w:t xml:space="preserve">primary and secondary education. </w:t>
            </w:r>
            <w:r w:rsidR="005921F4" w:rsidRPr="005921F4">
              <w:rPr>
                <w:b/>
                <w:sz w:val="22"/>
                <w:szCs w:val="22"/>
              </w:rPr>
              <w:t>Suggest including Indicator 4.1.1</w:t>
            </w:r>
            <w:r w:rsidR="005921F4">
              <w:rPr>
                <w:sz w:val="22"/>
                <w:szCs w:val="22"/>
              </w:rPr>
              <w:t xml:space="preserve"> – Proportion of children and young people: (a) in grades 2/3; (b) at the end of primary; and (c) at the end of lower secondary achieving at least a minimum proficiency level in (i) reading and (ii) mathematics, by sex. </w:t>
            </w:r>
          </w:p>
        </w:tc>
      </w:tr>
      <w:tr w:rsidR="00236608" w:rsidRPr="000C0B6C" w14:paraId="7A865B83" w14:textId="77777777" w:rsidTr="00E87B9E">
        <w:trPr>
          <w:trHeight w:val="224"/>
        </w:trPr>
        <w:tc>
          <w:tcPr>
            <w:tcW w:w="818" w:type="dxa"/>
          </w:tcPr>
          <w:p w14:paraId="48F7EE30" w14:textId="6E8371A9" w:rsidR="00236608" w:rsidRPr="000C0B6C" w:rsidRDefault="00565DDC" w:rsidP="00E87B9E">
            <w:r>
              <w:lastRenderedPageBreak/>
              <w:t>12</w:t>
            </w:r>
          </w:p>
        </w:tc>
        <w:tc>
          <w:tcPr>
            <w:tcW w:w="1231" w:type="dxa"/>
          </w:tcPr>
          <w:p w14:paraId="6A798625" w14:textId="11498F90" w:rsidR="00236608" w:rsidRPr="000C0B6C" w:rsidRDefault="00521351" w:rsidP="00E87B9E">
            <w:r>
              <w:t>Target 11</w:t>
            </w:r>
          </w:p>
        </w:tc>
        <w:tc>
          <w:tcPr>
            <w:tcW w:w="8139" w:type="dxa"/>
            <w:gridSpan w:val="2"/>
          </w:tcPr>
          <w:p w14:paraId="0F287FAA" w14:textId="0329893A" w:rsidR="00565DDC" w:rsidRDefault="00DA79F1" w:rsidP="001A5795">
            <w:pPr>
              <w:rPr>
                <w:sz w:val="22"/>
                <w:szCs w:val="22"/>
              </w:rPr>
            </w:pPr>
            <w:r>
              <w:rPr>
                <w:sz w:val="22"/>
                <w:szCs w:val="22"/>
              </w:rPr>
              <w:t>As populations grow the numbers of climate and rural-poor migrants is increasing everyday causing rises in pockets of extreme poverty and slum dwellings</w:t>
            </w:r>
            <w:r w:rsidR="00584D2B">
              <w:rPr>
                <w:rStyle w:val="EndnoteReference"/>
                <w:sz w:val="22"/>
                <w:szCs w:val="22"/>
              </w:rPr>
              <w:endnoteReference w:id="9"/>
            </w:r>
            <w:r>
              <w:rPr>
                <w:sz w:val="22"/>
                <w:szCs w:val="22"/>
              </w:rPr>
              <w:t>.</w:t>
            </w:r>
            <w:r w:rsidR="00565DDC">
              <w:rPr>
                <w:sz w:val="22"/>
                <w:szCs w:val="22"/>
              </w:rPr>
              <w:t xml:space="preserve"> The increased capacity for transporting sewage waste is being compromised as populations grow.</w:t>
            </w:r>
            <w:r>
              <w:rPr>
                <w:sz w:val="22"/>
                <w:szCs w:val="22"/>
              </w:rPr>
              <w:t xml:space="preserve"> </w:t>
            </w:r>
            <w:r w:rsidRPr="009D525C">
              <w:rPr>
                <w:b/>
                <w:sz w:val="22"/>
                <w:szCs w:val="22"/>
              </w:rPr>
              <w:t>Suggest including</w:t>
            </w:r>
            <w:r w:rsidR="001A6F41" w:rsidRPr="009D525C">
              <w:rPr>
                <w:b/>
                <w:sz w:val="22"/>
                <w:szCs w:val="22"/>
              </w:rPr>
              <w:t xml:space="preserve"> Target 6.2</w:t>
            </w:r>
            <w:r w:rsidR="001A6F41">
              <w:rPr>
                <w:sz w:val="22"/>
                <w:szCs w:val="22"/>
              </w:rPr>
              <w:t xml:space="preserve"> – By 2030, achieve access to adequate and equitable sanitation for all and end open defecation, paying special attention to the needs of women and girls and those in vulnerable situations. </w:t>
            </w:r>
            <w:r w:rsidR="001A6F41" w:rsidRPr="009D525C">
              <w:rPr>
                <w:b/>
                <w:sz w:val="22"/>
                <w:szCs w:val="22"/>
              </w:rPr>
              <w:t>Suggest including Indicator 6.2.1</w:t>
            </w:r>
            <w:r w:rsidR="001A6F41">
              <w:rPr>
                <w:sz w:val="22"/>
                <w:szCs w:val="22"/>
              </w:rPr>
              <w:t xml:space="preserve"> – Proportion of population using safely managed sanitation services, including a hand-washing facility with soap and water. </w:t>
            </w:r>
          </w:p>
          <w:p w14:paraId="531C2A0F" w14:textId="7BBD4F31" w:rsidR="001A6F41" w:rsidRPr="00565DDC" w:rsidRDefault="001A6F41" w:rsidP="001A5795">
            <w:pPr>
              <w:rPr>
                <w:b/>
                <w:sz w:val="22"/>
                <w:szCs w:val="22"/>
              </w:rPr>
            </w:pPr>
            <w:r w:rsidRPr="00C12AF2">
              <w:rPr>
                <w:b/>
                <w:sz w:val="22"/>
                <w:szCs w:val="22"/>
              </w:rPr>
              <w:t>Suggest including</w:t>
            </w:r>
            <w:r w:rsidR="00DA79F1" w:rsidRPr="00C12AF2">
              <w:rPr>
                <w:b/>
                <w:sz w:val="22"/>
                <w:szCs w:val="22"/>
              </w:rPr>
              <w:t xml:space="preserve"> </w:t>
            </w:r>
            <w:r w:rsidR="001A5795" w:rsidRPr="00C12AF2">
              <w:rPr>
                <w:b/>
                <w:sz w:val="22"/>
                <w:szCs w:val="22"/>
              </w:rPr>
              <w:t>Target 4.3</w:t>
            </w:r>
            <w:r w:rsidR="001A5795">
              <w:rPr>
                <w:sz w:val="22"/>
                <w:szCs w:val="22"/>
              </w:rPr>
              <w:t xml:space="preserve">– By 2030, ensure equal access for all women and men to affordable and quality technical, vocational and tertiary education, including university. </w:t>
            </w:r>
            <w:r w:rsidR="001A5795" w:rsidRPr="00C12AF2">
              <w:rPr>
                <w:b/>
                <w:sz w:val="22"/>
                <w:szCs w:val="22"/>
              </w:rPr>
              <w:t>Suggest including Indicator 4.3.1</w:t>
            </w:r>
            <w:r w:rsidR="001A5795">
              <w:rPr>
                <w:sz w:val="22"/>
                <w:szCs w:val="22"/>
              </w:rPr>
              <w:t xml:space="preserve"> – Participation of youth and adults in non-formal education and training in the previous 12 months, by sex. </w:t>
            </w:r>
          </w:p>
        </w:tc>
      </w:tr>
      <w:tr w:rsidR="00236608" w:rsidRPr="000C0B6C" w14:paraId="73FD340A" w14:textId="77777777" w:rsidTr="00E87B9E">
        <w:trPr>
          <w:trHeight w:val="224"/>
        </w:trPr>
        <w:tc>
          <w:tcPr>
            <w:tcW w:w="818" w:type="dxa"/>
          </w:tcPr>
          <w:p w14:paraId="37288C1C" w14:textId="77777777" w:rsidR="00236608" w:rsidRPr="000C0B6C" w:rsidRDefault="00236608" w:rsidP="00E87B9E"/>
        </w:tc>
        <w:tc>
          <w:tcPr>
            <w:tcW w:w="1231" w:type="dxa"/>
          </w:tcPr>
          <w:p w14:paraId="2993E983" w14:textId="51AD252E" w:rsidR="00565DDC" w:rsidRPr="000C0B6C" w:rsidRDefault="00521351" w:rsidP="00E87B9E">
            <w:r>
              <w:t>Target 13</w:t>
            </w:r>
          </w:p>
        </w:tc>
        <w:tc>
          <w:tcPr>
            <w:tcW w:w="8139" w:type="dxa"/>
            <w:gridSpan w:val="2"/>
          </w:tcPr>
          <w:p w14:paraId="2A720A2D" w14:textId="67DDA30F" w:rsidR="00236608" w:rsidRPr="002F37E2" w:rsidRDefault="00835022" w:rsidP="00835022">
            <w:pPr>
              <w:rPr>
                <w:sz w:val="22"/>
                <w:szCs w:val="22"/>
              </w:rPr>
            </w:pPr>
            <w:r>
              <w:rPr>
                <w:sz w:val="22"/>
                <w:szCs w:val="22"/>
              </w:rPr>
              <w:t xml:space="preserve">Reducing high fertility rates through ethical and voluntary means can support poverty reduction strategies. </w:t>
            </w:r>
            <w:r w:rsidR="00565DDC" w:rsidRPr="00C03D83">
              <w:rPr>
                <w:b/>
                <w:sz w:val="22"/>
                <w:szCs w:val="22"/>
              </w:rPr>
              <w:t>Suggest including Target 3.7</w:t>
            </w:r>
            <w:r w:rsidR="00565DDC">
              <w:rPr>
                <w:sz w:val="22"/>
                <w:szCs w:val="22"/>
              </w:rPr>
              <w:t xml:space="preserve"> – By 2030, ensure universal and reproductive health-care services, including for family planning, information and education and the integration of reproductive health into national strategies and programmes.</w:t>
            </w:r>
            <w:r w:rsidR="002F37E2">
              <w:rPr>
                <w:sz w:val="22"/>
                <w:szCs w:val="22"/>
              </w:rPr>
              <w:t xml:space="preserve"> </w:t>
            </w:r>
            <w:r w:rsidR="002F37E2" w:rsidRPr="002F37E2">
              <w:rPr>
                <w:b/>
                <w:sz w:val="22"/>
                <w:szCs w:val="22"/>
              </w:rPr>
              <w:t>Suggest including Indicator 3.7.1</w:t>
            </w:r>
            <w:r w:rsidR="002F37E2">
              <w:rPr>
                <w:sz w:val="22"/>
                <w:szCs w:val="22"/>
              </w:rPr>
              <w:t xml:space="preserve"> – Proportion of women of reproductive age (age 15-49) years who have their need for family planning satisfied with modern methods. Also include </w:t>
            </w:r>
            <w:r w:rsidR="002F37E2" w:rsidRPr="002F37E2">
              <w:rPr>
                <w:b/>
                <w:sz w:val="22"/>
                <w:szCs w:val="22"/>
              </w:rPr>
              <w:t>Indicator 3.7.2</w:t>
            </w:r>
            <w:r w:rsidR="002F37E2">
              <w:rPr>
                <w:sz w:val="22"/>
                <w:szCs w:val="22"/>
              </w:rPr>
              <w:t xml:space="preserve"> – Adolescent birth rate (aged 10 – 14 years; aged 15-19 years) per 1,000 women in that age group. </w:t>
            </w:r>
          </w:p>
        </w:tc>
      </w:tr>
      <w:tr w:rsidR="00236608" w:rsidRPr="000C0B6C" w14:paraId="435624C6" w14:textId="77777777" w:rsidTr="00E87B9E">
        <w:trPr>
          <w:trHeight w:val="224"/>
        </w:trPr>
        <w:tc>
          <w:tcPr>
            <w:tcW w:w="818" w:type="dxa"/>
          </w:tcPr>
          <w:p w14:paraId="112D65BF" w14:textId="77777777" w:rsidR="00236608" w:rsidRPr="000C0B6C" w:rsidRDefault="00236608" w:rsidP="00E87B9E"/>
        </w:tc>
        <w:tc>
          <w:tcPr>
            <w:tcW w:w="1231" w:type="dxa"/>
          </w:tcPr>
          <w:p w14:paraId="15A50A76" w14:textId="6372D163" w:rsidR="00236608" w:rsidRPr="000C0B6C" w:rsidRDefault="00521351" w:rsidP="00E87B9E">
            <w:r>
              <w:t>Target 15</w:t>
            </w:r>
          </w:p>
        </w:tc>
        <w:tc>
          <w:tcPr>
            <w:tcW w:w="8139" w:type="dxa"/>
            <w:gridSpan w:val="2"/>
          </w:tcPr>
          <w:p w14:paraId="778EFB93" w14:textId="077D3537" w:rsidR="00236608" w:rsidRPr="00173BA5" w:rsidRDefault="007D0449" w:rsidP="00E87B9E">
            <w:pPr>
              <w:rPr>
                <w:sz w:val="22"/>
                <w:szCs w:val="22"/>
              </w:rPr>
            </w:pPr>
            <w:r w:rsidRPr="00173BA5">
              <w:rPr>
                <w:sz w:val="22"/>
                <w:szCs w:val="22"/>
              </w:rPr>
              <w:t>With population currently projected to increase by almost a quarter, according to the UN’s medium projection</w:t>
            </w:r>
            <w:r w:rsidR="001C2D24">
              <w:rPr>
                <w:rStyle w:val="EndnoteReference"/>
                <w:sz w:val="22"/>
                <w:szCs w:val="22"/>
              </w:rPr>
              <w:endnoteReference w:id="10"/>
            </w:r>
            <w:r w:rsidR="00897FAA">
              <w:rPr>
                <w:sz w:val="22"/>
                <w:szCs w:val="22"/>
              </w:rPr>
              <w:t xml:space="preserve">, </w:t>
            </w:r>
            <w:r w:rsidR="00897FAA" w:rsidRPr="008D449F">
              <w:rPr>
                <w:i/>
                <w:sz w:val="22"/>
                <w:szCs w:val="22"/>
              </w:rPr>
              <w:t>both</w:t>
            </w:r>
            <w:r w:rsidR="00897FAA">
              <w:rPr>
                <w:sz w:val="22"/>
                <w:szCs w:val="22"/>
              </w:rPr>
              <w:t xml:space="preserve"> population and per capita demand will increase over the next generation. </w:t>
            </w:r>
            <w:r w:rsidR="00F81002">
              <w:rPr>
                <w:sz w:val="22"/>
                <w:szCs w:val="22"/>
              </w:rPr>
              <w:t>Material footprint per capita in high income countries is 60% higher than in upper-middle-income countries and more than 13 times the level of low-income countries</w:t>
            </w:r>
            <w:r w:rsidR="00A969FE">
              <w:rPr>
                <w:rStyle w:val="EndnoteReference"/>
                <w:sz w:val="22"/>
                <w:szCs w:val="22"/>
              </w:rPr>
              <w:endnoteReference w:id="11"/>
            </w:r>
            <w:r w:rsidR="00F81002">
              <w:rPr>
                <w:sz w:val="22"/>
                <w:szCs w:val="22"/>
              </w:rPr>
              <w:t>. Population and consumption go hand-in-hand so solutions to address consumption also need to address the demands placed on scare reso</w:t>
            </w:r>
            <w:r w:rsidR="007A5F58">
              <w:rPr>
                <w:sz w:val="22"/>
                <w:szCs w:val="22"/>
              </w:rPr>
              <w:t xml:space="preserve">urces. </w:t>
            </w:r>
            <w:r w:rsidR="00BD4DCE">
              <w:rPr>
                <w:sz w:val="22"/>
                <w:szCs w:val="22"/>
              </w:rPr>
              <w:t xml:space="preserve">Awareness raising and education </w:t>
            </w:r>
            <w:r w:rsidR="002E45EB">
              <w:rPr>
                <w:sz w:val="22"/>
                <w:szCs w:val="22"/>
              </w:rPr>
              <w:t xml:space="preserve">goals </w:t>
            </w:r>
            <w:r w:rsidR="00BD4DCE">
              <w:rPr>
                <w:sz w:val="22"/>
                <w:szCs w:val="22"/>
              </w:rPr>
              <w:t xml:space="preserve">also needs to include education on sexual and reproductive health rights including the choice and benefits of having small families. </w:t>
            </w:r>
            <w:r w:rsidR="007A5F58" w:rsidRPr="007A5F58">
              <w:rPr>
                <w:b/>
                <w:sz w:val="22"/>
                <w:szCs w:val="22"/>
              </w:rPr>
              <w:t>Suggest</w:t>
            </w:r>
            <w:r w:rsidR="007A5F58">
              <w:rPr>
                <w:sz w:val="22"/>
                <w:szCs w:val="22"/>
              </w:rPr>
              <w:t xml:space="preserve"> </w:t>
            </w:r>
            <w:r w:rsidR="007A5F58" w:rsidRPr="00C03D83">
              <w:rPr>
                <w:b/>
                <w:sz w:val="22"/>
                <w:szCs w:val="22"/>
              </w:rPr>
              <w:t>including Target 3.7</w:t>
            </w:r>
            <w:r w:rsidR="007A5F58">
              <w:rPr>
                <w:sz w:val="22"/>
                <w:szCs w:val="22"/>
              </w:rPr>
              <w:t xml:space="preserve"> – By 2030, ensure universal and reproductive health-care services, including for family planning, information and education and the integration of reproductive health into national strategies and programmes. </w:t>
            </w:r>
            <w:r w:rsidR="007A5F58" w:rsidRPr="002F37E2">
              <w:rPr>
                <w:b/>
                <w:sz w:val="22"/>
                <w:szCs w:val="22"/>
              </w:rPr>
              <w:t>Suggest including Indicator 3.7.1</w:t>
            </w:r>
            <w:r w:rsidR="007A5F58">
              <w:rPr>
                <w:sz w:val="22"/>
                <w:szCs w:val="22"/>
              </w:rPr>
              <w:t xml:space="preserve"> – Proportion of women of reproductive age (age 15-49) years who have their need for family planning satisfied with modern methods. Also include </w:t>
            </w:r>
            <w:r w:rsidR="007A5F58" w:rsidRPr="002F37E2">
              <w:rPr>
                <w:b/>
                <w:sz w:val="22"/>
                <w:szCs w:val="22"/>
              </w:rPr>
              <w:t>Indicator 3.7.2</w:t>
            </w:r>
            <w:r w:rsidR="007A5F58">
              <w:rPr>
                <w:sz w:val="22"/>
                <w:szCs w:val="22"/>
              </w:rPr>
              <w:t xml:space="preserve"> – Adolescent birth rate (aged 10 – 14 years; aged 15-19 years) per 1,000 women in that age group.</w:t>
            </w:r>
            <w:r w:rsidR="008D449F">
              <w:rPr>
                <w:sz w:val="22"/>
                <w:szCs w:val="22"/>
              </w:rPr>
              <w:t xml:space="preserve"> Suggest including </w:t>
            </w:r>
            <w:r w:rsidR="008D449F" w:rsidRPr="002022B4">
              <w:rPr>
                <w:b/>
                <w:sz w:val="22"/>
                <w:szCs w:val="22"/>
              </w:rPr>
              <w:t>Suggest including Target 4.1</w:t>
            </w:r>
            <w:r w:rsidR="008D449F">
              <w:rPr>
                <w:sz w:val="22"/>
                <w:szCs w:val="22"/>
              </w:rPr>
              <w:t xml:space="preserve"> – By 2030, ensure all girls and boys complete free, equitable and quality primary and secondary education. </w:t>
            </w:r>
            <w:r w:rsidR="008D449F" w:rsidRPr="005921F4">
              <w:rPr>
                <w:b/>
                <w:sz w:val="22"/>
                <w:szCs w:val="22"/>
              </w:rPr>
              <w:t>Suggest including Indicator 4.1.1</w:t>
            </w:r>
            <w:r w:rsidR="008D449F">
              <w:rPr>
                <w:sz w:val="22"/>
                <w:szCs w:val="22"/>
              </w:rPr>
              <w:t xml:space="preserve"> – Proportion of children and young people: (a) in grades 2/3; (b) at the end of primary; and (c) at the end of lower secondary achieving at least a minimum proficiency level in (i) reading and (ii) mathematics, by sex.</w:t>
            </w:r>
            <w:r w:rsidR="00BD4DCE">
              <w:rPr>
                <w:sz w:val="22"/>
                <w:szCs w:val="22"/>
              </w:rPr>
              <w:t xml:space="preserve"> </w:t>
            </w:r>
            <w:r w:rsidR="00BD4DCE" w:rsidRPr="009D525C">
              <w:rPr>
                <w:b/>
                <w:sz w:val="22"/>
                <w:szCs w:val="22"/>
              </w:rPr>
              <w:t>Suggest including Target 5.6</w:t>
            </w:r>
            <w:r w:rsidR="00BD4DCE">
              <w:rPr>
                <w:b/>
                <w:sz w:val="22"/>
                <w:szCs w:val="22"/>
              </w:rPr>
              <w:t xml:space="preserve"> -</w:t>
            </w:r>
            <w:r w:rsidR="00BD4DCE" w:rsidRPr="00406F94">
              <w:rPr>
                <w:sz w:val="22"/>
                <w:szCs w:val="22"/>
              </w:rPr>
              <w:t xml:space="preserve"> </w:t>
            </w:r>
            <w:r w:rsidR="00BD4DCE" w:rsidRPr="00406F94">
              <w:rPr>
                <w:sz w:val="22"/>
                <w:szCs w:val="22"/>
                <w:shd w:val="clear" w:color="auto" w:fill="FFFFFF"/>
              </w:rPr>
              <w:t xml:space="preserve">Ensure universal access to sexual and reproductive health and reproductive rights as agreed in accordance with the Programme of Action of the </w:t>
            </w:r>
            <w:r w:rsidR="00BD4DCE" w:rsidRPr="00406F94">
              <w:rPr>
                <w:sz w:val="22"/>
                <w:szCs w:val="22"/>
                <w:shd w:val="clear" w:color="auto" w:fill="FFFFFF"/>
              </w:rPr>
              <w:lastRenderedPageBreak/>
              <w:t>International Conference on Population and Development and the Beijing Platform for Action and the outcome documents of their review conferences</w:t>
            </w:r>
            <w:r w:rsidR="00BD4DCE">
              <w:rPr>
                <w:sz w:val="22"/>
                <w:szCs w:val="22"/>
                <w:shd w:val="clear" w:color="auto" w:fill="FFFFFF"/>
              </w:rPr>
              <w:t xml:space="preserve">. </w:t>
            </w:r>
            <w:r w:rsidR="00BD4DCE" w:rsidRPr="009D525C">
              <w:rPr>
                <w:b/>
                <w:sz w:val="22"/>
                <w:szCs w:val="22"/>
                <w:shd w:val="clear" w:color="auto" w:fill="FFFFFF"/>
              </w:rPr>
              <w:t>Suggest including Indicator 5.6.1</w:t>
            </w:r>
            <w:r w:rsidR="00BD4DCE">
              <w:rPr>
                <w:sz w:val="22"/>
                <w:szCs w:val="22"/>
                <w:shd w:val="clear" w:color="auto" w:fill="FFFFFF"/>
              </w:rPr>
              <w:t xml:space="preserve"> – Proportion of women aged 15-49 years who make their own informed decisions regarding sexual relations, contraceptive use and reproductive healthcare.</w:t>
            </w:r>
          </w:p>
        </w:tc>
      </w:tr>
      <w:tr w:rsidR="00236608" w:rsidRPr="000C0B6C" w14:paraId="4C53569F" w14:textId="77777777" w:rsidTr="00E87B9E">
        <w:trPr>
          <w:trHeight w:val="224"/>
        </w:trPr>
        <w:tc>
          <w:tcPr>
            <w:tcW w:w="818" w:type="dxa"/>
          </w:tcPr>
          <w:p w14:paraId="5ACD88D5" w14:textId="5ABAFB9B" w:rsidR="00236608" w:rsidRPr="000505E6" w:rsidRDefault="000505E6" w:rsidP="00E87B9E">
            <w:pPr>
              <w:rPr>
                <w:sz w:val="22"/>
                <w:szCs w:val="22"/>
              </w:rPr>
            </w:pPr>
            <w:r w:rsidRPr="000505E6">
              <w:rPr>
                <w:sz w:val="22"/>
                <w:szCs w:val="22"/>
              </w:rPr>
              <w:lastRenderedPageBreak/>
              <w:t>24</w:t>
            </w:r>
          </w:p>
        </w:tc>
        <w:tc>
          <w:tcPr>
            <w:tcW w:w="1231" w:type="dxa"/>
          </w:tcPr>
          <w:p w14:paraId="1A074978" w14:textId="6B9E8340" w:rsidR="00236608" w:rsidRPr="000505E6" w:rsidRDefault="000505E6" w:rsidP="00E87B9E">
            <w:pPr>
              <w:rPr>
                <w:sz w:val="22"/>
                <w:szCs w:val="22"/>
              </w:rPr>
            </w:pPr>
            <w:r w:rsidRPr="000505E6">
              <w:rPr>
                <w:sz w:val="22"/>
                <w:szCs w:val="22"/>
              </w:rPr>
              <w:t>SDG14.1</w:t>
            </w:r>
          </w:p>
        </w:tc>
        <w:tc>
          <w:tcPr>
            <w:tcW w:w="8139" w:type="dxa"/>
            <w:gridSpan w:val="2"/>
          </w:tcPr>
          <w:p w14:paraId="249A3E43" w14:textId="36F88212" w:rsidR="00236608" w:rsidRPr="000505E6" w:rsidRDefault="000505E6" w:rsidP="00E87B9E">
            <w:pPr>
              <w:rPr>
                <w:sz w:val="22"/>
                <w:szCs w:val="22"/>
              </w:rPr>
            </w:pPr>
            <w:r w:rsidRPr="000505E6">
              <w:rPr>
                <w:b/>
                <w:sz w:val="22"/>
                <w:szCs w:val="22"/>
              </w:rPr>
              <w:t>Suggest including Target 15</w:t>
            </w:r>
            <w:r w:rsidRPr="000505E6">
              <w:rPr>
                <w:sz w:val="22"/>
                <w:szCs w:val="22"/>
              </w:rPr>
              <w:t xml:space="preserve"> </w:t>
            </w:r>
            <w:r w:rsidR="00627FED">
              <w:rPr>
                <w:sz w:val="22"/>
                <w:szCs w:val="22"/>
              </w:rPr>
              <w:t xml:space="preserve">(GBF) </w:t>
            </w:r>
            <w:r w:rsidRPr="000505E6">
              <w:rPr>
                <w:sz w:val="22"/>
                <w:szCs w:val="22"/>
              </w:rPr>
              <w:t>By 2030, eliminate unsustainable consumption patterns, ensuring people everywhere understand and appreciate the value of biodiversity, make responsible choices commensurate with 2050 biodiversity vision, taking into account individual and national cultural and socioeconomic conditions</w:t>
            </w:r>
            <w:r>
              <w:rPr>
                <w:sz w:val="22"/>
                <w:szCs w:val="22"/>
              </w:rPr>
              <w:t>.</w:t>
            </w: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12"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F7B1E" w14:textId="77777777" w:rsidR="00AA26FC" w:rsidRDefault="00AA26FC" w:rsidP="007D0449">
      <w:r>
        <w:separator/>
      </w:r>
    </w:p>
  </w:endnote>
  <w:endnote w:type="continuationSeparator" w:id="0">
    <w:p w14:paraId="3B325A45" w14:textId="77777777" w:rsidR="00AA26FC" w:rsidRDefault="00AA26FC" w:rsidP="007D0449">
      <w:r>
        <w:continuationSeparator/>
      </w:r>
    </w:p>
  </w:endnote>
  <w:endnote w:id="1">
    <w:p w14:paraId="55690089" w14:textId="705A46D4" w:rsidR="001160A3" w:rsidRPr="001160A3" w:rsidRDefault="001160A3">
      <w:pPr>
        <w:pStyle w:val="EndnoteText"/>
        <w:rPr>
          <w:lang w:val="en-GB"/>
        </w:rPr>
      </w:pPr>
      <w:r>
        <w:rPr>
          <w:rStyle w:val="EndnoteReference"/>
        </w:rPr>
        <w:endnoteRef/>
      </w:r>
      <w:r>
        <w:t xml:space="preserve"> Gerardo Ceballos, Paul R. Ehrlich, and Rodolfo Dirzo (2017) Biological annihilation via the ongoing sixth mass extinction signalled by vertebrate population losses and declines, from: https://www.pnas.org/content/114/30/E6089</w:t>
      </w:r>
    </w:p>
  </w:endnote>
  <w:endnote w:id="2">
    <w:p w14:paraId="07EECB43" w14:textId="46C97C60" w:rsidR="001160A3" w:rsidRPr="001160A3" w:rsidRDefault="001160A3" w:rsidP="001160A3">
      <w:pPr>
        <w:pStyle w:val="EndnoteText"/>
        <w:rPr>
          <w:lang w:val="en-GB"/>
        </w:rPr>
      </w:pPr>
      <w:r>
        <w:rPr>
          <w:rStyle w:val="EndnoteReference"/>
        </w:rPr>
        <w:endnoteRef/>
      </w:r>
      <w:r>
        <w:t xml:space="preserve"> Marques, A. et al (2019) Increasing impacts of land use on biodiversity and carbon sequestration driven by population and economic growth. Nature Ecology &amp; Evolution, 2019; DOI: 10.1038/s41559-019-0824-3</w:t>
      </w:r>
    </w:p>
  </w:endnote>
  <w:endnote w:id="3">
    <w:p w14:paraId="7E4BDEDF" w14:textId="6AA46E07" w:rsidR="007D0449" w:rsidRPr="007D0449" w:rsidRDefault="007D0449">
      <w:pPr>
        <w:pStyle w:val="EndnoteText"/>
        <w:rPr>
          <w:lang w:val="en-GB"/>
        </w:rPr>
      </w:pPr>
      <w:r>
        <w:rPr>
          <w:rStyle w:val="EndnoteReference"/>
        </w:rPr>
        <w:endnoteRef/>
      </w:r>
      <w:r>
        <w:t xml:space="preserve"> </w:t>
      </w:r>
      <w:hyperlink r:id="rId1" w:history="1">
        <w:r w:rsidR="00536ECA">
          <w:rPr>
            <w:rStyle w:val="Hyperlink"/>
          </w:rPr>
          <w:t>https://sdgs.un.org/goals/goal3</w:t>
        </w:r>
      </w:hyperlink>
    </w:p>
  </w:endnote>
  <w:endnote w:id="4">
    <w:p w14:paraId="340A031E" w14:textId="49194388" w:rsidR="00BC0E36" w:rsidRPr="00BC0E36" w:rsidRDefault="00BC0E36">
      <w:pPr>
        <w:pStyle w:val="EndnoteText"/>
        <w:rPr>
          <w:lang w:val="en-GB"/>
        </w:rPr>
      </w:pPr>
      <w:r>
        <w:rPr>
          <w:rStyle w:val="EndnoteReference"/>
        </w:rPr>
        <w:endnoteRef/>
      </w:r>
      <w:r>
        <w:t xml:space="preserve"> </w:t>
      </w:r>
      <w:r>
        <w:rPr>
          <w:lang w:val="en-GB"/>
        </w:rPr>
        <w:t>UNICEF, 2020, A new era for girls https://data.unicef.org/resources/a-new-era-for-girls-taking-stock-of-25-years-of-progress/</w:t>
      </w:r>
    </w:p>
  </w:endnote>
  <w:endnote w:id="5">
    <w:p w14:paraId="6C141719" w14:textId="304B304D" w:rsidR="008D449F" w:rsidRPr="008D449F" w:rsidRDefault="008D449F">
      <w:pPr>
        <w:pStyle w:val="EndnoteText"/>
        <w:rPr>
          <w:lang w:val="en-GB"/>
        </w:rPr>
      </w:pPr>
      <w:r>
        <w:rPr>
          <w:rStyle w:val="EndnoteReference"/>
        </w:rPr>
        <w:endnoteRef/>
      </w:r>
      <w:r>
        <w:t xml:space="preserve"> Ibid</w:t>
      </w:r>
    </w:p>
  </w:endnote>
  <w:endnote w:id="6">
    <w:p w14:paraId="06A66D94" w14:textId="07B23BF5" w:rsidR="005F629F" w:rsidRPr="005F629F" w:rsidRDefault="005F629F" w:rsidP="005F629F">
      <w:pPr>
        <w:pStyle w:val="EndnoteText"/>
        <w:rPr>
          <w:lang w:val="en-GB"/>
        </w:rPr>
      </w:pPr>
      <w:r>
        <w:rPr>
          <w:rStyle w:val="EndnoteReference"/>
        </w:rPr>
        <w:endnoteRef/>
      </w:r>
      <w:r>
        <w:t xml:space="preserve"> </w:t>
      </w:r>
      <w:hyperlink r:id="rId2" w:history="1">
        <w:r>
          <w:rPr>
            <w:rStyle w:val="Hyperlink"/>
          </w:rPr>
          <w:t>https://sdgs.un.org/goals/goal7</w:t>
        </w:r>
      </w:hyperlink>
    </w:p>
  </w:endnote>
  <w:endnote w:id="7">
    <w:p w14:paraId="0975C9A3" w14:textId="2C3686CE" w:rsidR="00011374" w:rsidRPr="00011374" w:rsidRDefault="00011374">
      <w:pPr>
        <w:pStyle w:val="EndnoteText"/>
        <w:rPr>
          <w:lang w:val="en-GB"/>
        </w:rPr>
      </w:pPr>
      <w:r>
        <w:rPr>
          <w:rStyle w:val="EndnoteReference"/>
        </w:rPr>
        <w:endnoteRef/>
      </w:r>
      <w:r>
        <w:t xml:space="preserve"> </w:t>
      </w:r>
      <w:hyperlink r:id="rId3" w:history="1">
        <w:r w:rsidR="00584D2B">
          <w:rPr>
            <w:rStyle w:val="Hyperlink"/>
          </w:rPr>
          <w:t>https://sdgs.un.org/goals/goal7</w:t>
        </w:r>
      </w:hyperlink>
    </w:p>
  </w:endnote>
  <w:endnote w:id="8">
    <w:p w14:paraId="76D83AA8" w14:textId="08890A8C" w:rsidR="005F629F" w:rsidRPr="005F629F" w:rsidRDefault="005F629F">
      <w:pPr>
        <w:pStyle w:val="EndnoteText"/>
        <w:rPr>
          <w:lang w:val="en-GB"/>
        </w:rPr>
      </w:pPr>
      <w:r>
        <w:rPr>
          <w:rStyle w:val="EndnoteReference"/>
        </w:rPr>
        <w:endnoteRef/>
      </w:r>
      <w:r>
        <w:t xml:space="preserve"> </w:t>
      </w:r>
      <w:r w:rsidR="00B11844">
        <w:rPr>
          <w:lang w:val="en-GB"/>
        </w:rPr>
        <w:t xml:space="preserve">Project Drawdown </w:t>
      </w:r>
      <w:hyperlink r:id="rId4" w:history="1">
        <w:r w:rsidR="00B11844" w:rsidRPr="00A66777">
          <w:rPr>
            <w:rStyle w:val="Hyperlink"/>
            <w:lang w:val="en-GB"/>
          </w:rPr>
          <w:t>https://drawdown.org/solutions/health-and-education</w:t>
        </w:r>
      </w:hyperlink>
      <w:r w:rsidR="00B11844">
        <w:rPr>
          <w:lang w:val="en-GB"/>
        </w:rPr>
        <w:t xml:space="preserve"> </w:t>
      </w:r>
    </w:p>
  </w:endnote>
  <w:endnote w:id="9">
    <w:p w14:paraId="6B82226D" w14:textId="1B707101" w:rsidR="00584D2B" w:rsidRPr="00584D2B" w:rsidRDefault="00584D2B">
      <w:pPr>
        <w:pStyle w:val="EndnoteText"/>
        <w:rPr>
          <w:lang w:val="en-GB"/>
        </w:rPr>
      </w:pPr>
      <w:r>
        <w:rPr>
          <w:rStyle w:val="EndnoteReference"/>
        </w:rPr>
        <w:endnoteRef/>
      </w:r>
      <w:r>
        <w:t xml:space="preserve"> </w:t>
      </w:r>
      <w:hyperlink r:id="rId5" w:history="1">
        <w:r>
          <w:rPr>
            <w:rStyle w:val="Hyperlink"/>
          </w:rPr>
          <w:t>https://sdgs.un.org/goals/goal11</w:t>
        </w:r>
      </w:hyperlink>
    </w:p>
  </w:endnote>
  <w:endnote w:id="10">
    <w:p w14:paraId="1D953F4C" w14:textId="45E429DD" w:rsidR="001C2D24" w:rsidRPr="001C2D24" w:rsidRDefault="001C2D24">
      <w:pPr>
        <w:pStyle w:val="EndnoteText"/>
        <w:rPr>
          <w:lang w:val="en-GB"/>
        </w:rPr>
      </w:pPr>
      <w:r>
        <w:rPr>
          <w:rStyle w:val="EndnoteReference"/>
        </w:rPr>
        <w:endnoteRef/>
      </w:r>
      <w:r>
        <w:t xml:space="preserve"> </w:t>
      </w:r>
      <w:r>
        <w:rPr>
          <w:lang w:val="en-GB"/>
        </w:rPr>
        <w:t>United Nations Population Division (2019) World Population prospects https://population.un.org/wpp/Publications/Files/WPP2019_Highlights.pdf</w:t>
      </w:r>
    </w:p>
  </w:endnote>
  <w:endnote w:id="11">
    <w:p w14:paraId="7EACDA33" w14:textId="6AB8BD38" w:rsidR="00A969FE" w:rsidRPr="00A969FE" w:rsidRDefault="00A969FE">
      <w:pPr>
        <w:pStyle w:val="EndnoteText"/>
        <w:rPr>
          <w:lang w:val="en-GB"/>
        </w:rPr>
      </w:pPr>
      <w:r>
        <w:rPr>
          <w:rStyle w:val="EndnoteReference"/>
        </w:rPr>
        <w:endnoteRef/>
      </w:r>
      <w:r>
        <w:t xml:space="preserve"> </w:t>
      </w:r>
      <w:hyperlink r:id="rId6" w:history="1">
        <w:r w:rsidR="00CF6B08">
          <w:rPr>
            <w:rStyle w:val="Hyperlink"/>
          </w:rPr>
          <w:t>https://unstats.un.org/sdgs/report/2019/goal-12/</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7E7AB" w14:textId="77777777" w:rsidR="00AA26FC" w:rsidRDefault="00AA26FC" w:rsidP="007D0449">
      <w:r>
        <w:separator/>
      </w:r>
    </w:p>
  </w:footnote>
  <w:footnote w:type="continuationSeparator" w:id="0">
    <w:p w14:paraId="1262F48F" w14:textId="77777777" w:rsidR="00AA26FC" w:rsidRDefault="00AA26FC" w:rsidP="007D0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000C3F"/>
    <w:rsid w:val="00011374"/>
    <w:rsid w:val="0001241E"/>
    <w:rsid w:val="00041255"/>
    <w:rsid w:val="000505E6"/>
    <w:rsid w:val="000D387B"/>
    <w:rsid w:val="001160A3"/>
    <w:rsid w:val="00173BA5"/>
    <w:rsid w:val="001A5795"/>
    <w:rsid w:val="001A6F41"/>
    <w:rsid w:val="001A7D8C"/>
    <w:rsid w:val="001C2D24"/>
    <w:rsid w:val="001D5D5B"/>
    <w:rsid w:val="002022B4"/>
    <w:rsid w:val="00236608"/>
    <w:rsid w:val="002B4D6B"/>
    <w:rsid w:val="002C0ED8"/>
    <w:rsid w:val="002E45EB"/>
    <w:rsid w:val="002F37E2"/>
    <w:rsid w:val="00302E79"/>
    <w:rsid w:val="00334544"/>
    <w:rsid w:val="003A7EE8"/>
    <w:rsid w:val="003B08FB"/>
    <w:rsid w:val="004056FD"/>
    <w:rsid w:val="00406F94"/>
    <w:rsid w:val="00414A47"/>
    <w:rsid w:val="004316B5"/>
    <w:rsid w:val="00443E1E"/>
    <w:rsid w:val="00463770"/>
    <w:rsid w:val="00486C26"/>
    <w:rsid w:val="004B3CC5"/>
    <w:rsid w:val="004C1DB0"/>
    <w:rsid w:val="004D46DE"/>
    <w:rsid w:val="00504926"/>
    <w:rsid w:val="00511AC4"/>
    <w:rsid w:val="00521351"/>
    <w:rsid w:val="0053118E"/>
    <w:rsid w:val="005324AB"/>
    <w:rsid w:val="00536ECA"/>
    <w:rsid w:val="00542A89"/>
    <w:rsid w:val="00565DDC"/>
    <w:rsid w:val="00566B6B"/>
    <w:rsid w:val="00584D2B"/>
    <w:rsid w:val="005921F4"/>
    <w:rsid w:val="005E7DE2"/>
    <w:rsid w:val="005F629F"/>
    <w:rsid w:val="006060BF"/>
    <w:rsid w:val="006125AA"/>
    <w:rsid w:val="00627FED"/>
    <w:rsid w:val="0063352B"/>
    <w:rsid w:val="00643618"/>
    <w:rsid w:val="006D6F86"/>
    <w:rsid w:val="006E302E"/>
    <w:rsid w:val="006E3E33"/>
    <w:rsid w:val="00710856"/>
    <w:rsid w:val="00721EC6"/>
    <w:rsid w:val="00723521"/>
    <w:rsid w:val="0072556D"/>
    <w:rsid w:val="00790F3D"/>
    <w:rsid w:val="007A5F58"/>
    <w:rsid w:val="007D0449"/>
    <w:rsid w:val="00835022"/>
    <w:rsid w:val="008366D3"/>
    <w:rsid w:val="00856957"/>
    <w:rsid w:val="0087609F"/>
    <w:rsid w:val="00897FAA"/>
    <w:rsid w:val="008C1C2E"/>
    <w:rsid w:val="008C4BD5"/>
    <w:rsid w:val="008C7838"/>
    <w:rsid w:val="008C7855"/>
    <w:rsid w:val="008D449F"/>
    <w:rsid w:val="008E7015"/>
    <w:rsid w:val="009A4FD5"/>
    <w:rsid w:val="009C6175"/>
    <w:rsid w:val="009D525C"/>
    <w:rsid w:val="009D6C18"/>
    <w:rsid w:val="009E3B00"/>
    <w:rsid w:val="009E489D"/>
    <w:rsid w:val="00A10795"/>
    <w:rsid w:val="00A21CF7"/>
    <w:rsid w:val="00A51FA4"/>
    <w:rsid w:val="00A726FC"/>
    <w:rsid w:val="00A77862"/>
    <w:rsid w:val="00A95769"/>
    <w:rsid w:val="00A969FE"/>
    <w:rsid w:val="00AA26FC"/>
    <w:rsid w:val="00AD433A"/>
    <w:rsid w:val="00AF4AD0"/>
    <w:rsid w:val="00B11844"/>
    <w:rsid w:val="00B11F08"/>
    <w:rsid w:val="00B51493"/>
    <w:rsid w:val="00B878C7"/>
    <w:rsid w:val="00BC0E36"/>
    <w:rsid w:val="00BD481F"/>
    <w:rsid w:val="00BD4DCE"/>
    <w:rsid w:val="00BF0E64"/>
    <w:rsid w:val="00C020A3"/>
    <w:rsid w:val="00C03D83"/>
    <w:rsid w:val="00C12AF2"/>
    <w:rsid w:val="00C13C8F"/>
    <w:rsid w:val="00C4617F"/>
    <w:rsid w:val="00C46A27"/>
    <w:rsid w:val="00C5468B"/>
    <w:rsid w:val="00CD197D"/>
    <w:rsid w:val="00CE5336"/>
    <w:rsid w:val="00CF6B08"/>
    <w:rsid w:val="00D416B6"/>
    <w:rsid w:val="00D81E35"/>
    <w:rsid w:val="00D861FE"/>
    <w:rsid w:val="00D93CCA"/>
    <w:rsid w:val="00D94227"/>
    <w:rsid w:val="00DA79F1"/>
    <w:rsid w:val="00DB20C0"/>
    <w:rsid w:val="00DE17D8"/>
    <w:rsid w:val="00E023A9"/>
    <w:rsid w:val="00E30E39"/>
    <w:rsid w:val="00E811B0"/>
    <w:rsid w:val="00E87B9E"/>
    <w:rsid w:val="00ED6E47"/>
    <w:rsid w:val="00F73ABA"/>
    <w:rsid w:val="00F81002"/>
    <w:rsid w:val="00F86F5F"/>
    <w:rsid w:val="00F95C7F"/>
    <w:rsid w:val="00FF2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link w:val="Heading4Char"/>
    <w:uiPriority w:val="9"/>
    <w:qFormat/>
    <w:rsid w:val="00566B6B"/>
    <w:pPr>
      <w:spacing w:before="100" w:beforeAutospacing="1" w:after="100" w:afterAutospacing="1"/>
      <w:outlineLvl w:val="3"/>
    </w:pPr>
    <w:rPr>
      <w:b/>
      <w:bCs/>
      <w:lang w:val="en-GB" w:eastAsia="en-GB"/>
    </w:rPr>
  </w:style>
  <w:style w:type="paragraph" w:styleId="Heading5">
    <w:name w:val="heading 5"/>
    <w:basedOn w:val="Normal"/>
    <w:next w:val="Normal"/>
    <w:link w:val="Heading5Char"/>
    <w:uiPriority w:val="9"/>
    <w:unhideWhenUsed/>
    <w:qFormat/>
    <w:rsid w:val="00E30E3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character" w:styleId="Emphasis">
    <w:name w:val="Emphasis"/>
    <w:basedOn w:val="DefaultParagraphFont"/>
    <w:uiPriority w:val="20"/>
    <w:qFormat/>
    <w:rsid w:val="008366D3"/>
    <w:rPr>
      <w:i/>
      <w:iCs/>
    </w:rPr>
  </w:style>
  <w:style w:type="character" w:styleId="Strong">
    <w:name w:val="Strong"/>
    <w:basedOn w:val="DefaultParagraphFont"/>
    <w:uiPriority w:val="22"/>
    <w:qFormat/>
    <w:rsid w:val="008366D3"/>
    <w:rPr>
      <w:b/>
      <w:bCs/>
    </w:rPr>
  </w:style>
  <w:style w:type="character" w:customStyle="1" w:styleId="Heading4Char">
    <w:name w:val="Heading 4 Char"/>
    <w:basedOn w:val="DefaultParagraphFont"/>
    <w:link w:val="Heading4"/>
    <w:uiPriority w:val="9"/>
    <w:rsid w:val="00566B6B"/>
    <w:rPr>
      <w:rFonts w:ascii="Times New Roman" w:eastAsia="Times New Roman" w:hAnsi="Times New Roman" w:cs="Times New Roman"/>
      <w:b/>
      <w:bCs/>
      <w:sz w:val="24"/>
      <w:szCs w:val="24"/>
      <w:lang w:val="en-GB" w:eastAsia="en-GB"/>
    </w:rPr>
  </w:style>
  <w:style w:type="paragraph" w:customStyle="1" w:styleId="goal-text">
    <w:name w:val="goal-text"/>
    <w:basedOn w:val="Normal"/>
    <w:rsid w:val="00566B6B"/>
    <w:pPr>
      <w:spacing w:before="100" w:beforeAutospacing="1" w:after="100" w:afterAutospacing="1"/>
    </w:pPr>
    <w:rPr>
      <w:lang w:val="en-GB" w:eastAsia="en-GB"/>
    </w:rPr>
  </w:style>
  <w:style w:type="character" w:customStyle="1" w:styleId="Heading5Char">
    <w:name w:val="Heading 5 Char"/>
    <w:basedOn w:val="DefaultParagraphFont"/>
    <w:link w:val="Heading5"/>
    <w:uiPriority w:val="9"/>
    <w:rsid w:val="00E30E39"/>
    <w:rPr>
      <w:rFonts w:asciiTheme="majorHAnsi" w:eastAsiaTheme="majorEastAsia" w:hAnsiTheme="majorHAnsi" w:cstheme="majorBidi"/>
      <w:color w:val="2F5496" w:themeColor="accent1" w:themeShade="BF"/>
      <w:sz w:val="24"/>
      <w:szCs w:val="24"/>
      <w:lang w:val="en-US"/>
    </w:rPr>
  </w:style>
  <w:style w:type="paragraph" w:styleId="NormalWeb">
    <w:name w:val="Normal (Web)"/>
    <w:basedOn w:val="Normal"/>
    <w:uiPriority w:val="99"/>
    <w:semiHidden/>
    <w:unhideWhenUsed/>
    <w:rsid w:val="00E30E39"/>
    <w:pPr>
      <w:spacing w:before="100" w:beforeAutospacing="1" w:after="100" w:afterAutospacing="1"/>
    </w:pPr>
    <w:rPr>
      <w:lang w:val="en-GB" w:eastAsia="en-GB"/>
    </w:rPr>
  </w:style>
  <w:style w:type="paragraph" w:styleId="EndnoteText">
    <w:name w:val="endnote text"/>
    <w:basedOn w:val="Normal"/>
    <w:link w:val="EndnoteTextChar"/>
    <w:uiPriority w:val="99"/>
    <w:semiHidden/>
    <w:unhideWhenUsed/>
    <w:rsid w:val="007D0449"/>
    <w:rPr>
      <w:sz w:val="20"/>
      <w:szCs w:val="20"/>
    </w:rPr>
  </w:style>
  <w:style w:type="character" w:customStyle="1" w:styleId="EndnoteTextChar">
    <w:name w:val="Endnote Text Char"/>
    <w:basedOn w:val="DefaultParagraphFont"/>
    <w:link w:val="EndnoteText"/>
    <w:uiPriority w:val="99"/>
    <w:semiHidden/>
    <w:rsid w:val="007D0449"/>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7D0449"/>
    <w:rPr>
      <w:vertAlign w:val="superscript"/>
    </w:rPr>
  </w:style>
  <w:style w:type="character" w:styleId="FollowedHyperlink">
    <w:name w:val="FollowedHyperlink"/>
    <w:basedOn w:val="DefaultParagraphFont"/>
    <w:uiPriority w:val="99"/>
    <w:semiHidden/>
    <w:unhideWhenUsed/>
    <w:rsid w:val="00B118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3210">
      <w:bodyDiv w:val="1"/>
      <w:marLeft w:val="0"/>
      <w:marRight w:val="0"/>
      <w:marTop w:val="0"/>
      <w:marBottom w:val="0"/>
      <w:divBdr>
        <w:top w:val="none" w:sz="0" w:space="0" w:color="auto"/>
        <w:left w:val="none" w:sz="0" w:space="0" w:color="auto"/>
        <w:bottom w:val="none" w:sz="0" w:space="0" w:color="auto"/>
        <w:right w:val="none" w:sz="0" w:space="0" w:color="auto"/>
      </w:divBdr>
      <w:divsChild>
        <w:div w:id="278101858">
          <w:marLeft w:val="0"/>
          <w:marRight w:val="0"/>
          <w:marTop w:val="0"/>
          <w:marBottom w:val="0"/>
          <w:divBdr>
            <w:top w:val="none" w:sz="0" w:space="0" w:color="auto"/>
            <w:left w:val="none" w:sz="0" w:space="0" w:color="auto"/>
            <w:bottom w:val="none" w:sz="0" w:space="0" w:color="auto"/>
            <w:right w:val="none" w:sz="0" w:space="0" w:color="auto"/>
          </w:divBdr>
        </w:div>
      </w:divsChild>
    </w:div>
    <w:div w:id="745540509">
      <w:bodyDiv w:val="1"/>
      <w:marLeft w:val="0"/>
      <w:marRight w:val="0"/>
      <w:marTop w:val="0"/>
      <w:marBottom w:val="0"/>
      <w:divBdr>
        <w:top w:val="none" w:sz="0" w:space="0" w:color="auto"/>
        <w:left w:val="none" w:sz="0" w:space="0" w:color="auto"/>
        <w:bottom w:val="none" w:sz="0" w:space="0" w:color="auto"/>
        <w:right w:val="none" w:sz="0" w:space="0" w:color="auto"/>
      </w:divBdr>
      <w:divsChild>
        <w:div w:id="912818066">
          <w:marLeft w:val="0"/>
          <w:marRight w:val="0"/>
          <w:marTop w:val="0"/>
          <w:marBottom w:val="0"/>
          <w:divBdr>
            <w:top w:val="none" w:sz="0" w:space="0" w:color="auto"/>
            <w:left w:val="none" w:sz="0" w:space="0" w:color="auto"/>
            <w:bottom w:val="none" w:sz="0" w:space="0" w:color="auto"/>
            <w:right w:val="none" w:sz="0" w:space="0" w:color="auto"/>
          </w:divBdr>
        </w:div>
      </w:divsChild>
    </w:div>
    <w:div w:id="1248659916">
      <w:bodyDiv w:val="1"/>
      <w:marLeft w:val="0"/>
      <w:marRight w:val="0"/>
      <w:marTop w:val="0"/>
      <w:marBottom w:val="0"/>
      <w:divBdr>
        <w:top w:val="none" w:sz="0" w:space="0" w:color="auto"/>
        <w:left w:val="none" w:sz="0" w:space="0" w:color="auto"/>
        <w:bottom w:val="none" w:sz="0" w:space="0" w:color="auto"/>
        <w:right w:val="none" w:sz="0" w:space="0" w:color="auto"/>
      </w:divBdr>
      <w:divsChild>
        <w:div w:id="1750538257">
          <w:marLeft w:val="0"/>
          <w:marRight w:val="0"/>
          <w:marTop w:val="0"/>
          <w:marBottom w:val="0"/>
          <w:divBdr>
            <w:top w:val="none" w:sz="0" w:space="0" w:color="auto"/>
            <w:left w:val="none" w:sz="0" w:space="0" w:color="auto"/>
            <w:bottom w:val="none" w:sz="0" w:space="0" w:color="auto"/>
            <w:right w:val="none" w:sz="0" w:space="0" w:color="auto"/>
          </w:divBdr>
        </w:div>
      </w:divsChild>
    </w:div>
    <w:div w:id="1515798938">
      <w:bodyDiv w:val="1"/>
      <w:marLeft w:val="0"/>
      <w:marRight w:val="0"/>
      <w:marTop w:val="0"/>
      <w:marBottom w:val="0"/>
      <w:divBdr>
        <w:top w:val="none" w:sz="0" w:space="0" w:color="auto"/>
        <w:left w:val="none" w:sz="0" w:space="0" w:color="auto"/>
        <w:bottom w:val="none" w:sz="0" w:space="0" w:color="auto"/>
        <w:right w:val="none" w:sz="0" w:space="0" w:color="auto"/>
      </w:divBdr>
      <w:divsChild>
        <w:div w:id="1570268396">
          <w:marLeft w:val="0"/>
          <w:marRight w:val="0"/>
          <w:marTop w:val="0"/>
          <w:marBottom w:val="0"/>
          <w:divBdr>
            <w:top w:val="none" w:sz="0" w:space="0" w:color="auto"/>
            <w:left w:val="none" w:sz="0" w:space="0" w:color="auto"/>
            <w:bottom w:val="none" w:sz="0" w:space="0" w:color="auto"/>
            <w:right w:val="none" w:sz="0" w:space="0" w:color="auto"/>
          </w:divBdr>
        </w:div>
      </w:divsChild>
    </w:div>
    <w:div w:id="21138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cretariat@cbd.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pulationmatters.org/sites/default/files/Biodiversity%20and%20Population%20-%20Population%20Matters%20Briefing%202019.pdf" TargetMode="External"/><Relationship Id="rId5" Type="http://schemas.openxmlformats.org/officeDocument/2006/relationships/styles" Target="styles.xml"/><Relationship Id="rId10" Type="http://schemas.openxmlformats.org/officeDocument/2006/relationships/hyperlink" Target="https://besjournals.onlinelibrary.wiley.com/doi/full/10.1002/pan3.10041"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sdgs.un.org/goals/goal7" TargetMode="External"/><Relationship Id="rId2" Type="http://schemas.openxmlformats.org/officeDocument/2006/relationships/hyperlink" Target="https://sdgs.un.org/goals/goal7" TargetMode="External"/><Relationship Id="rId1" Type="http://schemas.openxmlformats.org/officeDocument/2006/relationships/hyperlink" Target="https://sdgs.un.org/goals/goal3" TargetMode="External"/><Relationship Id="rId6" Type="http://schemas.openxmlformats.org/officeDocument/2006/relationships/hyperlink" Target="https://unstats.un.org/sdgs/report/2019/goal-12/" TargetMode="External"/><Relationship Id="rId5" Type="http://schemas.openxmlformats.org/officeDocument/2006/relationships/hyperlink" Target="https://sdgs.un.org/goals/goal11" TargetMode="External"/><Relationship Id="rId4" Type="http://schemas.openxmlformats.org/officeDocument/2006/relationships/hyperlink" Target="https://drawdown.org/solutions/health-and-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D2B3A-6508-431F-917D-92474158A9E1}">
  <ds:schemaRefs>
    <ds:schemaRef ds:uri="http://schemas.microsoft.com/sharepoint/v3/contenttype/forms"/>
  </ds:schemaRefs>
</ds:datastoreItem>
</file>

<file path=customXml/itemProps3.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2E4E86-A835-42E6-BFB6-FF53DEBE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Admin</cp:lastModifiedBy>
  <cp:revision>17</cp:revision>
  <dcterms:created xsi:type="dcterms:W3CDTF">2020-07-24T09:38:00Z</dcterms:created>
  <dcterms:modified xsi:type="dcterms:W3CDTF">2020-07-24T14:10:00Z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