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88689323" w:displacedByCustomXml="next"/>
    <w:sdt>
      <w:sdtPr>
        <w:rPr>
          <w:rFonts w:ascii="Calibri" w:eastAsia="Calibri" w:hAnsi="Calibri" w:cs="Times New Roman"/>
          <w:sz w:val="2"/>
        </w:rPr>
        <w:id w:val="151033601"/>
        <w:docPartObj>
          <w:docPartGallery w:val="Cover Pages"/>
          <w:docPartUnique/>
        </w:docPartObj>
      </w:sdtPr>
      <w:sdtEndPr>
        <w:rPr>
          <w:rFonts w:ascii="Cambria" w:eastAsia="MS Gothic" w:hAnsi="Cambria"/>
          <w:b/>
          <w:color w:val="365F91"/>
          <w:sz w:val="24"/>
          <w:szCs w:val="24"/>
        </w:rPr>
      </w:sdtEndPr>
      <w:sdtContent>
        <w:p w:rsidR="004B62FD" w:rsidRPr="00B06331" w:rsidRDefault="004B62FD">
          <w:pPr>
            <w:pStyle w:val="NoSpacing"/>
            <w:rPr>
              <w:sz w:val="2"/>
            </w:rPr>
          </w:pPr>
        </w:p>
        <w:p w:rsidR="004B62FD" w:rsidRPr="00B06331" w:rsidRDefault="00965AD2">
          <w:r w:rsidRPr="00B06331">
            <w:rPr>
              <w:noProof/>
            </w:rPr>
            <w:pict>
              <v:shapetype id="_x0000_t202" coordsize="21600,21600" o:spt="202" path="m,l,21600r21600,l21600,xe">
                <v:stroke joinstyle="miter"/>
                <v:path gradientshapeok="t" o:connecttype="rect"/>
              </v:shapetype>
              <v:shape id="Text Box 62" o:spid="_x0000_s1026" type="#_x0000_t202" style="position:absolute;margin-left:0;margin-top:0;width:468.2pt;height:145.05pt;z-index:251660288;visibility:visible;mso-width-percent:765;mso-position-horizontal:center;mso-position-horizontal-relative:page;mso-position-vertical:top;mso-position-vertical-relative:margin;mso-width-percent: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" filled="f" stroked="f" strokeweight=".5pt">
                <v:path arrowok="t"/>
                <v:textbox style="mso-next-textbox:#Text Box 62;mso-fit-shape-to-text:t">
                  <w:txbxContent>
                    <w:sdt>
                      <w:sdtPr>
                        <w:rPr>
                          <w:rFonts w:asciiTheme="majorHAnsi" w:eastAsiaTheme="majorEastAsia" w:hAnsiTheme="majorHAnsi" w:cstheme="majorBidi"/>
                          <w:b/>
                          <w:caps/>
                          <w:color w:val="8496B0" w:themeColor="text2" w:themeTint="99"/>
                          <w:sz w:val="56"/>
                          <w:szCs w:val="72"/>
                        </w:rPr>
                        <w:alias w:val="Title"/>
                        <w:tag w:val=""/>
                        <w:id w:val="7900735"/>
                        <w:dataBinding w:prefixMappings="xmlns:ns0='http://purl.org/dc/elements/1.1/' xmlns:ns1='http://schemas.openxmlformats.org/package/2006/metadata/core-properties' " w:xpath="/ns1:coreProperties[1]/ns0:title[1]" w:storeItemID="{6C3C8BC8-F283-45AE-878A-BAB7291924A1}"/>
                        <w:text/>
                      </w:sdtPr>
                      <w:sdtContent>
                        <w:p w:rsidR="00FD4AC6" w:rsidRPr="00B06331" w:rsidRDefault="00FD4AC6" w:rsidP="00B06331">
                          <w:pPr>
                            <w:pStyle w:val="NoSpacing"/>
                            <w:rPr>
                              <w:rFonts w:asciiTheme="majorHAnsi" w:eastAsiaTheme="majorEastAsia" w:hAnsiTheme="majorHAnsi" w:cstheme="majorBidi"/>
                              <w:b/>
                              <w:caps/>
                              <w:color w:val="8496B0" w:themeColor="text2" w:themeTint="99"/>
                              <w:sz w:val="72"/>
                              <w:szCs w:val="72"/>
                            </w:rPr>
                          </w:pPr>
                          <w:r w:rsidRPr="004B62FD">
                            <w:rPr>
                              <w:rFonts w:asciiTheme="majorHAnsi" w:eastAsiaTheme="majorEastAsia" w:hAnsiTheme="majorHAnsi" w:cstheme="majorBidi"/>
                              <w:b/>
                              <w:caps/>
                              <w:color w:val="8496B0" w:themeColor="text2" w:themeTint="99"/>
                              <w:sz w:val="56"/>
                              <w:szCs w:val="72"/>
                            </w:rPr>
                            <w:t>The gambia Draft National Development Plan (2018-2021)</w:t>
                          </w:r>
                        </w:p>
                      </w:sdtContent>
                    </w:sdt>
                    <w:p w:rsidR="00FD4AC6" w:rsidRDefault="00FD4AC6"/>
                  </w:txbxContent>
                </v:textbox>
                <w10:wrap anchorx="page" anchory="margin"/>
              </v:shape>
            </w:pict>
          </w:r>
          <w:r w:rsidRPr="00B06331">
            <w:rPr>
              <w:noProof/>
              <w:color w:val="4472C4" w:themeColor="accent1"/>
              <w:sz w:val="36"/>
              <w:szCs w:val="36"/>
            </w:rPr>
            <w:pict>
              <v:group id="Group 2" o:spid="_x0000_s1051" style="position:absolute;margin-left:0;margin-top:0;width:432.05pt;height:448.25pt;z-index:-2516572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p>
        <w:p w:rsidR="00B06331" w:rsidRPr="00B06331" w:rsidRDefault="00965AD2" w:rsidP="00FD4AC6">
          <w:pPr>
            <w:tabs>
              <w:tab w:val="right" w:pos="9360"/>
            </w:tabs>
            <w:spacing w:after="160" w:line="259" w:lineRule="auto"/>
            <w:rPr>
              <w:rFonts w:ascii="Cambria" w:eastAsia="MS Gothic" w:hAnsi="Cambria"/>
              <w:b/>
              <w:color w:val="365F91"/>
              <w:sz w:val="24"/>
              <w:szCs w:val="24"/>
            </w:rPr>
          </w:pPr>
          <w:r w:rsidRPr="00B06331">
            <w:rPr>
              <w:noProof/>
            </w:rPr>
            <w:pict>
              <v:shape id="Text Box 69" o:spid="_x0000_s1050" type="#_x0000_t202" style="position:absolute;margin-left:845.2pt;margin-top:604.2pt;width:468.2pt;height:62.25pt;z-index:251658240;visibility:visible;mso-width-percent:765;mso-position-horizontal:right;mso-position-horizontal-relative:margin;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" filled="f" stroked="f" strokeweight=".5pt">
                <v:path arrowok="t"/>
                <v:textbox style="mso-next-textbox:#Text Box 69;mso-fit-shape-to-text:t" inset="0,0,0,0">
                  <w:txbxContent>
                    <w:p w:rsidR="00FD4AC6" w:rsidRPr="000732BC" w:rsidRDefault="00965AD2">
                      <w:pPr>
                        <w:pStyle w:val="NoSpacing"/>
                        <w:jc w:val="right"/>
                        <w:rPr>
                          <w:color w:val="4472C4" w:themeColor="accent1"/>
                          <w:sz w:val="36"/>
                          <w:szCs w:val="36"/>
                        </w:rPr>
                      </w:pPr>
                      <w:sdt>
                        <w:sdtPr>
                          <w:rPr>
                            <w:b/>
                            <w:color w:val="4472C4" w:themeColor="accent1"/>
                            <w:sz w:val="32"/>
                            <w:szCs w:val="36"/>
                          </w:rPr>
                          <w:alias w:val="School"/>
                          <w:tag w:val="School"/>
                          <w:id w:val="7900736"/>
                          <w:dataBinding w:prefixMappings="xmlns:ns0='http://schemas.openxmlformats.org/officeDocument/2006/extended-properties' " w:xpath="/ns0:Properties[1]/ns0:Company[1]" w:storeItemID="{6668398D-A668-4E3E-A5EB-62B293D839F1}"/>
                          <w:text/>
                        </w:sdtPr>
                        <w:sdtContent>
                          <w:r w:rsidR="00FD4AC6" w:rsidRPr="000732BC">
                            <w:rPr>
                              <w:b/>
                              <w:color w:val="4472C4" w:themeColor="accent1"/>
                              <w:sz w:val="32"/>
                              <w:szCs w:val="36"/>
                            </w:rPr>
                            <w:t>Ministry of Finance and Economic Affairs</w:t>
                          </w:r>
                        </w:sdtContent>
                      </w:sdt>
                    </w:p>
                    <w:sdt>
                      <w:sdtPr>
                        <w:rPr>
                          <w:color w:val="4472C4" w:themeColor="accent1"/>
                          <w:sz w:val="36"/>
                          <w:szCs w:val="36"/>
                        </w:rPr>
                        <w:alias w:val="Course"/>
                        <w:tag w:val="Course"/>
                        <w:id w:val="7900737"/>
                        <w:showingPlcHdr/>
                        <w:dataBinding w:prefixMappings="xmlns:ns0='http://purl.org/dc/elements/1.1/' xmlns:ns1='http://schemas.openxmlformats.org/package/2006/metadata/core-properties' " w:xpath="/ns1:coreProperties[1]/ns1:category[1]" w:storeItemID="{6C3C8BC8-F283-45AE-878A-BAB7291924A1}"/>
                        <w:text/>
                      </w:sdtPr>
                      <w:sdtContent>
                        <w:p w:rsidR="00FD4AC6" w:rsidRDefault="00B06331">
                          <w:pPr>
                            <w:pStyle w:val="NoSpacing"/>
                            <w:jc w:val="right"/>
                            <w:rPr>
                              <w:color w:val="4472C4" w:themeColor="accent1"/>
                              <w:sz w:val="36"/>
                              <w:szCs w:val="36"/>
                            </w:rPr>
                          </w:pPr>
                          <w:r>
                            <w:rPr>
                              <w:color w:val="4472C4" w:themeColor="accent1"/>
                              <w:sz w:val="36"/>
                              <w:szCs w:val="36"/>
                            </w:rPr>
                            <w:t xml:space="preserve">     </w:t>
                          </w:r>
                        </w:p>
                      </w:sdtContent>
                    </w:sdt>
                  </w:txbxContent>
                </v:textbox>
                <w10:wrap anchorx="margin" anchory="margin"/>
              </v:shape>
            </w:pict>
          </w:r>
        </w:p>
        <w:p w:rsidR="00B06331" w:rsidRPr="00B06331" w:rsidRDefault="00B06331" w:rsidP="00B06331">
          <w:pPr>
            <w:rPr>
              <w:rFonts w:ascii="Cambria" w:eastAsia="MS Gothic" w:hAnsi="Cambria"/>
              <w:sz w:val="24"/>
              <w:szCs w:val="24"/>
            </w:rPr>
          </w:pPr>
        </w:p>
        <w:p w:rsidR="00B06331" w:rsidRPr="00B06331" w:rsidRDefault="00B06331" w:rsidP="00B06331">
          <w:pPr>
            <w:rPr>
              <w:rFonts w:ascii="Cambria" w:eastAsia="MS Gothic" w:hAnsi="Cambria"/>
              <w:sz w:val="24"/>
              <w:szCs w:val="24"/>
            </w:rPr>
          </w:pPr>
        </w:p>
        <w:p w:rsidR="00B06331" w:rsidRPr="00B06331" w:rsidRDefault="00B06331" w:rsidP="00FD4AC6">
          <w:pPr>
            <w:tabs>
              <w:tab w:val="right" w:pos="9360"/>
            </w:tabs>
            <w:spacing w:after="160" w:line="259" w:lineRule="auto"/>
            <w:rPr>
              <w:rFonts w:ascii="Cambria" w:eastAsia="MS Gothic" w:hAnsi="Cambria"/>
              <w:sz w:val="24"/>
              <w:szCs w:val="24"/>
            </w:rPr>
          </w:pPr>
        </w:p>
        <w:p w:rsidR="00B06331" w:rsidRPr="00B06331" w:rsidRDefault="00B06331" w:rsidP="00FD4AC6">
          <w:pPr>
            <w:tabs>
              <w:tab w:val="right" w:pos="9360"/>
            </w:tabs>
            <w:spacing w:after="160" w:line="259" w:lineRule="auto"/>
            <w:rPr>
              <w:rFonts w:ascii="Cambria" w:eastAsia="MS Gothic" w:hAnsi="Cambria"/>
              <w:sz w:val="24"/>
              <w:szCs w:val="24"/>
            </w:rPr>
          </w:pPr>
          <w:r w:rsidRPr="00B06331">
            <w:rPr>
              <w:rFonts w:ascii="Candara" w:hAnsi="Candara"/>
              <w:noProof/>
            </w:rPr>
            <w:drawing>
              <wp:inline distT="0" distB="0" distL="0" distR="0">
                <wp:extent cx="1133475" cy="752475"/>
                <wp:effectExtent l="19050" t="0" r="9525" b="0"/>
                <wp:docPr id="25" name="Picture 7" descr="Description: File:Flag of The Gamb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le:Flag of The Gambia.svg"/>
                        <pic:cNvPicPr>
                          <a:picLocks noChangeAspect="1" noChangeArrowheads="1"/>
                        </pic:cNvPicPr>
                      </pic:nvPicPr>
                      <pic:blipFill>
                        <a:blip r:embed="rId8"/>
                        <a:srcRect/>
                        <a:stretch>
                          <a:fillRect/>
                        </a:stretch>
                      </pic:blipFill>
                      <pic:spPr bwMode="auto">
                        <a:xfrm>
                          <a:off x="0" y="0"/>
                          <a:ext cx="1133475" cy="752475"/>
                        </a:xfrm>
                        <a:prstGeom prst="rect">
                          <a:avLst/>
                        </a:prstGeom>
                        <a:noFill/>
                        <a:ln w="9525">
                          <a:noFill/>
                          <a:miter lim="800000"/>
                          <a:headEnd/>
                          <a:tailEnd/>
                        </a:ln>
                      </pic:spPr>
                    </pic:pic>
                  </a:graphicData>
                </a:graphic>
              </wp:inline>
            </w:drawing>
          </w:r>
          <w:r w:rsidRPr="00B06331">
            <w:rPr>
              <w:rFonts w:ascii="Cambria" w:eastAsia="MS Gothic" w:hAnsi="Cambria"/>
              <w:sz w:val="24"/>
              <w:szCs w:val="24"/>
            </w:rPr>
            <w:t xml:space="preserve">   </w:t>
          </w:r>
        </w:p>
        <w:p w:rsidR="004B62FD" w:rsidRPr="00B06331" w:rsidRDefault="00B06331" w:rsidP="00FD4AC6">
          <w:pPr>
            <w:tabs>
              <w:tab w:val="right" w:pos="9360"/>
            </w:tabs>
            <w:spacing w:after="160" w:line="259" w:lineRule="auto"/>
            <w:rPr>
              <w:rFonts w:ascii="Cambria" w:eastAsia="MS Gothic" w:hAnsi="Cambria"/>
              <w:b/>
              <w:color w:val="365F91"/>
              <w:sz w:val="24"/>
              <w:szCs w:val="24"/>
            </w:rPr>
          </w:pPr>
          <w:r w:rsidRPr="00B06331">
            <w:rPr>
              <w:rFonts w:ascii="Cambria" w:eastAsia="MS Gothic" w:hAnsi="Cambria"/>
              <w:noProof/>
              <w:sz w:val="24"/>
              <w:szCs w:val="24"/>
            </w:rPr>
            <w:drawing>
              <wp:anchor distT="0" distB="0" distL="114300" distR="114300" simplePos="0" relativeHeight="251664384" behindDoc="0" locked="0" layoutInCell="1" allowOverlap="1">
                <wp:simplePos x="0" y="0"/>
                <wp:positionH relativeFrom="margin">
                  <wp:posOffset>1781175</wp:posOffset>
                </wp:positionH>
                <wp:positionV relativeFrom="paragraph">
                  <wp:posOffset>20320</wp:posOffset>
                </wp:positionV>
                <wp:extent cx="4391025" cy="5848350"/>
                <wp:effectExtent l="19050" t="0" r="9525" b="0"/>
                <wp:wrapSquare wrapText="bothSides"/>
                <wp:docPr id="29" name="Picture 16" descr="Description: C:\Users\pgaku\AppData\Local\Packages\Microsoft.Windows.Photos_8wekyb3d8bbwe\TempState\ShareCache\20160715_193553783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pgaku\AppData\Local\Packages\Microsoft.Windows.Photos_8wekyb3d8bbwe\TempState\ShareCache\20160715_193553783_iOS.jpg"/>
                        <pic:cNvPicPr>
                          <a:picLocks noChangeAspect="1" noChangeArrowheads="1"/>
                        </pic:cNvPicPr>
                      </pic:nvPicPr>
                      <pic:blipFill>
                        <a:blip r:embed="rId9"/>
                        <a:srcRect/>
                        <a:stretch>
                          <a:fillRect/>
                        </a:stretch>
                      </pic:blipFill>
                      <pic:spPr bwMode="auto">
                        <a:xfrm>
                          <a:off x="0" y="0"/>
                          <a:ext cx="4391025" cy="5848350"/>
                        </a:xfrm>
                        <a:prstGeom prst="rect">
                          <a:avLst/>
                        </a:prstGeom>
                        <a:noFill/>
                        <a:ln w="9525">
                          <a:noFill/>
                          <a:miter lim="800000"/>
                          <a:headEnd/>
                          <a:tailEnd/>
                        </a:ln>
                      </pic:spPr>
                    </pic:pic>
                  </a:graphicData>
                </a:graphic>
              </wp:anchor>
            </w:drawing>
          </w:r>
          <w:r w:rsidR="004B62FD" w:rsidRPr="00B06331">
            <w:rPr>
              <w:rFonts w:ascii="Cambria" w:eastAsia="MS Gothic" w:hAnsi="Cambria"/>
              <w:sz w:val="24"/>
              <w:szCs w:val="24"/>
            </w:rPr>
            <w:br w:type="page"/>
          </w:r>
          <w:r w:rsidR="00FD4AC6" w:rsidRPr="00B06331">
            <w:rPr>
              <w:rFonts w:ascii="Cambria" w:eastAsia="MS Gothic" w:hAnsi="Cambria"/>
              <w:b/>
              <w:color w:val="365F91"/>
              <w:sz w:val="24"/>
              <w:szCs w:val="24"/>
            </w:rPr>
            <w:lastRenderedPageBreak/>
            <w:tab/>
          </w:r>
        </w:p>
      </w:sdtContent>
    </w:sdt>
    <w:sdt>
      <w:sdtPr>
        <w:rPr>
          <w:rFonts w:ascii="Calibri" w:eastAsia="Calibri" w:hAnsi="Calibri"/>
          <w:b/>
          <w:color w:val="auto"/>
          <w:sz w:val="18"/>
          <w:szCs w:val="22"/>
        </w:rPr>
        <w:id w:val="-2094694799"/>
        <w:docPartObj>
          <w:docPartGallery w:val="Table of Contents"/>
          <w:docPartUnique/>
        </w:docPartObj>
      </w:sdtPr>
      <w:sdtEndPr>
        <w:rPr>
          <w:bCs/>
          <w:noProof/>
          <w:sz w:val="22"/>
        </w:rPr>
      </w:sdtEndPr>
      <w:sdtContent>
        <w:p w:rsidR="009931CE" w:rsidRPr="00B06331" w:rsidRDefault="009931CE" w:rsidP="009931CE">
          <w:pPr>
            <w:pStyle w:val="TOCHeading"/>
            <w:jc w:val="center"/>
            <w:rPr>
              <w:b/>
              <w:sz w:val="24"/>
            </w:rPr>
          </w:pPr>
          <w:r w:rsidRPr="00B06331">
            <w:rPr>
              <w:b/>
              <w:sz w:val="24"/>
            </w:rPr>
            <w:t>Table of Contents</w:t>
          </w:r>
        </w:p>
        <w:p w:rsidR="009931CE" w:rsidRPr="00B06331" w:rsidRDefault="009931CE" w:rsidP="009931CE"/>
        <w:p w:rsidR="00CC74B9" w:rsidRPr="00B06331" w:rsidRDefault="00965AD2">
          <w:pPr>
            <w:pStyle w:val="TOC1"/>
            <w:rPr>
              <w:rFonts w:asciiTheme="minorHAnsi" w:eastAsiaTheme="minorEastAsia" w:hAnsiTheme="minorHAnsi" w:cstheme="minorBidi"/>
              <w:color w:val="auto"/>
            </w:rPr>
          </w:pPr>
          <w:r w:rsidRPr="00B06331">
            <w:fldChar w:fldCharType="begin"/>
          </w:r>
          <w:r w:rsidR="009931CE" w:rsidRPr="00B06331">
            <w:instrText xml:space="preserve"> TOC \o "1-3" \h \z \u </w:instrText>
          </w:r>
          <w:r w:rsidRPr="00B06331">
            <w:fldChar w:fldCharType="separate"/>
          </w:r>
          <w:hyperlink w:anchor="_Toc492364714" w:history="1">
            <w:r w:rsidR="00CC74B9" w:rsidRPr="00B06331">
              <w:rPr>
                <w:rStyle w:val="Hyperlink"/>
                <w:rFonts w:cs="Calibri"/>
              </w:rPr>
              <w:t>Foreword by President of the Republic</w:t>
            </w:r>
            <w:r w:rsidR="00CC74B9" w:rsidRPr="00B06331">
              <w:rPr>
                <w:webHidden/>
              </w:rPr>
              <w:tab/>
            </w:r>
            <w:r w:rsidRPr="00B06331">
              <w:rPr>
                <w:webHidden/>
              </w:rPr>
              <w:fldChar w:fldCharType="begin"/>
            </w:r>
            <w:r w:rsidR="00CC74B9" w:rsidRPr="00B06331">
              <w:rPr>
                <w:webHidden/>
              </w:rPr>
              <w:instrText xml:space="preserve"> PAGEREF _Toc492364714 \h </w:instrText>
            </w:r>
            <w:r w:rsidRPr="00B06331">
              <w:rPr>
                <w:webHidden/>
              </w:rPr>
            </w:r>
            <w:r w:rsidRPr="00B06331">
              <w:rPr>
                <w:webHidden/>
              </w:rPr>
              <w:fldChar w:fldCharType="separate"/>
            </w:r>
            <w:r w:rsidR="00B06331">
              <w:rPr>
                <w:webHidden/>
              </w:rPr>
              <w:t>6</w:t>
            </w:r>
            <w:r w:rsidRPr="00B06331">
              <w:rPr>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15" w:history="1">
            <w:r w:rsidR="00CC74B9" w:rsidRPr="00B06331">
              <w:rPr>
                <w:rStyle w:val="Hyperlink"/>
                <w:rFonts w:cs="Calibri"/>
              </w:rPr>
              <w:t>Introduction by Minister of Finance and Economic Affairs</w:t>
            </w:r>
            <w:r w:rsidR="00CC74B9" w:rsidRPr="00B06331">
              <w:rPr>
                <w:webHidden/>
              </w:rPr>
              <w:tab/>
            </w:r>
            <w:r w:rsidRPr="00B06331">
              <w:rPr>
                <w:webHidden/>
              </w:rPr>
              <w:fldChar w:fldCharType="begin"/>
            </w:r>
            <w:r w:rsidR="00CC74B9" w:rsidRPr="00B06331">
              <w:rPr>
                <w:webHidden/>
              </w:rPr>
              <w:instrText xml:space="preserve"> PAGEREF _Toc492364715 \h </w:instrText>
            </w:r>
            <w:r w:rsidRPr="00B06331">
              <w:rPr>
                <w:webHidden/>
              </w:rPr>
            </w:r>
            <w:r w:rsidRPr="00B06331">
              <w:rPr>
                <w:webHidden/>
              </w:rPr>
              <w:fldChar w:fldCharType="separate"/>
            </w:r>
            <w:r w:rsidR="00B06331">
              <w:rPr>
                <w:webHidden/>
              </w:rPr>
              <w:t>7</w:t>
            </w:r>
            <w:r w:rsidRPr="00B06331">
              <w:rPr>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16" w:history="1">
            <w:r w:rsidR="00CC74B9" w:rsidRPr="00B06331">
              <w:rPr>
                <w:rStyle w:val="Hyperlink"/>
                <w:rFonts w:cs="Calibri"/>
              </w:rPr>
              <w:t>Executive Summary</w:t>
            </w:r>
            <w:r w:rsidR="00CC74B9" w:rsidRPr="00B06331">
              <w:rPr>
                <w:webHidden/>
              </w:rPr>
              <w:tab/>
            </w:r>
            <w:r w:rsidRPr="00B06331">
              <w:rPr>
                <w:webHidden/>
              </w:rPr>
              <w:fldChar w:fldCharType="begin"/>
            </w:r>
            <w:r w:rsidR="00CC74B9" w:rsidRPr="00B06331">
              <w:rPr>
                <w:webHidden/>
              </w:rPr>
              <w:instrText xml:space="preserve"> PAGEREF _Toc492364716 \h </w:instrText>
            </w:r>
            <w:r w:rsidRPr="00B06331">
              <w:rPr>
                <w:webHidden/>
              </w:rPr>
            </w:r>
            <w:r w:rsidRPr="00B06331">
              <w:rPr>
                <w:webHidden/>
              </w:rPr>
              <w:fldChar w:fldCharType="separate"/>
            </w:r>
            <w:r w:rsidR="00B06331">
              <w:rPr>
                <w:webHidden/>
              </w:rPr>
              <w:t>8</w:t>
            </w:r>
            <w:r w:rsidRPr="00B06331">
              <w:rPr>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17" w:history="1">
            <w:r w:rsidR="00CC74B9" w:rsidRPr="00B06331">
              <w:rPr>
                <w:rStyle w:val="Hyperlink"/>
              </w:rPr>
              <w:t>List of Acronyms</w:t>
            </w:r>
            <w:r w:rsidR="00CC74B9" w:rsidRPr="00B06331">
              <w:rPr>
                <w:webHidden/>
              </w:rPr>
              <w:tab/>
            </w:r>
            <w:r w:rsidRPr="00B06331">
              <w:rPr>
                <w:webHidden/>
              </w:rPr>
              <w:fldChar w:fldCharType="begin"/>
            </w:r>
            <w:r w:rsidR="00CC74B9" w:rsidRPr="00B06331">
              <w:rPr>
                <w:webHidden/>
              </w:rPr>
              <w:instrText xml:space="preserve"> PAGEREF _Toc492364717 \h </w:instrText>
            </w:r>
            <w:r w:rsidRPr="00B06331">
              <w:rPr>
                <w:webHidden/>
              </w:rPr>
            </w:r>
            <w:r w:rsidRPr="00B06331">
              <w:rPr>
                <w:webHidden/>
              </w:rPr>
              <w:fldChar w:fldCharType="separate"/>
            </w:r>
            <w:r w:rsidR="00B06331">
              <w:rPr>
                <w:webHidden/>
              </w:rPr>
              <w:t>9</w:t>
            </w:r>
            <w:r w:rsidRPr="00B06331">
              <w:rPr>
                <w:webHidden/>
              </w:rPr>
              <w:fldChar w:fldCharType="end"/>
            </w:r>
          </w:hyperlink>
        </w:p>
        <w:p w:rsidR="00CC74B9" w:rsidRPr="00B06331" w:rsidRDefault="00965AD2">
          <w:pPr>
            <w:pStyle w:val="TOC1"/>
            <w:rPr>
              <w:rFonts w:asciiTheme="minorHAnsi" w:eastAsiaTheme="minorEastAsia" w:hAnsiTheme="minorHAnsi" w:cstheme="minorBidi"/>
              <w:color w:val="auto"/>
            </w:rPr>
          </w:pPr>
          <w:hyperlink r:id="rId10" w:anchor="_Toc492364718" w:history="1">
            <w:r w:rsidR="00CC74B9" w:rsidRPr="00B06331">
              <w:rPr>
                <w:rStyle w:val="Hyperlink"/>
              </w:rPr>
              <w:t>PART I: Plan Context, Overview, and Situational Analysis</w:t>
            </w:r>
            <w:r w:rsidR="00CC74B9" w:rsidRPr="00B06331">
              <w:rPr>
                <w:webHidden/>
              </w:rPr>
              <w:tab/>
            </w:r>
            <w:r w:rsidRPr="00B06331">
              <w:rPr>
                <w:webHidden/>
              </w:rPr>
              <w:fldChar w:fldCharType="begin"/>
            </w:r>
            <w:r w:rsidR="00CC74B9" w:rsidRPr="00B06331">
              <w:rPr>
                <w:webHidden/>
              </w:rPr>
              <w:instrText xml:space="preserve"> PAGEREF _Toc492364718 \h </w:instrText>
            </w:r>
            <w:r w:rsidRPr="00B06331">
              <w:rPr>
                <w:webHidden/>
              </w:rPr>
            </w:r>
            <w:r w:rsidRPr="00B06331">
              <w:rPr>
                <w:webHidden/>
              </w:rPr>
              <w:fldChar w:fldCharType="separate"/>
            </w:r>
            <w:r w:rsidR="00B06331">
              <w:rPr>
                <w:webHidden/>
              </w:rPr>
              <w:t>16</w:t>
            </w:r>
            <w:r w:rsidRPr="00B06331">
              <w:rPr>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19" w:history="1">
            <w:r w:rsidR="00CC74B9" w:rsidRPr="00B06331">
              <w:rPr>
                <w:rStyle w:val="Hyperlink"/>
              </w:rPr>
              <w:t>Chapter 1: Plan Context and Overview</w:t>
            </w:r>
            <w:r w:rsidR="00CC74B9" w:rsidRPr="00B06331">
              <w:rPr>
                <w:webHidden/>
              </w:rPr>
              <w:tab/>
            </w:r>
            <w:r w:rsidRPr="00B06331">
              <w:rPr>
                <w:webHidden/>
              </w:rPr>
              <w:fldChar w:fldCharType="begin"/>
            </w:r>
            <w:r w:rsidR="00CC74B9" w:rsidRPr="00B06331">
              <w:rPr>
                <w:webHidden/>
              </w:rPr>
              <w:instrText xml:space="preserve"> PAGEREF _Toc492364719 \h </w:instrText>
            </w:r>
            <w:r w:rsidRPr="00B06331">
              <w:rPr>
                <w:webHidden/>
              </w:rPr>
            </w:r>
            <w:r w:rsidRPr="00B06331">
              <w:rPr>
                <w:webHidden/>
              </w:rPr>
              <w:fldChar w:fldCharType="separate"/>
            </w:r>
            <w:r w:rsidR="00B06331">
              <w:rPr>
                <w:webHidden/>
              </w:rPr>
              <w:t>17</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0" w:history="1">
            <w:r w:rsidR="00CC74B9" w:rsidRPr="00B06331">
              <w:rPr>
                <w:rStyle w:val="Hyperlink"/>
                <w:rFonts w:cs="Calibri"/>
                <w:noProof/>
              </w:rPr>
              <w:t>1.1 The Context</w:t>
            </w:r>
            <w:r w:rsidR="00CC74B9" w:rsidRPr="00B06331">
              <w:rPr>
                <w:noProof/>
                <w:webHidden/>
              </w:rPr>
              <w:tab/>
            </w:r>
            <w:r w:rsidRPr="00B06331">
              <w:rPr>
                <w:noProof/>
                <w:webHidden/>
              </w:rPr>
              <w:fldChar w:fldCharType="begin"/>
            </w:r>
            <w:r w:rsidR="00CC74B9" w:rsidRPr="00B06331">
              <w:rPr>
                <w:noProof/>
                <w:webHidden/>
              </w:rPr>
              <w:instrText xml:space="preserve"> PAGEREF _Toc492364720 \h </w:instrText>
            </w:r>
            <w:r w:rsidRPr="00B06331">
              <w:rPr>
                <w:noProof/>
                <w:webHidden/>
              </w:rPr>
            </w:r>
            <w:r w:rsidRPr="00B06331">
              <w:rPr>
                <w:noProof/>
                <w:webHidden/>
              </w:rPr>
              <w:fldChar w:fldCharType="separate"/>
            </w:r>
            <w:r w:rsidR="00B06331">
              <w:rPr>
                <w:noProof/>
                <w:webHidden/>
              </w:rPr>
              <w:t>17</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1" w:history="1">
            <w:r w:rsidR="00CC74B9" w:rsidRPr="00B06331">
              <w:rPr>
                <w:rStyle w:val="Hyperlink"/>
                <w:rFonts w:ascii="Avenir Book" w:hAnsi="Avenir Book"/>
                <w:noProof/>
              </w:rPr>
              <w:t>1.2 Progress and Lessons from implementing the PAGE (2012-2015)</w:t>
            </w:r>
            <w:r w:rsidR="00CC74B9" w:rsidRPr="00B06331">
              <w:rPr>
                <w:noProof/>
                <w:webHidden/>
              </w:rPr>
              <w:tab/>
            </w:r>
            <w:r w:rsidRPr="00B06331">
              <w:rPr>
                <w:noProof/>
                <w:webHidden/>
              </w:rPr>
              <w:fldChar w:fldCharType="begin"/>
            </w:r>
            <w:r w:rsidR="00CC74B9" w:rsidRPr="00B06331">
              <w:rPr>
                <w:noProof/>
                <w:webHidden/>
              </w:rPr>
              <w:instrText xml:space="preserve"> PAGEREF _Toc492364721 \h </w:instrText>
            </w:r>
            <w:r w:rsidRPr="00B06331">
              <w:rPr>
                <w:noProof/>
                <w:webHidden/>
              </w:rPr>
            </w:r>
            <w:r w:rsidRPr="00B06331">
              <w:rPr>
                <w:noProof/>
                <w:webHidden/>
              </w:rPr>
              <w:fldChar w:fldCharType="separate"/>
            </w:r>
            <w:r w:rsidR="00B06331">
              <w:rPr>
                <w:noProof/>
                <w:webHidden/>
              </w:rPr>
              <w:t>20</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2" w:history="1">
            <w:r w:rsidR="00CC74B9" w:rsidRPr="00B06331">
              <w:rPr>
                <w:rStyle w:val="Hyperlink"/>
                <w:rFonts w:cs="Calibri"/>
                <w:noProof/>
              </w:rPr>
              <w:t>1.</w:t>
            </w:r>
            <w:r w:rsidR="00CC74B9" w:rsidRPr="00B06331">
              <w:rPr>
                <w:rStyle w:val="Hyperlink"/>
                <w:rFonts w:ascii="Avenir Book" w:hAnsi="Avenir Book"/>
                <w:noProof/>
              </w:rPr>
              <w:t>3 Plan Formulation Process</w:t>
            </w:r>
            <w:r w:rsidR="00CC74B9" w:rsidRPr="00B06331">
              <w:rPr>
                <w:noProof/>
                <w:webHidden/>
              </w:rPr>
              <w:tab/>
            </w:r>
            <w:r w:rsidRPr="00B06331">
              <w:rPr>
                <w:noProof/>
                <w:webHidden/>
              </w:rPr>
              <w:fldChar w:fldCharType="begin"/>
            </w:r>
            <w:r w:rsidR="00CC74B9" w:rsidRPr="00B06331">
              <w:rPr>
                <w:noProof/>
                <w:webHidden/>
              </w:rPr>
              <w:instrText xml:space="preserve"> PAGEREF _Toc492364722 \h </w:instrText>
            </w:r>
            <w:r w:rsidRPr="00B06331">
              <w:rPr>
                <w:noProof/>
                <w:webHidden/>
              </w:rPr>
            </w:r>
            <w:r w:rsidRPr="00B06331">
              <w:rPr>
                <w:noProof/>
                <w:webHidden/>
              </w:rPr>
              <w:fldChar w:fldCharType="separate"/>
            </w:r>
            <w:r w:rsidR="00B06331">
              <w:rPr>
                <w:noProof/>
                <w:webHidden/>
              </w:rPr>
              <w:t>21</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3" w:history="1">
            <w:r w:rsidR="00CC74B9" w:rsidRPr="00B06331">
              <w:rPr>
                <w:rStyle w:val="Hyperlink"/>
                <w:rFonts w:cstheme="minorHAnsi"/>
                <w:noProof/>
              </w:rPr>
              <w:t>1.4 The Vision &amp; Plan Framework</w:t>
            </w:r>
            <w:r w:rsidR="00CC74B9" w:rsidRPr="00B06331">
              <w:rPr>
                <w:noProof/>
                <w:webHidden/>
              </w:rPr>
              <w:tab/>
            </w:r>
            <w:r w:rsidRPr="00B06331">
              <w:rPr>
                <w:noProof/>
                <w:webHidden/>
              </w:rPr>
              <w:fldChar w:fldCharType="begin"/>
            </w:r>
            <w:r w:rsidR="00CC74B9" w:rsidRPr="00B06331">
              <w:rPr>
                <w:noProof/>
                <w:webHidden/>
              </w:rPr>
              <w:instrText xml:space="preserve"> PAGEREF _Toc492364723 \h </w:instrText>
            </w:r>
            <w:r w:rsidRPr="00B06331">
              <w:rPr>
                <w:noProof/>
                <w:webHidden/>
              </w:rPr>
            </w:r>
            <w:r w:rsidRPr="00B06331">
              <w:rPr>
                <w:noProof/>
                <w:webHidden/>
              </w:rPr>
              <w:fldChar w:fldCharType="separate"/>
            </w:r>
            <w:r w:rsidR="00B06331">
              <w:rPr>
                <w:noProof/>
                <w:webHidden/>
              </w:rPr>
              <w:t>23</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4" w:history="1">
            <w:r w:rsidR="00CC74B9" w:rsidRPr="00B06331">
              <w:rPr>
                <w:rStyle w:val="Hyperlink"/>
                <w:rFonts w:cs="Calibri"/>
                <w:noProof/>
              </w:rPr>
              <w:t>1.5 Structure of the Document</w:t>
            </w:r>
            <w:r w:rsidR="00CC74B9" w:rsidRPr="00B06331">
              <w:rPr>
                <w:noProof/>
                <w:webHidden/>
              </w:rPr>
              <w:tab/>
            </w:r>
            <w:r w:rsidRPr="00B06331">
              <w:rPr>
                <w:noProof/>
                <w:webHidden/>
              </w:rPr>
              <w:fldChar w:fldCharType="begin"/>
            </w:r>
            <w:r w:rsidR="00CC74B9" w:rsidRPr="00B06331">
              <w:rPr>
                <w:noProof/>
                <w:webHidden/>
              </w:rPr>
              <w:instrText xml:space="preserve"> PAGEREF _Toc492364724 \h </w:instrText>
            </w:r>
            <w:r w:rsidRPr="00B06331">
              <w:rPr>
                <w:noProof/>
                <w:webHidden/>
              </w:rPr>
            </w:r>
            <w:r w:rsidRPr="00B06331">
              <w:rPr>
                <w:noProof/>
                <w:webHidden/>
              </w:rPr>
              <w:fldChar w:fldCharType="separate"/>
            </w:r>
            <w:r w:rsidR="00B06331">
              <w:rPr>
                <w:noProof/>
                <w:webHidden/>
              </w:rPr>
              <w:t>23</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25" w:history="1">
            <w:r w:rsidR="00CC74B9" w:rsidRPr="00B06331">
              <w:rPr>
                <w:rStyle w:val="Hyperlink"/>
              </w:rPr>
              <w:t>Chapter 2: Country Overview and Political Governance</w:t>
            </w:r>
            <w:r w:rsidR="00CC74B9" w:rsidRPr="00B06331">
              <w:rPr>
                <w:webHidden/>
              </w:rPr>
              <w:tab/>
            </w:r>
            <w:r w:rsidRPr="00B06331">
              <w:rPr>
                <w:webHidden/>
              </w:rPr>
              <w:fldChar w:fldCharType="begin"/>
            </w:r>
            <w:r w:rsidR="00CC74B9" w:rsidRPr="00B06331">
              <w:rPr>
                <w:webHidden/>
              </w:rPr>
              <w:instrText xml:space="preserve"> PAGEREF _Toc492364725 \h </w:instrText>
            </w:r>
            <w:r w:rsidRPr="00B06331">
              <w:rPr>
                <w:webHidden/>
              </w:rPr>
            </w:r>
            <w:r w:rsidRPr="00B06331">
              <w:rPr>
                <w:webHidden/>
              </w:rPr>
              <w:fldChar w:fldCharType="separate"/>
            </w:r>
            <w:r w:rsidR="00B06331">
              <w:rPr>
                <w:webHidden/>
              </w:rPr>
              <w:t>25</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6" w:history="1">
            <w:r w:rsidR="00CC74B9" w:rsidRPr="00B06331">
              <w:rPr>
                <w:rStyle w:val="Hyperlink"/>
                <w:rFonts w:ascii="Avenir Book" w:hAnsi="Avenir Book"/>
                <w:noProof/>
              </w:rPr>
              <w:t>2.1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_Toc492364726 \h </w:instrText>
            </w:r>
            <w:r w:rsidRPr="00B06331">
              <w:rPr>
                <w:noProof/>
                <w:webHidden/>
              </w:rPr>
            </w:r>
            <w:r w:rsidRPr="00B06331">
              <w:rPr>
                <w:noProof/>
                <w:webHidden/>
              </w:rPr>
              <w:fldChar w:fldCharType="separate"/>
            </w:r>
            <w:r w:rsidR="00B06331">
              <w:rPr>
                <w:noProof/>
                <w:webHidden/>
              </w:rPr>
              <w:t>25</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7" w:history="1">
            <w:r w:rsidR="00CC74B9" w:rsidRPr="00B06331">
              <w:rPr>
                <w:rStyle w:val="Hyperlink"/>
                <w:rFonts w:ascii="Avenir Book" w:hAnsi="Avenir Book"/>
                <w:noProof/>
              </w:rPr>
              <w:t>2.2 The Gambia – a Country Overview</w:t>
            </w:r>
            <w:r w:rsidR="00CC74B9" w:rsidRPr="00B06331">
              <w:rPr>
                <w:noProof/>
                <w:webHidden/>
              </w:rPr>
              <w:tab/>
            </w:r>
            <w:r w:rsidRPr="00B06331">
              <w:rPr>
                <w:noProof/>
                <w:webHidden/>
              </w:rPr>
              <w:fldChar w:fldCharType="begin"/>
            </w:r>
            <w:r w:rsidR="00CC74B9" w:rsidRPr="00B06331">
              <w:rPr>
                <w:noProof/>
                <w:webHidden/>
              </w:rPr>
              <w:instrText xml:space="preserve"> PAGEREF _Toc492364727 \h </w:instrText>
            </w:r>
            <w:r w:rsidRPr="00B06331">
              <w:rPr>
                <w:noProof/>
                <w:webHidden/>
              </w:rPr>
            </w:r>
            <w:r w:rsidRPr="00B06331">
              <w:rPr>
                <w:noProof/>
                <w:webHidden/>
              </w:rPr>
              <w:fldChar w:fldCharType="separate"/>
            </w:r>
            <w:r w:rsidR="00B06331">
              <w:rPr>
                <w:noProof/>
                <w:webHidden/>
              </w:rPr>
              <w:t>25</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28" w:history="1">
            <w:r w:rsidR="00CC74B9" w:rsidRPr="00B06331">
              <w:rPr>
                <w:rStyle w:val="Hyperlink"/>
                <w:rFonts w:cs="Calibri"/>
                <w:noProof/>
              </w:rPr>
              <w:t>2.3 Political Governance</w:t>
            </w:r>
            <w:r w:rsidR="00CC74B9" w:rsidRPr="00B06331">
              <w:rPr>
                <w:noProof/>
                <w:webHidden/>
              </w:rPr>
              <w:tab/>
            </w:r>
            <w:r w:rsidRPr="00B06331">
              <w:rPr>
                <w:noProof/>
                <w:webHidden/>
              </w:rPr>
              <w:fldChar w:fldCharType="begin"/>
            </w:r>
            <w:r w:rsidR="00CC74B9" w:rsidRPr="00B06331">
              <w:rPr>
                <w:noProof/>
                <w:webHidden/>
              </w:rPr>
              <w:instrText xml:space="preserve"> PAGEREF _Toc492364728 \h </w:instrText>
            </w:r>
            <w:r w:rsidRPr="00B06331">
              <w:rPr>
                <w:noProof/>
                <w:webHidden/>
              </w:rPr>
            </w:r>
            <w:r w:rsidRPr="00B06331">
              <w:rPr>
                <w:noProof/>
                <w:webHidden/>
              </w:rPr>
              <w:fldChar w:fldCharType="separate"/>
            </w:r>
            <w:r w:rsidR="00B06331">
              <w:rPr>
                <w:noProof/>
                <w:webHidden/>
              </w:rPr>
              <w:t>25</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29" w:history="1">
            <w:r w:rsidR="00CC74B9" w:rsidRPr="00B06331">
              <w:rPr>
                <w:rStyle w:val="Hyperlink"/>
                <w:rFonts w:cstheme="minorHAnsi"/>
                <w:noProof/>
              </w:rPr>
              <w:t>2.3.1 Governance</w:t>
            </w:r>
            <w:r w:rsidR="00CC74B9" w:rsidRPr="00B06331">
              <w:rPr>
                <w:noProof/>
                <w:webHidden/>
              </w:rPr>
              <w:tab/>
            </w:r>
            <w:r w:rsidRPr="00B06331">
              <w:rPr>
                <w:noProof/>
                <w:webHidden/>
              </w:rPr>
              <w:fldChar w:fldCharType="begin"/>
            </w:r>
            <w:r w:rsidR="00CC74B9" w:rsidRPr="00B06331">
              <w:rPr>
                <w:noProof/>
                <w:webHidden/>
              </w:rPr>
              <w:instrText xml:space="preserve"> PAGEREF _Toc492364729 \h </w:instrText>
            </w:r>
            <w:r w:rsidRPr="00B06331">
              <w:rPr>
                <w:noProof/>
                <w:webHidden/>
              </w:rPr>
            </w:r>
            <w:r w:rsidRPr="00B06331">
              <w:rPr>
                <w:noProof/>
                <w:webHidden/>
              </w:rPr>
              <w:fldChar w:fldCharType="separate"/>
            </w:r>
            <w:r w:rsidR="00B06331">
              <w:rPr>
                <w:noProof/>
                <w:webHidden/>
              </w:rPr>
              <w:t>25</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30" w:history="1">
            <w:r w:rsidR="00CC74B9" w:rsidRPr="00B06331">
              <w:rPr>
                <w:rStyle w:val="Hyperlink"/>
                <w:rFonts w:cstheme="minorHAnsi"/>
                <w:noProof/>
              </w:rPr>
              <w:t>2.3.2 Public Sector Institutions</w:t>
            </w:r>
            <w:r w:rsidR="00CC74B9" w:rsidRPr="00B06331">
              <w:rPr>
                <w:noProof/>
                <w:webHidden/>
              </w:rPr>
              <w:tab/>
            </w:r>
            <w:r w:rsidRPr="00B06331">
              <w:rPr>
                <w:noProof/>
                <w:webHidden/>
              </w:rPr>
              <w:fldChar w:fldCharType="begin"/>
            </w:r>
            <w:r w:rsidR="00CC74B9" w:rsidRPr="00B06331">
              <w:rPr>
                <w:noProof/>
                <w:webHidden/>
              </w:rPr>
              <w:instrText xml:space="preserve"> PAGEREF _Toc492364730 \h </w:instrText>
            </w:r>
            <w:r w:rsidRPr="00B06331">
              <w:rPr>
                <w:noProof/>
                <w:webHidden/>
              </w:rPr>
            </w:r>
            <w:r w:rsidRPr="00B06331">
              <w:rPr>
                <w:noProof/>
                <w:webHidden/>
              </w:rPr>
              <w:fldChar w:fldCharType="separate"/>
            </w:r>
            <w:r w:rsidR="00B06331">
              <w:rPr>
                <w:noProof/>
                <w:webHidden/>
              </w:rPr>
              <w:t>27</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31" w:history="1">
            <w:r w:rsidR="00CC74B9" w:rsidRPr="00B06331">
              <w:rPr>
                <w:rStyle w:val="Hyperlink"/>
              </w:rPr>
              <w:t>Chapter 3:  Overview of the Economy</w:t>
            </w:r>
            <w:r w:rsidR="00CC74B9" w:rsidRPr="00B06331">
              <w:rPr>
                <w:webHidden/>
              </w:rPr>
              <w:tab/>
            </w:r>
            <w:r w:rsidRPr="00B06331">
              <w:rPr>
                <w:webHidden/>
              </w:rPr>
              <w:fldChar w:fldCharType="begin"/>
            </w:r>
            <w:r w:rsidR="00CC74B9" w:rsidRPr="00B06331">
              <w:rPr>
                <w:webHidden/>
              </w:rPr>
              <w:instrText xml:space="preserve"> PAGEREF _Toc492364731 \h </w:instrText>
            </w:r>
            <w:r w:rsidRPr="00B06331">
              <w:rPr>
                <w:webHidden/>
              </w:rPr>
            </w:r>
            <w:r w:rsidRPr="00B06331">
              <w:rPr>
                <w:webHidden/>
              </w:rPr>
              <w:fldChar w:fldCharType="separate"/>
            </w:r>
            <w:r w:rsidR="00B06331">
              <w:rPr>
                <w:webHidden/>
              </w:rPr>
              <w:t>30</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32" w:history="1">
            <w:r w:rsidR="00CC74B9" w:rsidRPr="00B06331">
              <w:rPr>
                <w:rStyle w:val="Hyperlink"/>
                <w:rFonts w:cstheme="minorHAnsi"/>
                <w:noProof/>
              </w:rPr>
              <w:t>3.1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_Toc492364732 \h </w:instrText>
            </w:r>
            <w:r w:rsidRPr="00B06331">
              <w:rPr>
                <w:noProof/>
                <w:webHidden/>
              </w:rPr>
            </w:r>
            <w:r w:rsidRPr="00B06331">
              <w:rPr>
                <w:noProof/>
                <w:webHidden/>
              </w:rPr>
              <w:fldChar w:fldCharType="separate"/>
            </w:r>
            <w:r w:rsidR="00B06331">
              <w:rPr>
                <w:noProof/>
                <w:webHidden/>
              </w:rPr>
              <w:t>30</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33" w:history="1">
            <w:r w:rsidR="00CC74B9" w:rsidRPr="00B06331">
              <w:rPr>
                <w:rStyle w:val="Hyperlink"/>
                <w:rFonts w:cstheme="minorHAnsi"/>
                <w:noProof/>
              </w:rPr>
              <w:t>3.2 Macroeconomic Situation &amp; Economic Management</w:t>
            </w:r>
            <w:r w:rsidR="00CC74B9" w:rsidRPr="00B06331">
              <w:rPr>
                <w:noProof/>
                <w:webHidden/>
              </w:rPr>
              <w:tab/>
            </w:r>
            <w:r w:rsidRPr="00B06331">
              <w:rPr>
                <w:noProof/>
                <w:webHidden/>
              </w:rPr>
              <w:fldChar w:fldCharType="begin"/>
            </w:r>
            <w:r w:rsidR="00CC74B9" w:rsidRPr="00B06331">
              <w:rPr>
                <w:noProof/>
                <w:webHidden/>
              </w:rPr>
              <w:instrText xml:space="preserve"> PAGEREF _Toc492364733 \h </w:instrText>
            </w:r>
            <w:r w:rsidRPr="00B06331">
              <w:rPr>
                <w:noProof/>
                <w:webHidden/>
              </w:rPr>
            </w:r>
            <w:r w:rsidRPr="00B06331">
              <w:rPr>
                <w:noProof/>
                <w:webHidden/>
              </w:rPr>
              <w:fldChar w:fldCharType="separate"/>
            </w:r>
            <w:r w:rsidR="00B06331">
              <w:rPr>
                <w:noProof/>
                <w:webHidden/>
              </w:rPr>
              <w:t>30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34" w:history="1">
            <w:r w:rsidR="00CC74B9" w:rsidRPr="00B06331">
              <w:rPr>
                <w:rStyle w:val="Hyperlink"/>
                <w:rFonts w:cstheme="minorHAnsi"/>
                <w:noProof/>
              </w:rPr>
              <w:t>3.2.1 Overview and Recent Developments</w:t>
            </w:r>
            <w:r w:rsidR="00CC74B9" w:rsidRPr="00B06331">
              <w:rPr>
                <w:noProof/>
                <w:webHidden/>
              </w:rPr>
              <w:tab/>
            </w:r>
            <w:r w:rsidRPr="00B06331">
              <w:rPr>
                <w:noProof/>
                <w:webHidden/>
              </w:rPr>
              <w:fldChar w:fldCharType="begin"/>
            </w:r>
            <w:r w:rsidR="00CC74B9" w:rsidRPr="00B06331">
              <w:rPr>
                <w:noProof/>
                <w:webHidden/>
              </w:rPr>
              <w:instrText xml:space="preserve"> PAGEREF _Toc492364734 \h </w:instrText>
            </w:r>
            <w:r w:rsidRPr="00B06331">
              <w:rPr>
                <w:noProof/>
                <w:webHidden/>
              </w:rPr>
            </w:r>
            <w:r w:rsidRPr="00B06331">
              <w:rPr>
                <w:noProof/>
                <w:webHidden/>
              </w:rPr>
              <w:fldChar w:fldCharType="separate"/>
            </w:r>
            <w:r w:rsidR="00B06331">
              <w:rPr>
                <w:noProof/>
                <w:webHidden/>
              </w:rPr>
              <w:t>30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35" w:history="1">
            <w:r w:rsidR="00CC74B9" w:rsidRPr="00B06331">
              <w:rPr>
                <w:rStyle w:val="Hyperlink"/>
                <w:rFonts w:cstheme="minorHAnsi"/>
                <w:noProof/>
              </w:rPr>
              <w:t>3.2.2 Macroeconomic Outlook and Debt Sustainability</w:t>
            </w:r>
            <w:r w:rsidR="00CC74B9" w:rsidRPr="00B06331">
              <w:rPr>
                <w:noProof/>
                <w:webHidden/>
              </w:rPr>
              <w:tab/>
            </w:r>
            <w:r w:rsidRPr="00B06331">
              <w:rPr>
                <w:noProof/>
                <w:webHidden/>
              </w:rPr>
              <w:fldChar w:fldCharType="begin"/>
            </w:r>
            <w:r w:rsidR="00CC74B9" w:rsidRPr="00B06331">
              <w:rPr>
                <w:noProof/>
                <w:webHidden/>
              </w:rPr>
              <w:instrText xml:space="preserve"> PAGEREF _Toc492364735 \h </w:instrText>
            </w:r>
            <w:r w:rsidRPr="00B06331">
              <w:rPr>
                <w:noProof/>
                <w:webHidden/>
              </w:rPr>
            </w:r>
            <w:r w:rsidRPr="00B06331">
              <w:rPr>
                <w:noProof/>
                <w:webHidden/>
              </w:rPr>
              <w:fldChar w:fldCharType="separate"/>
            </w:r>
            <w:r w:rsidR="00B06331">
              <w:rPr>
                <w:noProof/>
                <w:webHidden/>
              </w:rPr>
              <w:t>36</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36" w:history="1">
            <w:r w:rsidR="00CC74B9" w:rsidRPr="00B06331">
              <w:rPr>
                <w:rStyle w:val="Hyperlink"/>
                <w:rFonts w:cstheme="minorHAnsi"/>
                <w:noProof/>
              </w:rPr>
              <w:t>3.2.3 State Owned Enterprises (SOEs) Reform</w:t>
            </w:r>
            <w:r w:rsidR="00CC74B9" w:rsidRPr="00B06331">
              <w:rPr>
                <w:noProof/>
                <w:webHidden/>
              </w:rPr>
              <w:tab/>
            </w:r>
            <w:r w:rsidRPr="00B06331">
              <w:rPr>
                <w:noProof/>
                <w:webHidden/>
              </w:rPr>
              <w:fldChar w:fldCharType="begin"/>
            </w:r>
            <w:r w:rsidR="00CC74B9" w:rsidRPr="00B06331">
              <w:rPr>
                <w:noProof/>
                <w:webHidden/>
              </w:rPr>
              <w:instrText xml:space="preserve"> PAGEREF _Toc492364736 \h </w:instrText>
            </w:r>
            <w:r w:rsidRPr="00B06331">
              <w:rPr>
                <w:noProof/>
                <w:webHidden/>
              </w:rPr>
            </w:r>
            <w:r w:rsidRPr="00B06331">
              <w:rPr>
                <w:noProof/>
                <w:webHidden/>
              </w:rPr>
              <w:fldChar w:fldCharType="separate"/>
            </w:r>
            <w:r w:rsidR="00B06331">
              <w:rPr>
                <w:noProof/>
                <w:webHidden/>
              </w:rPr>
              <w:t>40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37" w:history="1">
            <w:r w:rsidR="00CC74B9" w:rsidRPr="00B06331">
              <w:rPr>
                <w:rStyle w:val="Hyperlink"/>
                <w:rFonts w:cstheme="minorHAnsi"/>
                <w:noProof/>
              </w:rPr>
              <w:t>3.2.4 Public Finance Management (PFM) Reform</w:t>
            </w:r>
            <w:r w:rsidR="00CC74B9" w:rsidRPr="00B06331">
              <w:rPr>
                <w:noProof/>
                <w:webHidden/>
              </w:rPr>
              <w:tab/>
            </w:r>
            <w:r w:rsidRPr="00B06331">
              <w:rPr>
                <w:noProof/>
                <w:webHidden/>
              </w:rPr>
              <w:fldChar w:fldCharType="begin"/>
            </w:r>
            <w:r w:rsidR="00CC74B9" w:rsidRPr="00B06331">
              <w:rPr>
                <w:noProof/>
                <w:webHidden/>
              </w:rPr>
              <w:instrText xml:space="preserve"> PAGEREF _Toc492364737 \h </w:instrText>
            </w:r>
            <w:r w:rsidRPr="00B06331">
              <w:rPr>
                <w:noProof/>
                <w:webHidden/>
              </w:rPr>
            </w:r>
            <w:r w:rsidRPr="00B06331">
              <w:rPr>
                <w:noProof/>
                <w:webHidden/>
              </w:rPr>
              <w:fldChar w:fldCharType="separate"/>
            </w:r>
            <w:r w:rsidR="00B06331">
              <w:rPr>
                <w:noProof/>
                <w:webHidden/>
              </w:rPr>
              <w:t>44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38" w:history="1">
            <w:r w:rsidR="00CC74B9" w:rsidRPr="00B06331">
              <w:rPr>
                <w:rStyle w:val="Hyperlink"/>
                <w:rFonts w:cstheme="minorHAnsi"/>
                <w:noProof/>
              </w:rPr>
              <w:t>3.3 Agriculture and Fisheries</w:t>
            </w:r>
            <w:r w:rsidR="00CC74B9" w:rsidRPr="00B06331">
              <w:rPr>
                <w:noProof/>
                <w:webHidden/>
              </w:rPr>
              <w:tab/>
            </w:r>
            <w:r w:rsidRPr="00B06331">
              <w:rPr>
                <w:noProof/>
                <w:webHidden/>
              </w:rPr>
              <w:fldChar w:fldCharType="begin"/>
            </w:r>
            <w:r w:rsidR="00CC74B9" w:rsidRPr="00B06331">
              <w:rPr>
                <w:noProof/>
                <w:webHidden/>
              </w:rPr>
              <w:instrText xml:space="preserve"> PAGEREF _Toc492364738 \h </w:instrText>
            </w:r>
            <w:r w:rsidRPr="00B06331">
              <w:rPr>
                <w:noProof/>
                <w:webHidden/>
              </w:rPr>
            </w:r>
            <w:r w:rsidRPr="00B06331">
              <w:rPr>
                <w:noProof/>
                <w:webHidden/>
              </w:rPr>
              <w:fldChar w:fldCharType="separate"/>
            </w:r>
            <w:r w:rsidR="00B06331">
              <w:rPr>
                <w:noProof/>
                <w:webHidden/>
              </w:rPr>
              <w:t>44</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39" w:history="1">
            <w:r w:rsidR="00CC74B9" w:rsidRPr="00B06331">
              <w:rPr>
                <w:rStyle w:val="Hyperlink"/>
                <w:rFonts w:cstheme="minorHAnsi"/>
                <w:noProof/>
              </w:rPr>
              <w:t>3.3.1 Agriculture</w:t>
            </w:r>
            <w:r w:rsidR="00CC74B9" w:rsidRPr="00B06331">
              <w:rPr>
                <w:noProof/>
                <w:webHidden/>
              </w:rPr>
              <w:tab/>
            </w:r>
            <w:r w:rsidRPr="00B06331">
              <w:rPr>
                <w:noProof/>
                <w:webHidden/>
              </w:rPr>
              <w:fldChar w:fldCharType="begin"/>
            </w:r>
            <w:r w:rsidR="00CC74B9" w:rsidRPr="00B06331">
              <w:rPr>
                <w:noProof/>
                <w:webHidden/>
              </w:rPr>
              <w:instrText xml:space="preserve"> PAGEREF _Toc492364739 \h </w:instrText>
            </w:r>
            <w:r w:rsidRPr="00B06331">
              <w:rPr>
                <w:noProof/>
                <w:webHidden/>
              </w:rPr>
            </w:r>
            <w:r w:rsidRPr="00B06331">
              <w:rPr>
                <w:noProof/>
                <w:webHidden/>
              </w:rPr>
              <w:fldChar w:fldCharType="separate"/>
            </w:r>
            <w:r w:rsidR="00B06331">
              <w:rPr>
                <w:noProof/>
                <w:webHidden/>
              </w:rPr>
              <w:t>45</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0" w:history="1">
            <w:r w:rsidR="00CC74B9" w:rsidRPr="00B06331">
              <w:rPr>
                <w:rStyle w:val="Hyperlink"/>
                <w:rFonts w:cstheme="minorHAnsi"/>
                <w:noProof/>
              </w:rPr>
              <w:t>3.3.2 Fisheries</w:t>
            </w:r>
            <w:r w:rsidR="00CC74B9" w:rsidRPr="00B06331">
              <w:rPr>
                <w:noProof/>
                <w:webHidden/>
              </w:rPr>
              <w:tab/>
            </w:r>
            <w:r w:rsidRPr="00B06331">
              <w:rPr>
                <w:noProof/>
                <w:webHidden/>
              </w:rPr>
              <w:fldChar w:fldCharType="begin"/>
            </w:r>
            <w:r w:rsidR="00CC74B9" w:rsidRPr="00B06331">
              <w:rPr>
                <w:noProof/>
                <w:webHidden/>
              </w:rPr>
              <w:instrText xml:space="preserve"> PAGEREF _Toc492364740 \h </w:instrText>
            </w:r>
            <w:r w:rsidRPr="00B06331">
              <w:rPr>
                <w:noProof/>
                <w:webHidden/>
              </w:rPr>
            </w:r>
            <w:r w:rsidRPr="00B06331">
              <w:rPr>
                <w:noProof/>
                <w:webHidden/>
              </w:rPr>
              <w:fldChar w:fldCharType="separate"/>
            </w:r>
            <w:r w:rsidR="00B06331">
              <w:rPr>
                <w:noProof/>
                <w:webHidden/>
              </w:rPr>
              <w:t>52</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41" w:history="1">
            <w:r w:rsidR="00CC74B9" w:rsidRPr="00B06331">
              <w:rPr>
                <w:rStyle w:val="Hyperlink"/>
                <w:rFonts w:cstheme="minorHAnsi"/>
                <w:noProof/>
              </w:rPr>
              <w:t>3.5 Tourism &amp; Culture</w:t>
            </w:r>
            <w:r w:rsidR="00CC74B9" w:rsidRPr="00B06331">
              <w:rPr>
                <w:noProof/>
                <w:webHidden/>
              </w:rPr>
              <w:tab/>
            </w:r>
            <w:r w:rsidRPr="00B06331">
              <w:rPr>
                <w:noProof/>
                <w:webHidden/>
              </w:rPr>
              <w:fldChar w:fldCharType="begin"/>
            </w:r>
            <w:r w:rsidR="00CC74B9" w:rsidRPr="00B06331">
              <w:rPr>
                <w:noProof/>
                <w:webHidden/>
              </w:rPr>
              <w:instrText xml:space="preserve"> PAGEREF _Toc492364741 \h </w:instrText>
            </w:r>
            <w:r w:rsidRPr="00B06331">
              <w:rPr>
                <w:noProof/>
                <w:webHidden/>
              </w:rPr>
            </w:r>
            <w:r w:rsidRPr="00B06331">
              <w:rPr>
                <w:noProof/>
                <w:webHidden/>
              </w:rPr>
              <w:fldChar w:fldCharType="separate"/>
            </w:r>
            <w:r w:rsidR="00B06331">
              <w:rPr>
                <w:noProof/>
                <w:webHidden/>
              </w:rPr>
              <w:t>54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42" w:history="1">
            <w:r w:rsidR="00CC74B9" w:rsidRPr="00B06331">
              <w:rPr>
                <w:rStyle w:val="Hyperlink"/>
                <w:rFonts w:cstheme="minorHAnsi"/>
                <w:noProof/>
              </w:rPr>
              <w:t>3.6 Private Sector Development and Trade</w:t>
            </w:r>
            <w:r w:rsidR="00CC74B9" w:rsidRPr="00B06331">
              <w:rPr>
                <w:noProof/>
                <w:webHidden/>
              </w:rPr>
              <w:tab/>
            </w:r>
            <w:r w:rsidRPr="00B06331">
              <w:rPr>
                <w:noProof/>
                <w:webHidden/>
              </w:rPr>
              <w:fldChar w:fldCharType="begin"/>
            </w:r>
            <w:r w:rsidR="00CC74B9" w:rsidRPr="00B06331">
              <w:rPr>
                <w:noProof/>
                <w:webHidden/>
              </w:rPr>
              <w:instrText xml:space="preserve"> PAGEREF _Toc492364742 \h </w:instrText>
            </w:r>
            <w:r w:rsidRPr="00B06331">
              <w:rPr>
                <w:noProof/>
                <w:webHidden/>
              </w:rPr>
            </w:r>
            <w:r w:rsidRPr="00B06331">
              <w:rPr>
                <w:noProof/>
                <w:webHidden/>
              </w:rPr>
              <w:fldChar w:fldCharType="separate"/>
            </w:r>
            <w:r w:rsidR="00B06331">
              <w:rPr>
                <w:noProof/>
                <w:webHidden/>
              </w:rPr>
              <w:t>57</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3" w:history="1">
            <w:r w:rsidR="00CC74B9" w:rsidRPr="00B06331">
              <w:rPr>
                <w:rStyle w:val="Hyperlink"/>
                <w:rFonts w:cstheme="minorHAnsi"/>
                <w:noProof/>
              </w:rPr>
              <w:t>3.6.1 Private Sector Development</w:t>
            </w:r>
            <w:r w:rsidR="00CC74B9" w:rsidRPr="00B06331">
              <w:rPr>
                <w:noProof/>
                <w:webHidden/>
              </w:rPr>
              <w:tab/>
            </w:r>
            <w:r w:rsidRPr="00B06331">
              <w:rPr>
                <w:noProof/>
                <w:webHidden/>
              </w:rPr>
              <w:fldChar w:fldCharType="begin"/>
            </w:r>
            <w:r w:rsidR="00CC74B9" w:rsidRPr="00B06331">
              <w:rPr>
                <w:noProof/>
                <w:webHidden/>
              </w:rPr>
              <w:instrText xml:space="preserve"> PAGEREF _Toc492364743 \h </w:instrText>
            </w:r>
            <w:r w:rsidRPr="00B06331">
              <w:rPr>
                <w:noProof/>
                <w:webHidden/>
              </w:rPr>
            </w:r>
            <w:r w:rsidRPr="00B06331">
              <w:rPr>
                <w:noProof/>
                <w:webHidden/>
              </w:rPr>
              <w:fldChar w:fldCharType="separate"/>
            </w:r>
            <w:r w:rsidR="00B06331">
              <w:rPr>
                <w:noProof/>
                <w:webHidden/>
              </w:rPr>
              <w:t>57</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4" w:history="1">
            <w:r w:rsidR="00CC74B9" w:rsidRPr="00B06331">
              <w:rPr>
                <w:rStyle w:val="Hyperlink"/>
                <w:rFonts w:cstheme="minorHAnsi"/>
                <w:noProof/>
              </w:rPr>
              <w:t>3.6.2 Trade and Regional Integration</w:t>
            </w:r>
            <w:r w:rsidR="00CC74B9" w:rsidRPr="00B06331">
              <w:rPr>
                <w:noProof/>
                <w:webHidden/>
              </w:rPr>
              <w:tab/>
            </w:r>
            <w:r w:rsidRPr="00B06331">
              <w:rPr>
                <w:noProof/>
                <w:webHidden/>
              </w:rPr>
              <w:fldChar w:fldCharType="begin"/>
            </w:r>
            <w:r w:rsidR="00CC74B9" w:rsidRPr="00B06331">
              <w:rPr>
                <w:noProof/>
                <w:webHidden/>
              </w:rPr>
              <w:instrText xml:space="preserve"> PAGEREF _Toc492364744 \h </w:instrText>
            </w:r>
            <w:r w:rsidRPr="00B06331">
              <w:rPr>
                <w:noProof/>
                <w:webHidden/>
              </w:rPr>
            </w:r>
            <w:r w:rsidRPr="00B06331">
              <w:rPr>
                <w:noProof/>
                <w:webHidden/>
              </w:rPr>
              <w:fldChar w:fldCharType="separate"/>
            </w:r>
            <w:r w:rsidR="00B06331">
              <w:rPr>
                <w:noProof/>
                <w:webHidden/>
              </w:rPr>
              <w:t>60</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45" w:history="1">
            <w:r w:rsidR="00CC74B9" w:rsidRPr="00B06331">
              <w:rPr>
                <w:rStyle w:val="Hyperlink"/>
                <w:rFonts w:cstheme="minorHAnsi"/>
                <w:noProof/>
              </w:rPr>
              <w:t>3.8 Infrastructure and Energy</w:t>
            </w:r>
            <w:r w:rsidR="00CC74B9" w:rsidRPr="00B06331">
              <w:rPr>
                <w:noProof/>
                <w:webHidden/>
              </w:rPr>
              <w:tab/>
            </w:r>
            <w:r w:rsidRPr="00B06331">
              <w:rPr>
                <w:noProof/>
                <w:webHidden/>
              </w:rPr>
              <w:fldChar w:fldCharType="begin"/>
            </w:r>
            <w:r w:rsidR="00CC74B9" w:rsidRPr="00B06331">
              <w:rPr>
                <w:noProof/>
                <w:webHidden/>
              </w:rPr>
              <w:instrText xml:space="preserve"> PAGEREF _Toc492364745 \h </w:instrText>
            </w:r>
            <w:r w:rsidRPr="00B06331">
              <w:rPr>
                <w:noProof/>
                <w:webHidden/>
              </w:rPr>
            </w:r>
            <w:r w:rsidRPr="00B06331">
              <w:rPr>
                <w:noProof/>
                <w:webHidden/>
              </w:rPr>
              <w:fldChar w:fldCharType="separate"/>
            </w:r>
            <w:r w:rsidR="00B06331">
              <w:rPr>
                <w:noProof/>
                <w:webHidden/>
              </w:rPr>
              <w:t>63</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6" w:history="1">
            <w:r w:rsidR="00CC74B9" w:rsidRPr="00B06331">
              <w:rPr>
                <w:rStyle w:val="Hyperlink"/>
                <w:rFonts w:cstheme="minorHAnsi"/>
                <w:noProof/>
              </w:rPr>
              <w:t>3.8.1 Transport</w:t>
            </w:r>
            <w:r w:rsidR="00CC74B9" w:rsidRPr="00B06331">
              <w:rPr>
                <w:noProof/>
                <w:webHidden/>
              </w:rPr>
              <w:tab/>
            </w:r>
            <w:r w:rsidRPr="00B06331">
              <w:rPr>
                <w:noProof/>
                <w:webHidden/>
              </w:rPr>
              <w:fldChar w:fldCharType="begin"/>
            </w:r>
            <w:r w:rsidR="00CC74B9" w:rsidRPr="00B06331">
              <w:rPr>
                <w:noProof/>
                <w:webHidden/>
              </w:rPr>
              <w:instrText xml:space="preserve"> PAGEREF _Toc492364746 \h </w:instrText>
            </w:r>
            <w:r w:rsidRPr="00B06331">
              <w:rPr>
                <w:noProof/>
                <w:webHidden/>
              </w:rPr>
            </w:r>
            <w:r w:rsidRPr="00B06331">
              <w:rPr>
                <w:noProof/>
                <w:webHidden/>
              </w:rPr>
              <w:fldChar w:fldCharType="separate"/>
            </w:r>
            <w:r w:rsidR="00B06331">
              <w:rPr>
                <w:noProof/>
                <w:webHidden/>
              </w:rPr>
              <w:t>63</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7" w:history="1">
            <w:r w:rsidR="00CC74B9" w:rsidRPr="00B06331">
              <w:rPr>
                <w:rStyle w:val="Hyperlink"/>
                <w:rFonts w:cstheme="minorHAnsi"/>
                <w:noProof/>
              </w:rPr>
              <w:t>3.8.2 Information Communication Technology (ICT)</w:t>
            </w:r>
            <w:r w:rsidR="00CC74B9" w:rsidRPr="00B06331">
              <w:rPr>
                <w:noProof/>
                <w:webHidden/>
              </w:rPr>
              <w:tab/>
            </w:r>
            <w:r w:rsidRPr="00B06331">
              <w:rPr>
                <w:noProof/>
                <w:webHidden/>
              </w:rPr>
              <w:fldChar w:fldCharType="begin"/>
            </w:r>
            <w:r w:rsidR="00CC74B9" w:rsidRPr="00B06331">
              <w:rPr>
                <w:noProof/>
                <w:webHidden/>
              </w:rPr>
              <w:instrText xml:space="preserve"> PAGEREF _Toc492364747 \h </w:instrText>
            </w:r>
            <w:r w:rsidRPr="00B06331">
              <w:rPr>
                <w:noProof/>
                <w:webHidden/>
              </w:rPr>
            </w:r>
            <w:r w:rsidRPr="00B06331">
              <w:rPr>
                <w:noProof/>
                <w:webHidden/>
              </w:rPr>
              <w:fldChar w:fldCharType="separate"/>
            </w:r>
            <w:r w:rsidR="00B06331">
              <w:rPr>
                <w:noProof/>
                <w:webHidden/>
              </w:rPr>
              <w:t>69</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8" w:history="1">
            <w:r w:rsidR="00CC74B9" w:rsidRPr="00B06331">
              <w:rPr>
                <w:rStyle w:val="Hyperlink"/>
                <w:rFonts w:cstheme="minorHAnsi"/>
                <w:noProof/>
              </w:rPr>
              <w:t>3.8.3 Energy</w:t>
            </w:r>
            <w:r w:rsidR="00CC74B9" w:rsidRPr="00B06331">
              <w:rPr>
                <w:noProof/>
                <w:webHidden/>
              </w:rPr>
              <w:tab/>
            </w:r>
            <w:r w:rsidRPr="00B06331">
              <w:rPr>
                <w:noProof/>
                <w:webHidden/>
              </w:rPr>
              <w:fldChar w:fldCharType="begin"/>
            </w:r>
            <w:r w:rsidR="00CC74B9" w:rsidRPr="00B06331">
              <w:rPr>
                <w:noProof/>
                <w:webHidden/>
              </w:rPr>
              <w:instrText xml:space="preserve"> PAGEREF _Toc492364748 \h </w:instrText>
            </w:r>
            <w:r w:rsidRPr="00B06331">
              <w:rPr>
                <w:noProof/>
                <w:webHidden/>
              </w:rPr>
            </w:r>
            <w:r w:rsidRPr="00B06331">
              <w:rPr>
                <w:noProof/>
                <w:webHidden/>
              </w:rPr>
              <w:fldChar w:fldCharType="separate"/>
            </w:r>
            <w:r w:rsidR="00B06331">
              <w:rPr>
                <w:noProof/>
                <w:webHidden/>
              </w:rPr>
              <w:t>74</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49" w:history="1">
            <w:r w:rsidR="00CC74B9" w:rsidRPr="00B06331">
              <w:rPr>
                <w:rStyle w:val="Hyperlink"/>
                <w:rFonts w:cstheme="minorHAnsi"/>
                <w:noProof/>
              </w:rPr>
              <w:t>3.8.4 Public Private Partnerships (PPPs) for Infrastructural Development</w:t>
            </w:r>
            <w:r w:rsidR="00CC74B9" w:rsidRPr="00B06331">
              <w:rPr>
                <w:noProof/>
                <w:webHidden/>
              </w:rPr>
              <w:tab/>
            </w:r>
            <w:r w:rsidRPr="00B06331">
              <w:rPr>
                <w:noProof/>
                <w:webHidden/>
              </w:rPr>
              <w:fldChar w:fldCharType="begin"/>
            </w:r>
            <w:r w:rsidR="00CC74B9" w:rsidRPr="00B06331">
              <w:rPr>
                <w:noProof/>
                <w:webHidden/>
              </w:rPr>
              <w:instrText xml:space="preserve"> PAGEREF _Toc492364749 \h </w:instrText>
            </w:r>
            <w:r w:rsidRPr="00B06331">
              <w:rPr>
                <w:noProof/>
                <w:webHidden/>
              </w:rPr>
            </w:r>
            <w:r w:rsidRPr="00B06331">
              <w:rPr>
                <w:noProof/>
                <w:webHidden/>
              </w:rPr>
              <w:fldChar w:fldCharType="separate"/>
            </w:r>
            <w:r w:rsidR="00B06331">
              <w:rPr>
                <w:noProof/>
                <w:webHidden/>
              </w:rPr>
              <w:t>81</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50" w:history="1">
            <w:r w:rsidR="00CC74B9" w:rsidRPr="00B06331">
              <w:rPr>
                <w:rStyle w:val="Hyperlink"/>
              </w:rPr>
              <w:t>Chapter 4: Social Development</w:t>
            </w:r>
            <w:r w:rsidR="00CC74B9" w:rsidRPr="00B06331">
              <w:rPr>
                <w:webHidden/>
              </w:rPr>
              <w:tab/>
            </w:r>
            <w:r w:rsidRPr="00B06331">
              <w:rPr>
                <w:webHidden/>
              </w:rPr>
              <w:fldChar w:fldCharType="begin"/>
            </w:r>
            <w:r w:rsidR="00CC74B9" w:rsidRPr="00B06331">
              <w:rPr>
                <w:webHidden/>
              </w:rPr>
              <w:instrText xml:space="preserve"> PAGEREF _Toc492364750 \h </w:instrText>
            </w:r>
            <w:r w:rsidRPr="00B06331">
              <w:rPr>
                <w:webHidden/>
              </w:rPr>
            </w:r>
            <w:r w:rsidRPr="00B06331">
              <w:rPr>
                <w:webHidden/>
              </w:rPr>
              <w:fldChar w:fldCharType="separate"/>
            </w:r>
            <w:r w:rsidR="00B06331">
              <w:rPr>
                <w:webHidden/>
              </w:rPr>
              <w:t>87</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51" w:history="1">
            <w:r w:rsidR="00CC74B9" w:rsidRPr="00B06331">
              <w:rPr>
                <w:rStyle w:val="Hyperlink"/>
                <w:rFonts w:cstheme="minorHAnsi"/>
                <w:noProof/>
              </w:rPr>
              <w:t>4.1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_Toc492364751 \h </w:instrText>
            </w:r>
            <w:r w:rsidRPr="00B06331">
              <w:rPr>
                <w:noProof/>
                <w:webHidden/>
              </w:rPr>
            </w:r>
            <w:r w:rsidRPr="00B06331">
              <w:rPr>
                <w:noProof/>
                <w:webHidden/>
              </w:rPr>
              <w:fldChar w:fldCharType="separate"/>
            </w:r>
            <w:r w:rsidR="00B06331">
              <w:rPr>
                <w:noProof/>
                <w:webHidden/>
              </w:rPr>
              <w:t>87</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52" w:history="1">
            <w:r w:rsidR="00CC74B9" w:rsidRPr="00B06331">
              <w:rPr>
                <w:rStyle w:val="Hyperlink"/>
                <w:rFonts w:cstheme="minorHAnsi"/>
                <w:noProof/>
              </w:rPr>
              <w:t>4.2 Human Capital – Education, Health, and Social Protection</w:t>
            </w:r>
            <w:r w:rsidR="00CC74B9" w:rsidRPr="00B06331">
              <w:rPr>
                <w:noProof/>
                <w:webHidden/>
              </w:rPr>
              <w:tab/>
            </w:r>
            <w:r w:rsidRPr="00B06331">
              <w:rPr>
                <w:noProof/>
                <w:webHidden/>
              </w:rPr>
              <w:fldChar w:fldCharType="begin"/>
            </w:r>
            <w:r w:rsidR="00CC74B9" w:rsidRPr="00B06331">
              <w:rPr>
                <w:noProof/>
                <w:webHidden/>
              </w:rPr>
              <w:instrText xml:space="preserve"> PAGEREF _Toc492364752 \h </w:instrText>
            </w:r>
            <w:r w:rsidRPr="00B06331">
              <w:rPr>
                <w:noProof/>
                <w:webHidden/>
              </w:rPr>
            </w:r>
            <w:r w:rsidRPr="00B06331">
              <w:rPr>
                <w:noProof/>
                <w:webHidden/>
              </w:rPr>
              <w:fldChar w:fldCharType="separate"/>
            </w:r>
            <w:r w:rsidR="00B06331">
              <w:rPr>
                <w:noProof/>
                <w:webHidden/>
              </w:rPr>
              <w:t>87</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53" w:history="1">
            <w:r w:rsidR="00CC74B9" w:rsidRPr="00B06331">
              <w:rPr>
                <w:rStyle w:val="Hyperlink"/>
                <w:rFonts w:cstheme="minorHAnsi"/>
                <w:noProof/>
              </w:rPr>
              <w:t>4.2.1 Education</w:t>
            </w:r>
            <w:r w:rsidR="00CC74B9" w:rsidRPr="00B06331">
              <w:rPr>
                <w:noProof/>
                <w:webHidden/>
              </w:rPr>
              <w:tab/>
            </w:r>
            <w:r w:rsidRPr="00B06331">
              <w:rPr>
                <w:noProof/>
                <w:webHidden/>
              </w:rPr>
              <w:fldChar w:fldCharType="begin"/>
            </w:r>
            <w:r w:rsidR="00CC74B9" w:rsidRPr="00B06331">
              <w:rPr>
                <w:noProof/>
                <w:webHidden/>
              </w:rPr>
              <w:instrText xml:space="preserve"> PAGEREF _Toc492364753 \h </w:instrText>
            </w:r>
            <w:r w:rsidRPr="00B06331">
              <w:rPr>
                <w:noProof/>
                <w:webHidden/>
              </w:rPr>
            </w:r>
            <w:r w:rsidRPr="00B06331">
              <w:rPr>
                <w:noProof/>
                <w:webHidden/>
              </w:rPr>
              <w:fldChar w:fldCharType="separate"/>
            </w:r>
            <w:r w:rsidR="00B06331">
              <w:rPr>
                <w:noProof/>
                <w:webHidden/>
              </w:rPr>
              <w:t>87</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54" w:history="1">
            <w:r w:rsidR="00CC74B9" w:rsidRPr="00B06331">
              <w:rPr>
                <w:rStyle w:val="Hyperlink"/>
                <w:rFonts w:cstheme="minorHAnsi"/>
                <w:noProof/>
              </w:rPr>
              <w:t>4.2.2 Health, Nutrition, and Sanitation</w:t>
            </w:r>
            <w:r w:rsidR="00CC74B9" w:rsidRPr="00B06331">
              <w:rPr>
                <w:noProof/>
                <w:webHidden/>
              </w:rPr>
              <w:tab/>
            </w:r>
            <w:r w:rsidRPr="00B06331">
              <w:rPr>
                <w:noProof/>
                <w:webHidden/>
              </w:rPr>
              <w:fldChar w:fldCharType="begin"/>
            </w:r>
            <w:r w:rsidR="00CC74B9" w:rsidRPr="00B06331">
              <w:rPr>
                <w:noProof/>
                <w:webHidden/>
              </w:rPr>
              <w:instrText xml:space="preserve"> PAGEREF _Toc492364754 \h </w:instrText>
            </w:r>
            <w:r w:rsidRPr="00B06331">
              <w:rPr>
                <w:noProof/>
                <w:webHidden/>
              </w:rPr>
            </w:r>
            <w:r w:rsidRPr="00B06331">
              <w:rPr>
                <w:noProof/>
                <w:webHidden/>
              </w:rPr>
              <w:fldChar w:fldCharType="separate"/>
            </w:r>
            <w:r w:rsidR="00B06331">
              <w:rPr>
                <w:noProof/>
                <w:webHidden/>
              </w:rPr>
              <w:t>92</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55" w:history="1">
            <w:r w:rsidR="00CC74B9" w:rsidRPr="00B06331">
              <w:rPr>
                <w:rStyle w:val="Hyperlink"/>
                <w:rFonts w:cstheme="minorHAnsi"/>
                <w:noProof/>
              </w:rPr>
              <w:t>4.2.3 Social Protection</w:t>
            </w:r>
            <w:r w:rsidR="00CC74B9" w:rsidRPr="00B06331">
              <w:rPr>
                <w:noProof/>
                <w:webHidden/>
              </w:rPr>
              <w:tab/>
            </w:r>
            <w:r w:rsidRPr="00B06331">
              <w:rPr>
                <w:noProof/>
                <w:webHidden/>
              </w:rPr>
              <w:fldChar w:fldCharType="begin"/>
            </w:r>
            <w:r w:rsidR="00CC74B9" w:rsidRPr="00B06331">
              <w:rPr>
                <w:noProof/>
                <w:webHidden/>
              </w:rPr>
              <w:instrText xml:space="preserve"> PAGEREF _Toc492364755 \h </w:instrText>
            </w:r>
            <w:r w:rsidRPr="00B06331">
              <w:rPr>
                <w:noProof/>
                <w:webHidden/>
              </w:rPr>
            </w:r>
            <w:r w:rsidRPr="00B06331">
              <w:rPr>
                <w:noProof/>
                <w:webHidden/>
              </w:rPr>
              <w:fldChar w:fldCharType="separate"/>
            </w:r>
            <w:r w:rsidR="00B06331">
              <w:rPr>
                <w:noProof/>
                <w:webHidden/>
              </w:rPr>
              <w:t>94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56" w:history="1">
            <w:r w:rsidR="00CC74B9" w:rsidRPr="00B06331">
              <w:rPr>
                <w:rStyle w:val="Hyperlink"/>
                <w:rFonts w:eastAsia="Cambria" w:cstheme="minorHAnsi"/>
                <w:noProof/>
              </w:rPr>
              <w:t xml:space="preserve">4.3 </w:t>
            </w:r>
            <w:r w:rsidR="00CC74B9" w:rsidRPr="00B06331">
              <w:rPr>
                <w:rStyle w:val="Hyperlink"/>
                <w:rFonts w:cstheme="minorHAnsi"/>
                <w:noProof/>
              </w:rPr>
              <w:t>Empowerment of Women</w:t>
            </w:r>
            <w:r w:rsidR="00CC74B9" w:rsidRPr="00B06331">
              <w:rPr>
                <w:noProof/>
                <w:webHidden/>
              </w:rPr>
              <w:tab/>
            </w:r>
            <w:r w:rsidRPr="00B06331">
              <w:rPr>
                <w:noProof/>
                <w:webHidden/>
              </w:rPr>
              <w:fldChar w:fldCharType="begin"/>
            </w:r>
            <w:r w:rsidR="00CC74B9" w:rsidRPr="00B06331">
              <w:rPr>
                <w:noProof/>
                <w:webHidden/>
              </w:rPr>
              <w:instrText xml:space="preserve"> PAGEREF _Toc492364756 \h </w:instrText>
            </w:r>
            <w:r w:rsidRPr="00B06331">
              <w:rPr>
                <w:noProof/>
                <w:webHidden/>
              </w:rPr>
            </w:r>
            <w:r w:rsidRPr="00B06331">
              <w:rPr>
                <w:noProof/>
                <w:webHidden/>
              </w:rPr>
              <w:fldChar w:fldCharType="separate"/>
            </w:r>
            <w:r w:rsidR="00B06331">
              <w:rPr>
                <w:noProof/>
                <w:webHidden/>
              </w:rPr>
              <w:t>95</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57" w:history="1">
            <w:r w:rsidR="00CC74B9" w:rsidRPr="00B06331">
              <w:rPr>
                <w:rStyle w:val="Hyperlink"/>
                <w:rFonts w:cstheme="minorHAnsi"/>
                <w:noProof/>
              </w:rPr>
              <w:t>4.4 Youth Empowerment and Development</w:t>
            </w:r>
            <w:r w:rsidR="00CC74B9" w:rsidRPr="00B06331">
              <w:rPr>
                <w:noProof/>
                <w:webHidden/>
              </w:rPr>
              <w:tab/>
            </w:r>
            <w:r w:rsidRPr="00B06331">
              <w:rPr>
                <w:noProof/>
                <w:webHidden/>
              </w:rPr>
              <w:fldChar w:fldCharType="begin"/>
            </w:r>
            <w:r w:rsidR="00CC74B9" w:rsidRPr="00B06331">
              <w:rPr>
                <w:noProof/>
                <w:webHidden/>
              </w:rPr>
              <w:instrText xml:space="preserve"> PAGEREF _Toc492364757 \h </w:instrText>
            </w:r>
            <w:r w:rsidRPr="00B06331">
              <w:rPr>
                <w:noProof/>
                <w:webHidden/>
              </w:rPr>
            </w:r>
            <w:r w:rsidRPr="00B06331">
              <w:rPr>
                <w:noProof/>
                <w:webHidden/>
              </w:rPr>
              <w:fldChar w:fldCharType="separate"/>
            </w:r>
            <w:r w:rsidR="00B06331">
              <w:rPr>
                <w:noProof/>
                <w:webHidden/>
              </w:rPr>
              <w:t>97</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58" w:history="1">
            <w:r w:rsidR="00CC74B9" w:rsidRPr="00B06331">
              <w:rPr>
                <w:rStyle w:val="Hyperlink"/>
              </w:rPr>
              <w:t>Chapter 5: Environment, Land Use Planning, and Decentralization</w:t>
            </w:r>
            <w:r w:rsidR="00CC74B9" w:rsidRPr="00B06331">
              <w:rPr>
                <w:webHidden/>
              </w:rPr>
              <w:tab/>
            </w:r>
            <w:r w:rsidRPr="00B06331">
              <w:rPr>
                <w:webHidden/>
              </w:rPr>
              <w:fldChar w:fldCharType="begin"/>
            </w:r>
            <w:r w:rsidR="00CC74B9" w:rsidRPr="00B06331">
              <w:rPr>
                <w:webHidden/>
              </w:rPr>
              <w:instrText xml:space="preserve"> PAGEREF _Toc492364758 \h </w:instrText>
            </w:r>
            <w:r w:rsidRPr="00B06331">
              <w:rPr>
                <w:webHidden/>
              </w:rPr>
            </w:r>
            <w:r w:rsidRPr="00B06331">
              <w:rPr>
                <w:webHidden/>
              </w:rPr>
              <w:fldChar w:fldCharType="separate"/>
            </w:r>
            <w:r w:rsidR="00B06331">
              <w:rPr>
                <w:webHidden/>
              </w:rPr>
              <w:t>104</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59" w:history="1">
            <w:r w:rsidR="00CC74B9" w:rsidRPr="00B06331">
              <w:rPr>
                <w:rStyle w:val="Hyperlink"/>
                <w:rFonts w:cstheme="minorHAnsi"/>
                <w:noProof/>
              </w:rPr>
              <w:t>5.1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_Toc492364759 \h </w:instrText>
            </w:r>
            <w:r w:rsidRPr="00B06331">
              <w:rPr>
                <w:noProof/>
                <w:webHidden/>
              </w:rPr>
            </w:r>
            <w:r w:rsidRPr="00B06331">
              <w:rPr>
                <w:noProof/>
                <w:webHidden/>
              </w:rPr>
              <w:fldChar w:fldCharType="separate"/>
            </w:r>
            <w:r w:rsidR="00B06331">
              <w:rPr>
                <w:noProof/>
                <w:webHidden/>
              </w:rPr>
              <w:t>104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0" w:history="1">
            <w:r w:rsidR="00CC74B9" w:rsidRPr="00B06331">
              <w:rPr>
                <w:rStyle w:val="Hyperlink"/>
                <w:rFonts w:cstheme="minorHAnsi"/>
                <w:noProof/>
              </w:rPr>
              <w:t>5.2 Environment, Natural Resources, and Climate Change</w:t>
            </w:r>
            <w:r w:rsidR="00CC74B9" w:rsidRPr="00B06331">
              <w:rPr>
                <w:noProof/>
                <w:webHidden/>
              </w:rPr>
              <w:tab/>
            </w:r>
            <w:r w:rsidRPr="00B06331">
              <w:rPr>
                <w:noProof/>
                <w:webHidden/>
              </w:rPr>
              <w:fldChar w:fldCharType="begin"/>
            </w:r>
            <w:r w:rsidR="00CC74B9" w:rsidRPr="00B06331">
              <w:rPr>
                <w:noProof/>
                <w:webHidden/>
              </w:rPr>
              <w:instrText xml:space="preserve"> PAGEREF _Toc492364760 \h </w:instrText>
            </w:r>
            <w:r w:rsidRPr="00B06331">
              <w:rPr>
                <w:noProof/>
                <w:webHidden/>
              </w:rPr>
            </w:r>
            <w:r w:rsidRPr="00B06331">
              <w:rPr>
                <w:noProof/>
                <w:webHidden/>
              </w:rPr>
              <w:fldChar w:fldCharType="separate"/>
            </w:r>
            <w:r w:rsidR="00B06331">
              <w:rPr>
                <w:noProof/>
                <w:webHidden/>
              </w:rPr>
              <w:t>104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1" w:history="1">
            <w:r w:rsidR="00CC74B9" w:rsidRPr="00B06331">
              <w:rPr>
                <w:rStyle w:val="Hyperlink"/>
                <w:rFonts w:cstheme="minorHAnsi"/>
                <w:noProof/>
              </w:rPr>
              <w:t>5.3 Land Use Planning and Decentralization</w:t>
            </w:r>
            <w:r w:rsidR="00CC74B9" w:rsidRPr="00B06331">
              <w:rPr>
                <w:noProof/>
                <w:webHidden/>
              </w:rPr>
              <w:tab/>
            </w:r>
            <w:r w:rsidRPr="00B06331">
              <w:rPr>
                <w:noProof/>
                <w:webHidden/>
              </w:rPr>
              <w:fldChar w:fldCharType="begin"/>
            </w:r>
            <w:r w:rsidR="00CC74B9" w:rsidRPr="00B06331">
              <w:rPr>
                <w:noProof/>
                <w:webHidden/>
              </w:rPr>
              <w:instrText xml:space="preserve"> PAGEREF _Toc492364761 \h </w:instrText>
            </w:r>
            <w:r w:rsidRPr="00B06331">
              <w:rPr>
                <w:noProof/>
                <w:webHidden/>
              </w:rPr>
            </w:r>
            <w:r w:rsidRPr="00B06331">
              <w:rPr>
                <w:noProof/>
                <w:webHidden/>
              </w:rPr>
              <w:fldChar w:fldCharType="separate"/>
            </w:r>
            <w:r w:rsidR="00B06331">
              <w:rPr>
                <w:noProof/>
                <w:webHidden/>
              </w:rPr>
              <w:t>107</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62" w:history="1">
            <w:r w:rsidR="00CC74B9" w:rsidRPr="00B06331">
              <w:rPr>
                <w:rStyle w:val="Hyperlink"/>
                <w:rFonts w:cstheme="minorHAnsi"/>
                <w:noProof/>
              </w:rPr>
              <w:t>5.3.1 Decentralization</w:t>
            </w:r>
            <w:r w:rsidR="00CC74B9" w:rsidRPr="00B06331">
              <w:rPr>
                <w:noProof/>
                <w:webHidden/>
              </w:rPr>
              <w:tab/>
            </w:r>
            <w:r w:rsidRPr="00B06331">
              <w:rPr>
                <w:noProof/>
                <w:webHidden/>
              </w:rPr>
              <w:fldChar w:fldCharType="begin"/>
            </w:r>
            <w:r w:rsidR="00CC74B9" w:rsidRPr="00B06331">
              <w:rPr>
                <w:noProof/>
                <w:webHidden/>
              </w:rPr>
              <w:instrText xml:space="preserve"> PAGEREF _Toc492364762 \h </w:instrText>
            </w:r>
            <w:r w:rsidRPr="00B06331">
              <w:rPr>
                <w:noProof/>
                <w:webHidden/>
              </w:rPr>
            </w:r>
            <w:r w:rsidRPr="00B06331">
              <w:rPr>
                <w:noProof/>
                <w:webHidden/>
              </w:rPr>
              <w:fldChar w:fldCharType="separate"/>
            </w:r>
            <w:r w:rsidR="00B06331">
              <w:rPr>
                <w:noProof/>
                <w:webHidden/>
              </w:rPr>
              <w:t>107</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63" w:history="1">
            <w:r w:rsidR="00CC74B9" w:rsidRPr="00B06331">
              <w:rPr>
                <w:rStyle w:val="Hyperlink"/>
                <w:rFonts w:cstheme="minorHAnsi"/>
                <w:noProof/>
              </w:rPr>
              <w:t>5.3.2 Land use Planning &amp; Management</w:t>
            </w:r>
            <w:r w:rsidR="00CC74B9" w:rsidRPr="00B06331">
              <w:rPr>
                <w:noProof/>
                <w:webHidden/>
              </w:rPr>
              <w:tab/>
            </w:r>
            <w:r w:rsidRPr="00B06331">
              <w:rPr>
                <w:noProof/>
                <w:webHidden/>
              </w:rPr>
              <w:fldChar w:fldCharType="begin"/>
            </w:r>
            <w:r w:rsidR="00CC74B9" w:rsidRPr="00B06331">
              <w:rPr>
                <w:noProof/>
                <w:webHidden/>
              </w:rPr>
              <w:instrText xml:space="preserve"> PAGEREF _Toc492364763 \h </w:instrText>
            </w:r>
            <w:r w:rsidRPr="00B06331">
              <w:rPr>
                <w:noProof/>
                <w:webHidden/>
              </w:rPr>
            </w:r>
            <w:r w:rsidRPr="00B06331">
              <w:rPr>
                <w:noProof/>
                <w:webHidden/>
              </w:rPr>
              <w:fldChar w:fldCharType="separate"/>
            </w:r>
            <w:r w:rsidR="00B06331">
              <w:rPr>
                <w:noProof/>
                <w:webHidden/>
              </w:rPr>
              <w:t>108</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64" w:history="1">
            <w:r w:rsidR="00CC74B9" w:rsidRPr="00B06331">
              <w:rPr>
                <w:rStyle w:val="Hyperlink"/>
              </w:rPr>
              <w:t>Chapter 6 Regional Poverty, Demographic and Socio-Economic Profiles</w:t>
            </w:r>
            <w:r w:rsidR="00CC74B9" w:rsidRPr="00B06331">
              <w:rPr>
                <w:webHidden/>
              </w:rPr>
              <w:tab/>
            </w:r>
            <w:r w:rsidRPr="00B06331">
              <w:rPr>
                <w:webHidden/>
              </w:rPr>
              <w:fldChar w:fldCharType="begin"/>
            </w:r>
            <w:r w:rsidR="00CC74B9" w:rsidRPr="00B06331">
              <w:rPr>
                <w:webHidden/>
              </w:rPr>
              <w:instrText xml:space="preserve"> PAGEREF _Toc492364764 \h </w:instrText>
            </w:r>
            <w:r w:rsidRPr="00B06331">
              <w:rPr>
                <w:webHidden/>
              </w:rPr>
            </w:r>
            <w:r w:rsidRPr="00B06331">
              <w:rPr>
                <w:webHidden/>
              </w:rPr>
              <w:fldChar w:fldCharType="separate"/>
            </w:r>
            <w:r w:rsidR="00B06331">
              <w:rPr>
                <w:webHidden/>
              </w:rPr>
              <w:t>112</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5" w:history="1">
            <w:r w:rsidR="00CC74B9" w:rsidRPr="00B06331">
              <w:rPr>
                <w:rStyle w:val="Hyperlink"/>
                <w:rFonts w:cstheme="minorHAnsi"/>
                <w:noProof/>
              </w:rPr>
              <w:t>6.1 Demographic characteristics</w:t>
            </w:r>
            <w:r w:rsidR="00CC74B9" w:rsidRPr="00B06331">
              <w:rPr>
                <w:noProof/>
                <w:webHidden/>
              </w:rPr>
              <w:tab/>
            </w:r>
            <w:r w:rsidRPr="00B06331">
              <w:rPr>
                <w:noProof/>
                <w:webHidden/>
              </w:rPr>
              <w:fldChar w:fldCharType="begin"/>
            </w:r>
            <w:r w:rsidR="00CC74B9" w:rsidRPr="00B06331">
              <w:rPr>
                <w:noProof/>
                <w:webHidden/>
              </w:rPr>
              <w:instrText xml:space="preserve"> PAGEREF _Toc492364765 \h </w:instrText>
            </w:r>
            <w:r w:rsidRPr="00B06331">
              <w:rPr>
                <w:noProof/>
                <w:webHidden/>
              </w:rPr>
            </w:r>
            <w:r w:rsidRPr="00B06331">
              <w:rPr>
                <w:noProof/>
                <w:webHidden/>
              </w:rPr>
              <w:fldChar w:fldCharType="separate"/>
            </w:r>
            <w:r w:rsidR="00B06331">
              <w:rPr>
                <w:noProof/>
                <w:webHidden/>
              </w:rPr>
              <w:t>112</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6" w:history="1">
            <w:r w:rsidR="00CC74B9" w:rsidRPr="00B06331">
              <w:rPr>
                <w:rStyle w:val="Hyperlink"/>
                <w:rFonts w:cstheme="minorHAnsi"/>
                <w:noProof/>
              </w:rPr>
              <w:t>6.2 Poverty and Food Security</w:t>
            </w:r>
            <w:r w:rsidR="00CC74B9" w:rsidRPr="00B06331">
              <w:rPr>
                <w:noProof/>
                <w:webHidden/>
              </w:rPr>
              <w:tab/>
            </w:r>
            <w:r w:rsidRPr="00B06331">
              <w:rPr>
                <w:noProof/>
                <w:webHidden/>
              </w:rPr>
              <w:fldChar w:fldCharType="begin"/>
            </w:r>
            <w:r w:rsidR="00CC74B9" w:rsidRPr="00B06331">
              <w:rPr>
                <w:noProof/>
                <w:webHidden/>
              </w:rPr>
              <w:instrText xml:space="preserve"> PAGEREF _Toc492364766 \h </w:instrText>
            </w:r>
            <w:r w:rsidRPr="00B06331">
              <w:rPr>
                <w:noProof/>
                <w:webHidden/>
              </w:rPr>
            </w:r>
            <w:r w:rsidRPr="00B06331">
              <w:rPr>
                <w:noProof/>
                <w:webHidden/>
              </w:rPr>
              <w:fldChar w:fldCharType="separate"/>
            </w:r>
            <w:r w:rsidR="00B06331">
              <w:rPr>
                <w:noProof/>
                <w:webHidden/>
              </w:rPr>
              <w:t>113</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7" w:history="1">
            <w:r w:rsidR="00CC74B9" w:rsidRPr="00B06331">
              <w:rPr>
                <w:rStyle w:val="Hyperlink"/>
                <w:rFonts w:cstheme="minorHAnsi"/>
                <w:noProof/>
              </w:rPr>
              <w:t>6.3 Access to Education and Health</w:t>
            </w:r>
            <w:r w:rsidR="00CC74B9" w:rsidRPr="00B06331">
              <w:rPr>
                <w:noProof/>
                <w:webHidden/>
              </w:rPr>
              <w:tab/>
            </w:r>
            <w:r w:rsidRPr="00B06331">
              <w:rPr>
                <w:noProof/>
                <w:webHidden/>
              </w:rPr>
              <w:fldChar w:fldCharType="begin"/>
            </w:r>
            <w:r w:rsidR="00CC74B9" w:rsidRPr="00B06331">
              <w:rPr>
                <w:noProof/>
                <w:webHidden/>
              </w:rPr>
              <w:instrText xml:space="preserve"> PAGEREF _Toc492364767 \h </w:instrText>
            </w:r>
            <w:r w:rsidRPr="00B06331">
              <w:rPr>
                <w:noProof/>
                <w:webHidden/>
              </w:rPr>
            </w:r>
            <w:r w:rsidRPr="00B06331">
              <w:rPr>
                <w:noProof/>
                <w:webHidden/>
              </w:rPr>
              <w:fldChar w:fldCharType="separate"/>
            </w:r>
            <w:r w:rsidR="00B06331">
              <w:rPr>
                <w:noProof/>
                <w:webHidden/>
              </w:rPr>
              <w:t>115</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8" w:history="1">
            <w:r w:rsidR="00CC74B9" w:rsidRPr="00B06331">
              <w:rPr>
                <w:rStyle w:val="Hyperlink"/>
                <w:rFonts w:cstheme="minorHAnsi"/>
                <w:noProof/>
              </w:rPr>
              <w:t>6.4 Labor and Employment</w:t>
            </w:r>
            <w:r w:rsidR="00CC74B9" w:rsidRPr="00B06331">
              <w:rPr>
                <w:noProof/>
                <w:webHidden/>
              </w:rPr>
              <w:tab/>
            </w:r>
            <w:r w:rsidRPr="00B06331">
              <w:rPr>
                <w:noProof/>
                <w:webHidden/>
              </w:rPr>
              <w:fldChar w:fldCharType="begin"/>
            </w:r>
            <w:r w:rsidR="00CC74B9" w:rsidRPr="00B06331">
              <w:rPr>
                <w:noProof/>
                <w:webHidden/>
              </w:rPr>
              <w:instrText xml:space="preserve"> PAGEREF _Toc492364768 \h </w:instrText>
            </w:r>
            <w:r w:rsidRPr="00B06331">
              <w:rPr>
                <w:noProof/>
                <w:webHidden/>
              </w:rPr>
            </w:r>
            <w:r w:rsidRPr="00B06331">
              <w:rPr>
                <w:noProof/>
                <w:webHidden/>
              </w:rPr>
              <w:fldChar w:fldCharType="separate"/>
            </w:r>
            <w:r w:rsidR="00B06331">
              <w:rPr>
                <w:noProof/>
                <w:webHidden/>
              </w:rPr>
              <w:t>119</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69" w:history="1">
            <w:r w:rsidR="00CC74B9" w:rsidRPr="00B06331">
              <w:rPr>
                <w:rStyle w:val="Hyperlink"/>
                <w:rFonts w:cstheme="minorHAnsi"/>
                <w:noProof/>
              </w:rPr>
              <w:t>6.5 Access to Basic Services and Household Assets</w:t>
            </w:r>
            <w:r w:rsidR="00CC74B9" w:rsidRPr="00B06331">
              <w:rPr>
                <w:noProof/>
                <w:webHidden/>
              </w:rPr>
              <w:tab/>
            </w:r>
            <w:r w:rsidRPr="00B06331">
              <w:rPr>
                <w:noProof/>
                <w:webHidden/>
              </w:rPr>
              <w:fldChar w:fldCharType="begin"/>
            </w:r>
            <w:r w:rsidR="00CC74B9" w:rsidRPr="00B06331">
              <w:rPr>
                <w:noProof/>
                <w:webHidden/>
              </w:rPr>
              <w:instrText xml:space="preserve"> PAGEREF _Toc492364769 \h </w:instrText>
            </w:r>
            <w:r w:rsidRPr="00B06331">
              <w:rPr>
                <w:noProof/>
                <w:webHidden/>
              </w:rPr>
            </w:r>
            <w:r w:rsidRPr="00B06331">
              <w:rPr>
                <w:noProof/>
                <w:webHidden/>
              </w:rPr>
              <w:fldChar w:fldCharType="separate"/>
            </w:r>
            <w:r w:rsidR="00B06331">
              <w:rPr>
                <w:noProof/>
                <w:webHidden/>
              </w:rPr>
              <w:t>119</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0" w:history="1">
            <w:r w:rsidR="00CC74B9" w:rsidRPr="00B06331">
              <w:rPr>
                <w:rStyle w:val="Hyperlink"/>
                <w:rFonts w:cstheme="minorHAnsi"/>
                <w:noProof/>
              </w:rPr>
              <w:t>6.6 Regional Profiles &amp; Development Challenges</w:t>
            </w:r>
            <w:r w:rsidR="00CC74B9" w:rsidRPr="00B06331">
              <w:rPr>
                <w:noProof/>
                <w:webHidden/>
              </w:rPr>
              <w:tab/>
            </w:r>
            <w:r w:rsidRPr="00B06331">
              <w:rPr>
                <w:noProof/>
                <w:webHidden/>
              </w:rPr>
              <w:fldChar w:fldCharType="begin"/>
            </w:r>
            <w:r w:rsidR="00CC74B9" w:rsidRPr="00B06331">
              <w:rPr>
                <w:noProof/>
                <w:webHidden/>
              </w:rPr>
              <w:instrText xml:space="preserve"> PAGEREF _Toc492364770 \h </w:instrText>
            </w:r>
            <w:r w:rsidRPr="00B06331">
              <w:rPr>
                <w:noProof/>
                <w:webHidden/>
              </w:rPr>
            </w:r>
            <w:r w:rsidRPr="00B06331">
              <w:rPr>
                <w:noProof/>
                <w:webHidden/>
              </w:rPr>
              <w:fldChar w:fldCharType="separate"/>
            </w:r>
            <w:r w:rsidR="00B06331">
              <w:rPr>
                <w:noProof/>
                <w:webHidden/>
              </w:rPr>
              <w:t>121</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1" w:history="1">
            <w:r w:rsidR="00CC74B9" w:rsidRPr="00B06331">
              <w:rPr>
                <w:rStyle w:val="Hyperlink"/>
                <w:rFonts w:cstheme="minorHAnsi"/>
                <w:noProof/>
              </w:rPr>
              <w:t>6.7 Policy Implications</w:t>
            </w:r>
            <w:r w:rsidR="00CC74B9" w:rsidRPr="00B06331">
              <w:rPr>
                <w:noProof/>
                <w:webHidden/>
              </w:rPr>
              <w:tab/>
            </w:r>
            <w:r w:rsidRPr="00B06331">
              <w:rPr>
                <w:noProof/>
                <w:webHidden/>
              </w:rPr>
              <w:fldChar w:fldCharType="begin"/>
            </w:r>
            <w:r w:rsidR="00CC74B9" w:rsidRPr="00B06331">
              <w:rPr>
                <w:noProof/>
                <w:webHidden/>
              </w:rPr>
              <w:instrText xml:space="preserve"> PAGEREF _Toc492364771 \h </w:instrText>
            </w:r>
            <w:r w:rsidRPr="00B06331">
              <w:rPr>
                <w:noProof/>
                <w:webHidden/>
              </w:rPr>
            </w:r>
            <w:r w:rsidRPr="00B06331">
              <w:rPr>
                <w:noProof/>
                <w:webHidden/>
              </w:rPr>
              <w:fldChar w:fldCharType="separate"/>
            </w:r>
            <w:r w:rsidR="00B06331">
              <w:rPr>
                <w:noProof/>
                <w:webHidden/>
              </w:rPr>
              <w:t>123</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72" w:history="1">
            <w:r w:rsidR="00CC74B9" w:rsidRPr="00B06331">
              <w:rPr>
                <w:rStyle w:val="Hyperlink"/>
                <w:rFonts w:cs="Calibri"/>
              </w:rPr>
              <w:t>Chapter 7: The Strategic Priorities</w:t>
            </w:r>
            <w:r w:rsidR="00CC74B9" w:rsidRPr="00B06331">
              <w:rPr>
                <w:webHidden/>
              </w:rPr>
              <w:tab/>
            </w:r>
            <w:r w:rsidRPr="00B06331">
              <w:rPr>
                <w:webHidden/>
              </w:rPr>
              <w:fldChar w:fldCharType="begin"/>
            </w:r>
            <w:r w:rsidR="00CC74B9" w:rsidRPr="00B06331">
              <w:rPr>
                <w:webHidden/>
              </w:rPr>
              <w:instrText xml:space="preserve"> PAGEREF _Toc492364772 \h </w:instrText>
            </w:r>
            <w:r w:rsidRPr="00B06331">
              <w:rPr>
                <w:webHidden/>
              </w:rPr>
            </w:r>
            <w:r w:rsidRPr="00B06331">
              <w:rPr>
                <w:webHidden/>
              </w:rPr>
              <w:fldChar w:fldCharType="separate"/>
            </w:r>
            <w:r w:rsidR="00B06331">
              <w:rPr>
                <w:webHidden/>
              </w:rPr>
              <w:t>127</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3" w:history="1">
            <w:r w:rsidR="00CC74B9" w:rsidRPr="00B06331">
              <w:rPr>
                <w:rStyle w:val="Hyperlink"/>
                <w:rFonts w:cs="Calibri"/>
                <w:noProof/>
              </w:rPr>
              <w:t>7.1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_Toc492364773 \h </w:instrText>
            </w:r>
            <w:r w:rsidRPr="00B06331">
              <w:rPr>
                <w:noProof/>
                <w:webHidden/>
              </w:rPr>
            </w:r>
            <w:r w:rsidRPr="00B06331">
              <w:rPr>
                <w:noProof/>
                <w:webHidden/>
              </w:rPr>
              <w:fldChar w:fldCharType="separate"/>
            </w:r>
            <w:r w:rsidR="00B06331">
              <w:rPr>
                <w:noProof/>
                <w:webHidden/>
              </w:rPr>
              <w:t>127</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4" w:history="1">
            <w:r w:rsidR="00CC74B9" w:rsidRPr="00B06331">
              <w:rPr>
                <w:rStyle w:val="Hyperlink"/>
                <w:rFonts w:cs="Calibri"/>
                <w:noProof/>
              </w:rPr>
              <w:t>7.2 Governance, Human Rights, and Access to Justice</w:t>
            </w:r>
            <w:r w:rsidR="00CC74B9" w:rsidRPr="00B06331">
              <w:rPr>
                <w:noProof/>
                <w:webHidden/>
              </w:rPr>
              <w:tab/>
            </w:r>
            <w:r w:rsidRPr="00B06331">
              <w:rPr>
                <w:noProof/>
                <w:webHidden/>
              </w:rPr>
              <w:fldChar w:fldCharType="begin"/>
            </w:r>
            <w:r w:rsidR="00CC74B9" w:rsidRPr="00B06331">
              <w:rPr>
                <w:noProof/>
                <w:webHidden/>
              </w:rPr>
              <w:instrText xml:space="preserve"> PAGEREF _Toc492364774 \h </w:instrText>
            </w:r>
            <w:r w:rsidRPr="00B06331">
              <w:rPr>
                <w:noProof/>
                <w:webHidden/>
              </w:rPr>
            </w:r>
            <w:r w:rsidRPr="00B06331">
              <w:rPr>
                <w:noProof/>
                <w:webHidden/>
              </w:rPr>
              <w:fldChar w:fldCharType="separate"/>
            </w:r>
            <w:r w:rsidR="00B06331">
              <w:rPr>
                <w:noProof/>
                <w:webHidden/>
              </w:rPr>
              <w:t>127</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5" w:history="1">
            <w:r w:rsidR="00CC74B9" w:rsidRPr="00B06331">
              <w:rPr>
                <w:rStyle w:val="Hyperlink"/>
                <w:rFonts w:cs="Calibri"/>
                <w:noProof/>
              </w:rPr>
              <w:t>7.3 Macroeconomic Stabilization &amp; Economic Management</w:t>
            </w:r>
            <w:r w:rsidR="00CC74B9" w:rsidRPr="00B06331">
              <w:rPr>
                <w:noProof/>
                <w:webHidden/>
              </w:rPr>
              <w:tab/>
            </w:r>
            <w:r w:rsidRPr="00B06331">
              <w:rPr>
                <w:noProof/>
                <w:webHidden/>
              </w:rPr>
              <w:fldChar w:fldCharType="begin"/>
            </w:r>
            <w:r w:rsidR="00CC74B9" w:rsidRPr="00B06331">
              <w:rPr>
                <w:noProof/>
                <w:webHidden/>
              </w:rPr>
              <w:instrText xml:space="preserve"> PAGEREF _Toc492364775 \h </w:instrText>
            </w:r>
            <w:r w:rsidRPr="00B06331">
              <w:rPr>
                <w:noProof/>
                <w:webHidden/>
              </w:rPr>
            </w:r>
            <w:r w:rsidRPr="00B06331">
              <w:rPr>
                <w:noProof/>
                <w:webHidden/>
              </w:rPr>
              <w:fldChar w:fldCharType="separate"/>
            </w:r>
            <w:r w:rsidR="00B06331">
              <w:rPr>
                <w:noProof/>
                <w:webHidden/>
              </w:rPr>
              <w:t>135</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6" w:history="1">
            <w:r w:rsidR="00CC74B9" w:rsidRPr="00B06331">
              <w:rPr>
                <w:rStyle w:val="Hyperlink"/>
                <w:rFonts w:cs="Calibri"/>
                <w:noProof/>
              </w:rPr>
              <w:t>7.4 Agriculture and Fisheries</w:t>
            </w:r>
            <w:r w:rsidR="00CC74B9" w:rsidRPr="00B06331">
              <w:rPr>
                <w:noProof/>
                <w:webHidden/>
              </w:rPr>
              <w:tab/>
            </w:r>
            <w:r w:rsidRPr="00B06331">
              <w:rPr>
                <w:noProof/>
                <w:webHidden/>
              </w:rPr>
              <w:fldChar w:fldCharType="begin"/>
            </w:r>
            <w:r w:rsidR="00CC74B9" w:rsidRPr="00B06331">
              <w:rPr>
                <w:noProof/>
                <w:webHidden/>
              </w:rPr>
              <w:instrText xml:space="preserve"> PAGEREF _Toc492364776 \h </w:instrText>
            </w:r>
            <w:r w:rsidRPr="00B06331">
              <w:rPr>
                <w:noProof/>
                <w:webHidden/>
              </w:rPr>
            </w:r>
            <w:r w:rsidRPr="00B06331">
              <w:rPr>
                <w:noProof/>
                <w:webHidden/>
              </w:rPr>
              <w:fldChar w:fldCharType="separate"/>
            </w:r>
            <w:r w:rsidR="00B06331">
              <w:rPr>
                <w:noProof/>
                <w:webHidden/>
              </w:rPr>
              <w:t>140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77" w:history="1">
            <w:r w:rsidR="00CC74B9" w:rsidRPr="00B06331">
              <w:rPr>
                <w:rStyle w:val="Hyperlink"/>
                <w:rFonts w:cs="Calibri"/>
                <w:noProof/>
              </w:rPr>
              <w:t>7.4.1 Agriculture</w:t>
            </w:r>
            <w:r w:rsidR="00CC74B9" w:rsidRPr="00B06331">
              <w:rPr>
                <w:noProof/>
                <w:webHidden/>
              </w:rPr>
              <w:tab/>
            </w:r>
            <w:r w:rsidRPr="00B06331">
              <w:rPr>
                <w:noProof/>
                <w:webHidden/>
              </w:rPr>
              <w:fldChar w:fldCharType="begin"/>
            </w:r>
            <w:r w:rsidR="00CC74B9" w:rsidRPr="00B06331">
              <w:rPr>
                <w:noProof/>
                <w:webHidden/>
              </w:rPr>
              <w:instrText xml:space="preserve"> PAGEREF _Toc492364777 \h </w:instrText>
            </w:r>
            <w:r w:rsidRPr="00B06331">
              <w:rPr>
                <w:noProof/>
                <w:webHidden/>
              </w:rPr>
            </w:r>
            <w:r w:rsidRPr="00B06331">
              <w:rPr>
                <w:noProof/>
                <w:webHidden/>
              </w:rPr>
              <w:fldChar w:fldCharType="separate"/>
            </w:r>
            <w:r w:rsidR="00B06331">
              <w:rPr>
                <w:noProof/>
                <w:webHidden/>
              </w:rPr>
              <w:t>141</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78" w:history="1">
            <w:r w:rsidR="00CC74B9" w:rsidRPr="00B06331">
              <w:rPr>
                <w:rStyle w:val="Hyperlink"/>
                <w:rFonts w:cs="Calibri"/>
                <w:noProof/>
              </w:rPr>
              <w:t>7.4.3 Fisheries</w:t>
            </w:r>
            <w:r w:rsidR="00CC74B9" w:rsidRPr="00B06331">
              <w:rPr>
                <w:noProof/>
                <w:webHidden/>
              </w:rPr>
              <w:tab/>
            </w:r>
            <w:r w:rsidRPr="00B06331">
              <w:rPr>
                <w:noProof/>
                <w:webHidden/>
              </w:rPr>
              <w:fldChar w:fldCharType="begin"/>
            </w:r>
            <w:r w:rsidR="00CC74B9" w:rsidRPr="00B06331">
              <w:rPr>
                <w:noProof/>
                <w:webHidden/>
              </w:rPr>
              <w:instrText xml:space="preserve"> PAGEREF _Toc492364778 \h </w:instrText>
            </w:r>
            <w:r w:rsidRPr="00B06331">
              <w:rPr>
                <w:noProof/>
                <w:webHidden/>
              </w:rPr>
            </w:r>
            <w:r w:rsidRPr="00B06331">
              <w:rPr>
                <w:noProof/>
                <w:webHidden/>
              </w:rPr>
              <w:fldChar w:fldCharType="separate"/>
            </w:r>
            <w:r w:rsidR="00B06331">
              <w:rPr>
                <w:noProof/>
                <w:webHidden/>
              </w:rPr>
              <w:t>148</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79" w:history="1">
            <w:r w:rsidR="00CC74B9" w:rsidRPr="00B06331">
              <w:rPr>
                <w:rStyle w:val="Hyperlink"/>
                <w:rFonts w:cs="Calibri"/>
                <w:noProof/>
              </w:rPr>
              <w:t>7.5 Investing in Our People – Education, Health, and Social Protection</w:t>
            </w:r>
            <w:r w:rsidR="00CC74B9" w:rsidRPr="00B06331">
              <w:rPr>
                <w:noProof/>
                <w:webHidden/>
              </w:rPr>
              <w:tab/>
            </w:r>
            <w:r w:rsidRPr="00B06331">
              <w:rPr>
                <w:noProof/>
                <w:webHidden/>
              </w:rPr>
              <w:fldChar w:fldCharType="begin"/>
            </w:r>
            <w:r w:rsidR="00CC74B9" w:rsidRPr="00B06331">
              <w:rPr>
                <w:noProof/>
                <w:webHidden/>
              </w:rPr>
              <w:instrText xml:space="preserve"> PAGEREF _Toc492364779 \h </w:instrText>
            </w:r>
            <w:r w:rsidRPr="00B06331">
              <w:rPr>
                <w:noProof/>
                <w:webHidden/>
              </w:rPr>
            </w:r>
            <w:r w:rsidRPr="00B06331">
              <w:rPr>
                <w:noProof/>
                <w:webHidden/>
              </w:rPr>
              <w:fldChar w:fldCharType="separate"/>
            </w:r>
            <w:r w:rsidR="00B06331">
              <w:rPr>
                <w:noProof/>
                <w:webHidden/>
              </w:rPr>
              <w:t>152</w:t>
            </w:r>
            <w:r w:rsidRPr="00B06331">
              <w:rPr>
                <w:noProof/>
                <w:webHidden/>
              </w:rPr>
              <w:fldChar w:fldCharType="end"/>
            </w:r>
          </w:hyperlink>
        </w:p>
        <w:p w:rsidR="00CC74B9" w:rsidRPr="00B06331" w:rsidRDefault="00965AD2">
          <w:pPr>
            <w:pStyle w:val="TOC3"/>
            <w:tabs>
              <w:tab w:val="left" w:pos="1320"/>
              <w:tab w:val="right" w:leader="dot" w:pos="9350"/>
            </w:tabs>
            <w:rPr>
              <w:rFonts w:asciiTheme="minorHAnsi" w:eastAsiaTheme="minorEastAsia" w:hAnsiTheme="minorHAnsi" w:cstheme="minorBidi"/>
              <w:noProof/>
            </w:rPr>
          </w:pPr>
          <w:hyperlink w:anchor="_Toc492364780" w:history="1">
            <w:r w:rsidR="00CC74B9" w:rsidRPr="00B06331">
              <w:rPr>
                <w:rStyle w:val="Hyperlink"/>
                <w:rFonts w:cs="Calibri"/>
                <w:noProof/>
              </w:rPr>
              <w:t>7.5.1</w:t>
            </w:r>
            <w:r w:rsidR="00CC74B9" w:rsidRPr="00B06331">
              <w:rPr>
                <w:rFonts w:asciiTheme="minorHAnsi" w:eastAsiaTheme="minorEastAsia" w:hAnsiTheme="minorHAnsi" w:cstheme="minorBidi"/>
                <w:noProof/>
              </w:rPr>
              <w:tab/>
            </w:r>
            <w:r w:rsidR="00CC74B9" w:rsidRPr="00B06331">
              <w:rPr>
                <w:rStyle w:val="Hyperlink"/>
                <w:rFonts w:cs="Calibri"/>
                <w:noProof/>
              </w:rPr>
              <w:t>Education</w:t>
            </w:r>
            <w:r w:rsidR="00CC74B9" w:rsidRPr="00B06331">
              <w:rPr>
                <w:noProof/>
                <w:webHidden/>
              </w:rPr>
              <w:tab/>
            </w:r>
            <w:r w:rsidRPr="00B06331">
              <w:rPr>
                <w:noProof/>
                <w:webHidden/>
              </w:rPr>
              <w:fldChar w:fldCharType="begin"/>
            </w:r>
            <w:r w:rsidR="00CC74B9" w:rsidRPr="00B06331">
              <w:rPr>
                <w:noProof/>
                <w:webHidden/>
              </w:rPr>
              <w:instrText xml:space="preserve"> PAGEREF _Toc492364780 \h </w:instrText>
            </w:r>
            <w:r w:rsidRPr="00B06331">
              <w:rPr>
                <w:noProof/>
                <w:webHidden/>
              </w:rPr>
            </w:r>
            <w:r w:rsidRPr="00B06331">
              <w:rPr>
                <w:noProof/>
                <w:webHidden/>
              </w:rPr>
              <w:fldChar w:fldCharType="separate"/>
            </w:r>
            <w:r w:rsidR="00B06331">
              <w:rPr>
                <w:noProof/>
                <w:webHidden/>
              </w:rPr>
              <w:t>152</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81" w:history="1">
            <w:r w:rsidR="00CC74B9" w:rsidRPr="00B06331">
              <w:rPr>
                <w:rStyle w:val="Hyperlink"/>
                <w:rFonts w:cs="Calibri"/>
                <w:noProof/>
              </w:rPr>
              <w:t>7.5.2. Health, Nutrition, and Sanitation</w:t>
            </w:r>
            <w:r w:rsidR="00CC74B9" w:rsidRPr="00B06331">
              <w:rPr>
                <w:noProof/>
                <w:webHidden/>
              </w:rPr>
              <w:tab/>
            </w:r>
            <w:r w:rsidRPr="00B06331">
              <w:rPr>
                <w:noProof/>
                <w:webHidden/>
              </w:rPr>
              <w:fldChar w:fldCharType="begin"/>
            </w:r>
            <w:r w:rsidR="00CC74B9" w:rsidRPr="00B06331">
              <w:rPr>
                <w:noProof/>
                <w:webHidden/>
              </w:rPr>
              <w:instrText xml:space="preserve"> PAGEREF _Toc492364781 \h </w:instrText>
            </w:r>
            <w:r w:rsidRPr="00B06331">
              <w:rPr>
                <w:noProof/>
                <w:webHidden/>
              </w:rPr>
            </w:r>
            <w:r w:rsidRPr="00B06331">
              <w:rPr>
                <w:noProof/>
                <w:webHidden/>
              </w:rPr>
              <w:fldChar w:fldCharType="separate"/>
            </w:r>
            <w:r w:rsidR="00B06331">
              <w:rPr>
                <w:noProof/>
                <w:webHidden/>
              </w:rPr>
              <w:t>158</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82" w:history="1">
            <w:r w:rsidR="00CC74B9" w:rsidRPr="00B06331">
              <w:rPr>
                <w:rStyle w:val="Hyperlink"/>
                <w:rFonts w:cs="Calibri"/>
                <w:noProof/>
              </w:rPr>
              <w:t>7.5.3. Social protection</w:t>
            </w:r>
            <w:r w:rsidR="00CC74B9" w:rsidRPr="00B06331">
              <w:rPr>
                <w:noProof/>
                <w:webHidden/>
              </w:rPr>
              <w:tab/>
            </w:r>
            <w:r w:rsidRPr="00B06331">
              <w:rPr>
                <w:noProof/>
                <w:webHidden/>
              </w:rPr>
              <w:fldChar w:fldCharType="begin"/>
            </w:r>
            <w:r w:rsidR="00CC74B9" w:rsidRPr="00B06331">
              <w:rPr>
                <w:noProof/>
                <w:webHidden/>
              </w:rPr>
              <w:instrText xml:space="preserve"> PAGEREF _Toc492364782 \h </w:instrText>
            </w:r>
            <w:r w:rsidRPr="00B06331">
              <w:rPr>
                <w:noProof/>
                <w:webHidden/>
              </w:rPr>
            </w:r>
            <w:r w:rsidRPr="00B06331">
              <w:rPr>
                <w:noProof/>
                <w:webHidden/>
              </w:rPr>
              <w:fldChar w:fldCharType="separate"/>
            </w:r>
            <w:r w:rsidR="00B06331">
              <w:rPr>
                <w:noProof/>
                <w:webHidden/>
              </w:rPr>
              <w:t>166</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83" w:history="1">
            <w:r w:rsidR="00CC74B9" w:rsidRPr="00B06331">
              <w:rPr>
                <w:rStyle w:val="Hyperlink"/>
                <w:rFonts w:cs="Calibri"/>
                <w:noProof/>
              </w:rPr>
              <w:t>7.6 Energy &amp; Infrastructure</w:t>
            </w:r>
            <w:r w:rsidR="00CC74B9" w:rsidRPr="00B06331">
              <w:rPr>
                <w:noProof/>
                <w:webHidden/>
              </w:rPr>
              <w:tab/>
            </w:r>
            <w:r w:rsidRPr="00B06331">
              <w:rPr>
                <w:noProof/>
                <w:webHidden/>
              </w:rPr>
              <w:fldChar w:fldCharType="begin"/>
            </w:r>
            <w:r w:rsidR="00CC74B9" w:rsidRPr="00B06331">
              <w:rPr>
                <w:noProof/>
                <w:webHidden/>
              </w:rPr>
              <w:instrText xml:space="preserve"> PAGEREF _Toc492364783 \h </w:instrText>
            </w:r>
            <w:r w:rsidRPr="00B06331">
              <w:rPr>
                <w:noProof/>
                <w:webHidden/>
              </w:rPr>
            </w:r>
            <w:r w:rsidRPr="00B06331">
              <w:rPr>
                <w:noProof/>
                <w:webHidden/>
              </w:rPr>
              <w:fldChar w:fldCharType="separate"/>
            </w:r>
            <w:r w:rsidR="00B06331">
              <w:rPr>
                <w:noProof/>
                <w:webHidden/>
              </w:rPr>
              <w:t>169</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84" w:history="1">
            <w:r w:rsidR="00CC74B9" w:rsidRPr="00B06331">
              <w:rPr>
                <w:rStyle w:val="Hyperlink"/>
                <w:rFonts w:cstheme="minorHAnsi"/>
                <w:noProof/>
              </w:rPr>
              <w:t>7.6.1. Energy</w:t>
            </w:r>
            <w:r w:rsidR="00CC74B9" w:rsidRPr="00B06331">
              <w:rPr>
                <w:noProof/>
                <w:webHidden/>
              </w:rPr>
              <w:tab/>
            </w:r>
            <w:r w:rsidRPr="00B06331">
              <w:rPr>
                <w:noProof/>
                <w:webHidden/>
              </w:rPr>
              <w:fldChar w:fldCharType="begin"/>
            </w:r>
            <w:r w:rsidR="00CC74B9" w:rsidRPr="00B06331">
              <w:rPr>
                <w:noProof/>
                <w:webHidden/>
              </w:rPr>
              <w:instrText xml:space="preserve"> PAGEREF _Toc492364784 \h </w:instrText>
            </w:r>
            <w:r w:rsidRPr="00B06331">
              <w:rPr>
                <w:noProof/>
                <w:webHidden/>
              </w:rPr>
            </w:r>
            <w:r w:rsidRPr="00B06331">
              <w:rPr>
                <w:noProof/>
                <w:webHidden/>
              </w:rPr>
              <w:fldChar w:fldCharType="separate"/>
            </w:r>
            <w:r w:rsidR="00B06331">
              <w:rPr>
                <w:noProof/>
                <w:webHidden/>
              </w:rPr>
              <w:t>170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85" w:history="1">
            <w:r w:rsidR="00CC74B9" w:rsidRPr="00B06331">
              <w:rPr>
                <w:rStyle w:val="Hyperlink"/>
                <w:rFonts w:cs="Calibri"/>
                <w:noProof/>
              </w:rPr>
              <w:t>7.6.2. Petroleum</w:t>
            </w:r>
            <w:r w:rsidR="00CC74B9" w:rsidRPr="00B06331">
              <w:rPr>
                <w:noProof/>
                <w:webHidden/>
              </w:rPr>
              <w:tab/>
            </w:r>
            <w:r w:rsidRPr="00B06331">
              <w:rPr>
                <w:noProof/>
                <w:webHidden/>
              </w:rPr>
              <w:fldChar w:fldCharType="begin"/>
            </w:r>
            <w:r w:rsidR="00CC74B9" w:rsidRPr="00B06331">
              <w:rPr>
                <w:noProof/>
                <w:webHidden/>
              </w:rPr>
              <w:instrText xml:space="preserve"> PAGEREF _Toc492364785 \h </w:instrText>
            </w:r>
            <w:r w:rsidRPr="00B06331">
              <w:rPr>
                <w:noProof/>
                <w:webHidden/>
              </w:rPr>
            </w:r>
            <w:r w:rsidRPr="00B06331">
              <w:rPr>
                <w:noProof/>
                <w:webHidden/>
              </w:rPr>
              <w:fldChar w:fldCharType="separate"/>
            </w:r>
            <w:r w:rsidR="00B06331">
              <w:rPr>
                <w:noProof/>
                <w:webHidden/>
              </w:rPr>
              <w:t>175</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86" w:history="1">
            <w:r w:rsidR="00CC74B9" w:rsidRPr="00B06331">
              <w:rPr>
                <w:rStyle w:val="Hyperlink"/>
                <w:rFonts w:cs="Calibri"/>
                <w:noProof/>
              </w:rPr>
              <w:t>7.6.3. Transport</w:t>
            </w:r>
            <w:r w:rsidR="00CC74B9" w:rsidRPr="00B06331">
              <w:rPr>
                <w:noProof/>
                <w:webHidden/>
              </w:rPr>
              <w:tab/>
            </w:r>
            <w:r w:rsidRPr="00B06331">
              <w:rPr>
                <w:noProof/>
                <w:webHidden/>
              </w:rPr>
              <w:fldChar w:fldCharType="begin"/>
            </w:r>
            <w:r w:rsidR="00CC74B9" w:rsidRPr="00B06331">
              <w:rPr>
                <w:noProof/>
                <w:webHidden/>
              </w:rPr>
              <w:instrText xml:space="preserve"> PAGEREF _Toc492364786 \h </w:instrText>
            </w:r>
            <w:r w:rsidRPr="00B06331">
              <w:rPr>
                <w:noProof/>
                <w:webHidden/>
              </w:rPr>
            </w:r>
            <w:r w:rsidRPr="00B06331">
              <w:rPr>
                <w:noProof/>
                <w:webHidden/>
              </w:rPr>
              <w:fldChar w:fldCharType="separate"/>
            </w:r>
            <w:r w:rsidR="00B06331">
              <w:rPr>
                <w:noProof/>
                <w:webHidden/>
              </w:rPr>
              <w:t>175</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787" w:history="1">
            <w:r w:rsidR="00CC74B9" w:rsidRPr="00B06331">
              <w:rPr>
                <w:rStyle w:val="Hyperlink"/>
                <w:rFonts w:cs="Calibri"/>
                <w:noProof/>
              </w:rPr>
              <w:t>7.6.4. Public Works Infrastructure</w:t>
            </w:r>
            <w:r w:rsidR="00CC74B9" w:rsidRPr="00B06331">
              <w:rPr>
                <w:noProof/>
                <w:webHidden/>
              </w:rPr>
              <w:tab/>
            </w:r>
            <w:r w:rsidRPr="00B06331">
              <w:rPr>
                <w:noProof/>
                <w:webHidden/>
              </w:rPr>
              <w:fldChar w:fldCharType="begin"/>
            </w:r>
            <w:r w:rsidR="00CC74B9" w:rsidRPr="00B06331">
              <w:rPr>
                <w:noProof/>
                <w:webHidden/>
              </w:rPr>
              <w:instrText xml:space="preserve"> PAGEREF _Toc492364787 \h </w:instrText>
            </w:r>
            <w:r w:rsidRPr="00B06331">
              <w:rPr>
                <w:noProof/>
                <w:webHidden/>
              </w:rPr>
            </w:r>
            <w:r w:rsidRPr="00B06331">
              <w:rPr>
                <w:noProof/>
                <w:webHidden/>
              </w:rPr>
              <w:fldChar w:fldCharType="separate"/>
            </w:r>
            <w:r w:rsidR="00B06331">
              <w:rPr>
                <w:noProof/>
                <w:webHidden/>
              </w:rPr>
              <w:t>181</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88" w:history="1">
            <w:r w:rsidR="00CC74B9" w:rsidRPr="00B06331">
              <w:rPr>
                <w:rStyle w:val="Hyperlink"/>
                <w:rFonts w:cs="Calibri"/>
                <w:noProof/>
              </w:rPr>
              <w:t>7.7 Tourism &amp; Culture</w:t>
            </w:r>
            <w:r w:rsidR="00CC74B9" w:rsidRPr="00B06331">
              <w:rPr>
                <w:noProof/>
                <w:webHidden/>
              </w:rPr>
              <w:tab/>
            </w:r>
            <w:r w:rsidRPr="00B06331">
              <w:rPr>
                <w:noProof/>
                <w:webHidden/>
              </w:rPr>
              <w:fldChar w:fldCharType="begin"/>
            </w:r>
            <w:r w:rsidR="00CC74B9" w:rsidRPr="00B06331">
              <w:rPr>
                <w:noProof/>
                <w:webHidden/>
              </w:rPr>
              <w:instrText xml:space="preserve"> PAGEREF _Toc492364788 \h </w:instrText>
            </w:r>
            <w:r w:rsidRPr="00B06331">
              <w:rPr>
                <w:noProof/>
                <w:webHidden/>
              </w:rPr>
            </w:r>
            <w:r w:rsidRPr="00B06331">
              <w:rPr>
                <w:noProof/>
                <w:webHidden/>
              </w:rPr>
              <w:fldChar w:fldCharType="separate"/>
            </w:r>
            <w:r w:rsidR="00B06331">
              <w:rPr>
                <w:noProof/>
                <w:webHidden/>
              </w:rPr>
              <w:t>181</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89" w:history="1">
            <w:r w:rsidR="00CC74B9" w:rsidRPr="00B06331">
              <w:rPr>
                <w:rStyle w:val="Hyperlink"/>
                <w:rFonts w:cs="Calibri"/>
                <w:noProof/>
              </w:rPr>
              <w:t>7.8. Youth Empowerment and Development</w:t>
            </w:r>
            <w:r w:rsidR="00CC74B9" w:rsidRPr="00B06331">
              <w:rPr>
                <w:noProof/>
                <w:webHidden/>
              </w:rPr>
              <w:tab/>
            </w:r>
            <w:r w:rsidRPr="00B06331">
              <w:rPr>
                <w:noProof/>
                <w:webHidden/>
              </w:rPr>
              <w:fldChar w:fldCharType="begin"/>
            </w:r>
            <w:r w:rsidR="00CC74B9" w:rsidRPr="00B06331">
              <w:rPr>
                <w:noProof/>
                <w:webHidden/>
              </w:rPr>
              <w:instrText xml:space="preserve"> PAGEREF _Toc492364789 \h </w:instrText>
            </w:r>
            <w:r w:rsidRPr="00B06331">
              <w:rPr>
                <w:noProof/>
                <w:webHidden/>
              </w:rPr>
            </w:r>
            <w:r w:rsidRPr="00B06331">
              <w:rPr>
                <w:noProof/>
                <w:webHidden/>
              </w:rPr>
              <w:fldChar w:fldCharType="separate"/>
            </w:r>
            <w:r w:rsidR="00B06331">
              <w:rPr>
                <w:noProof/>
                <w:webHidden/>
              </w:rPr>
              <w:t>186</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0" w:history="1">
            <w:r w:rsidR="00CC74B9" w:rsidRPr="00B06331">
              <w:rPr>
                <w:rStyle w:val="Hyperlink"/>
                <w:rFonts w:cs="Calibri"/>
                <w:noProof/>
              </w:rPr>
              <w:t>7.9 Private Sector Development and Trade</w:t>
            </w:r>
            <w:r w:rsidR="00CC74B9" w:rsidRPr="00B06331">
              <w:rPr>
                <w:noProof/>
                <w:webHidden/>
              </w:rPr>
              <w:tab/>
            </w:r>
            <w:r w:rsidRPr="00B06331">
              <w:rPr>
                <w:noProof/>
                <w:webHidden/>
              </w:rPr>
              <w:fldChar w:fldCharType="begin"/>
            </w:r>
            <w:r w:rsidR="00CC74B9" w:rsidRPr="00B06331">
              <w:rPr>
                <w:noProof/>
                <w:webHidden/>
              </w:rPr>
              <w:instrText xml:space="preserve"> PAGEREF _Toc492364790 \h </w:instrText>
            </w:r>
            <w:r w:rsidRPr="00B06331">
              <w:rPr>
                <w:noProof/>
                <w:webHidden/>
              </w:rPr>
            </w:r>
            <w:r w:rsidRPr="00B06331">
              <w:rPr>
                <w:noProof/>
                <w:webHidden/>
              </w:rPr>
              <w:fldChar w:fldCharType="separate"/>
            </w:r>
            <w:r w:rsidR="00B06331">
              <w:rPr>
                <w:noProof/>
                <w:webHidden/>
              </w:rPr>
              <w:t>196</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791" w:history="1">
            <w:r w:rsidR="00CC74B9" w:rsidRPr="00B06331">
              <w:rPr>
                <w:rStyle w:val="Hyperlink"/>
                <w:rFonts w:cs="Calibri"/>
              </w:rPr>
              <w:t>Chapter 8: Critical Enablers</w:t>
            </w:r>
            <w:r w:rsidR="00CC74B9" w:rsidRPr="00B06331">
              <w:rPr>
                <w:webHidden/>
              </w:rPr>
              <w:tab/>
            </w:r>
            <w:r w:rsidRPr="00B06331">
              <w:rPr>
                <w:webHidden/>
              </w:rPr>
              <w:fldChar w:fldCharType="begin"/>
            </w:r>
            <w:r w:rsidR="00CC74B9" w:rsidRPr="00B06331">
              <w:rPr>
                <w:webHidden/>
              </w:rPr>
              <w:instrText xml:space="preserve"> PAGEREF _Toc492364791 \h </w:instrText>
            </w:r>
            <w:r w:rsidRPr="00B06331">
              <w:rPr>
                <w:webHidden/>
              </w:rPr>
            </w:r>
            <w:r w:rsidRPr="00B06331">
              <w:rPr>
                <w:webHidden/>
              </w:rPr>
              <w:fldChar w:fldCharType="separate"/>
            </w:r>
            <w:r w:rsidR="00B06331">
              <w:rPr>
                <w:webHidden/>
              </w:rPr>
              <w:t>208</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2" w:history="1">
            <w:r w:rsidR="00CC74B9" w:rsidRPr="00B06331">
              <w:rPr>
                <w:rStyle w:val="Hyperlink"/>
                <w:rFonts w:cs="Calibri"/>
                <w:noProof/>
              </w:rPr>
              <w:t>8.1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_Toc492364792 \h </w:instrText>
            </w:r>
            <w:r w:rsidRPr="00B06331">
              <w:rPr>
                <w:noProof/>
                <w:webHidden/>
              </w:rPr>
            </w:r>
            <w:r w:rsidRPr="00B06331">
              <w:rPr>
                <w:noProof/>
                <w:webHidden/>
              </w:rPr>
              <w:fldChar w:fldCharType="separate"/>
            </w:r>
            <w:r w:rsidR="00B06331">
              <w:rPr>
                <w:noProof/>
                <w:webHidden/>
              </w:rPr>
              <w:t>208</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3" w:history="1">
            <w:r w:rsidR="00CC74B9" w:rsidRPr="00B06331">
              <w:rPr>
                <w:rStyle w:val="Hyperlink"/>
                <w:rFonts w:cs="Calibri"/>
                <w:noProof/>
              </w:rPr>
              <w:t>8.2 Strengthening Public Institutions</w:t>
            </w:r>
            <w:r w:rsidR="00CC74B9" w:rsidRPr="00B06331">
              <w:rPr>
                <w:noProof/>
                <w:webHidden/>
              </w:rPr>
              <w:tab/>
            </w:r>
            <w:r w:rsidRPr="00B06331">
              <w:rPr>
                <w:noProof/>
                <w:webHidden/>
              </w:rPr>
              <w:fldChar w:fldCharType="begin"/>
            </w:r>
            <w:r w:rsidR="00CC74B9" w:rsidRPr="00B06331">
              <w:rPr>
                <w:noProof/>
                <w:webHidden/>
              </w:rPr>
              <w:instrText xml:space="preserve"> PAGEREF _Toc492364793 \h </w:instrText>
            </w:r>
            <w:r w:rsidRPr="00B06331">
              <w:rPr>
                <w:noProof/>
                <w:webHidden/>
              </w:rPr>
            </w:r>
            <w:r w:rsidRPr="00B06331">
              <w:rPr>
                <w:noProof/>
                <w:webHidden/>
              </w:rPr>
              <w:fldChar w:fldCharType="separate"/>
            </w:r>
            <w:r w:rsidR="00B06331">
              <w:rPr>
                <w:noProof/>
                <w:webHidden/>
              </w:rPr>
              <w:t>208</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4" w:history="1">
            <w:r w:rsidR="00CC74B9" w:rsidRPr="00B06331">
              <w:rPr>
                <w:rStyle w:val="Hyperlink"/>
                <w:rFonts w:cs="Calibri"/>
                <w:noProof/>
              </w:rPr>
              <w:t>8.3 Empowerment of Women</w:t>
            </w:r>
            <w:r w:rsidR="00CC74B9" w:rsidRPr="00B06331">
              <w:rPr>
                <w:noProof/>
                <w:webHidden/>
              </w:rPr>
              <w:tab/>
            </w:r>
            <w:r w:rsidRPr="00B06331">
              <w:rPr>
                <w:noProof/>
                <w:webHidden/>
              </w:rPr>
              <w:fldChar w:fldCharType="begin"/>
            </w:r>
            <w:r w:rsidR="00CC74B9" w:rsidRPr="00B06331">
              <w:rPr>
                <w:noProof/>
                <w:webHidden/>
              </w:rPr>
              <w:instrText xml:space="preserve"> PAGEREF _Toc492364794 \h </w:instrText>
            </w:r>
            <w:r w:rsidRPr="00B06331">
              <w:rPr>
                <w:noProof/>
                <w:webHidden/>
              </w:rPr>
            </w:r>
            <w:r w:rsidRPr="00B06331">
              <w:rPr>
                <w:noProof/>
                <w:webHidden/>
              </w:rPr>
              <w:fldChar w:fldCharType="separate"/>
            </w:r>
            <w:r w:rsidR="00B06331">
              <w:rPr>
                <w:noProof/>
                <w:webHidden/>
              </w:rPr>
              <w:t>210</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5" w:history="1">
            <w:r w:rsidR="00CC74B9" w:rsidRPr="00B06331">
              <w:rPr>
                <w:rStyle w:val="Hyperlink"/>
                <w:rFonts w:cs="Calibri"/>
                <w:noProof/>
              </w:rPr>
              <w:t>8.4 Environment, Natural Resources, Climate Change &amp; Disaster Risk Reduction</w:t>
            </w:r>
            <w:r w:rsidR="00CC74B9" w:rsidRPr="00B06331">
              <w:rPr>
                <w:noProof/>
                <w:webHidden/>
              </w:rPr>
              <w:tab/>
            </w:r>
            <w:r w:rsidRPr="00B06331">
              <w:rPr>
                <w:noProof/>
                <w:webHidden/>
              </w:rPr>
              <w:fldChar w:fldCharType="begin"/>
            </w:r>
            <w:r w:rsidR="00CC74B9" w:rsidRPr="00B06331">
              <w:rPr>
                <w:noProof/>
                <w:webHidden/>
              </w:rPr>
              <w:instrText xml:space="preserve"> PAGEREF _Toc492364795 \h </w:instrText>
            </w:r>
            <w:r w:rsidRPr="00B06331">
              <w:rPr>
                <w:noProof/>
                <w:webHidden/>
              </w:rPr>
            </w:r>
            <w:r w:rsidRPr="00B06331">
              <w:rPr>
                <w:noProof/>
                <w:webHidden/>
              </w:rPr>
              <w:fldChar w:fldCharType="separate"/>
            </w:r>
            <w:r w:rsidR="00B06331">
              <w:rPr>
                <w:noProof/>
                <w:webHidden/>
              </w:rPr>
              <w:t>213</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6" w:history="1">
            <w:r w:rsidR="00CC74B9" w:rsidRPr="00B06331">
              <w:rPr>
                <w:rStyle w:val="Hyperlink"/>
                <w:rFonts w:cs="Calibri"/>
                <w:noProof/>
              </w:rPr>
              <w:t>8.5 Decentralization, Land use Planning &amp; Management</w:t>
            </w:r>
            <w:r w:rsidR="00CC74B9" w:rsidRPr="00B06331">
              <w:rPr>
                <w:noProof/>
                <w:webHidden/>
              </w:rPr>
              <w:tab/>
            </w:r>
            <w:r w:rsidRPr="00B06331">
              <w:rPr>
                <w:noProof/>
                <w:webHidden/>
              </w:rPr>
              <w:fldChar w:fldCharType="begin"/>
            </w:r>
            <w:r w:rsidR="00CC74B9" w:rsidRPr="00B06331">
              <w:rPr>
                <w:noProof/>
                <w:webHidden/>
              </w:rPr>
              <w:instrText xml:space="preserve"> PAGEREF _Toc492364796 \h </w:instrText>
            </w:r>
            <w:r w:rsidRPr="00B06331">
              <w:rPr>
                <w:noProof/>
                <w:webHidden/>
              </w:rPr>
            </w:r>
            <w:r w:rsidRPr="00B06331">
              <w:rPr>
                <w:noProof/>
                <w:webHidden/>
              </w:rPr>
              <w:fldChar w:fldCharType="separate"/>
            </w:r>
            <w:r w:rsidR="00B06331">
              <w:rPr>
                <w:noProof/>
                <w:webHidden/>
              </w:rPr>
              <w:t>217</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7" w:history="1">
            <w:r w:rsidR="00CC74B9" w:rsidRPr="00B06331">
              <w:rPr>
                <w:rStyle w:val="Hyperlink"/>
                <w:rFonts w:cs="Calibri"/>
                <w:noProof/>
              </w:rPr>
              <w:t>8.6 Information Communication Technology</w:t>
            </w:r>
            <w:r w:rsidR="00CC74B9" w:rsidRPr="00B06331">
              <w:rPr>
                <w:noProof/>
                <w:webHidden/>
              </w:rPr>
              <w:tab/>
            </w:r>
            <w:r w:rsidRPr="00B06331">
              <w:rPr>
                <w:noProof/>
                <w:webHidden/>
              </w:rPr>
              <w:fldChar w:fldCharType="begin"/>
            </w:r>
            <w:r w:rsidR="00CC74B9" w:rsidRPr="00B06331">
              <w:rPr>
                <w:noProof/>
                <w:webHidden/>
              </w:rPr>
              <w:instrText xml:space="preserve"> PAGEREF _Toc492364797 \h </w:instrText>
            </w:r>
            <w:r w:rsidRPr="00B06331">
              <w:rPr>
                <w:noProof/>
                <w:webHidden/>
              </w:rPr>
            </w:r>
            <w:r w:rsidRPr="00B06331">
              <w:rPr>
                <w:noProof/>
                <w:webHidden/>
              </w:rPr>
              <w:fldChar w:fldCharType="separate"/>
            </w:r>
            <w:r w:rsidR="00B06331">
              <w:rPr>
                <w:noProof/>
                <w:webHidden/>
              </w:rPr>
              <w:t>220</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8" w:history="1">
            <w:r w:rsidR="00CC74B9" w:rsidRPr="00B06331">
              <w:rPr>
                <w:rStyle w:val="Hyperlink"/>
                <w:rFonts w:cs="Calibri"/>
                <w:noProof/>
              </w:rPr>
              <w:t>8.7 Strengthening Civil Society and Non -State Actors</w:t>
            </w:r>
            <w:r w:rsidR="00CC74B9" w:rsidRPr="00B06331">
              <w:rPr>
                <w:noProof/>
                <w:webHidden/>
              </w:rPr>
              <w:tab/>
            </w:r>
            <w:r w:rsidRPr="00B06331">
              <w:rPr>
                <w:noProof/>
                <w:webHidden/>
              </w:rPr>
              <w:fldChar w:fldCharType="begin"/>
            </w:r>
            <w:r w:rsidR="00CC74B9" w:rsidRPr="00B06331">
              <w:rPr>
                <w:noProof/>
                <w:webHidden/>
              </w:rPr>
              <w:instrText xml:space="preserve"> PAGEREF _Toc492364798 \h </w:instrText>
            </w:r>
            <w:r w:rsidRPr="00B06331">
              <w:rPr>
                <w:noProof/>
                <w:webHidden/>
              </w:rPr>
            </w:r>
            <w:r w:rsidRPr="00B06331">
              <w:rPr>
                <w:noProof/>
                <w:webHidden/>
              </w:rPr>
              <w:fldChar w:fldCharType="separate"/>
            </w:r>
            <w:r w:rsidR="00B06331">
              <w:rPr>
                <w:noProof/>
                <w:webHidden/>
              </w:rPr>
              <w:t>223</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799" w:history="1">
            <w:r w:rsidR="00CC74B9" w:rsidRPr="00B06331">
              <w:rPr>
                <w:rStyle w:val="Hyperlink"/>
                <w:rFonts w:cs="Calibri"/>
                <w:noProof/>
              </w:rPr>
              <w:t>8.8 Data for Development (D4D)</w:t>
            </w:r>
            <w:r w:rsidR="00CC74B9" w:rsidRPr="00B06331">
              <w:rPr>
                <w:noProof/>
                <w:webHidden/>
              </w:rPr>
              <w:tab/>
            </w:r>
            <w:r w:rsidRPr="00B06331">
              <w:rPr>
                <w:noProof/>
                <w:webHidden/>
              </w:rPr>
              <w:fldChar w:fldCharType="begin"/>
            </w:r>
            <w:r w:rsidR="00CC74B9" w:rsidRPr="00B06331">
              <w:rPr>
                <w:noProof/>
                <w:webHidden/>
              </w:rPr>
              <w:instrText xml:space="preserve"> PAGEREF _Toc492364799 \h </w:instrText>
            </w:r>
            <w:r w:rsidRPr="00B06331">
              <w:rPr>
                <w:noProof/>
                <w:webHidden/>
              </w:rPr>
            </w:r>
            <w:r w:rsidRPr="00B06331">
              <w:rPr>
                <w:noProof/>
                <w:webHidden/>
              </w:rPr>
              <w:fldChar w:fldCharType="separate"/>
            </w:r>
            <w:r w:rsidR="00B06331">
              <w:rPr>
                <w:noProof/>
                <w:webHidden/>
              </w:rPr>
              <w:t>223</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800" w:history="1">
            <w:r w:rsidR="00CC74B9" w:rsidRPr="00B06331">
              <w:rPr>
                <w:rStyle w:val="Hyperlink"/>
                <w:rFonts w:cs="Calibri"/>
              </w:rPr>
              <w:t>Chapter 9: The Accountability Framework</w:t>
            </w:r>
            <w:r w:rsidR="00CC74B9" w:rsidRPr="00B06331">
              <w:rPr>
                <w:webHidden/>
              </w:rPr>
              <w:tab/>
            </w:r>
            <w:r w:rsidRPr="00B06331">
              <w:rPr>
                <w:webHidden/>
              </w:rPr>
              <w:fldChar w:fldCharType="begin"/>
            </w:r>
            <w:r w:rsidR="00CC74B9" w:rsidRPr="00B06331">
              <w:rPr>
                <w:webHidden/>
              </w:rPr>
              <w:instrText xml:space="preserve"> PAGEREF _Toc492364800 \h </w:instrText>
            </w:r>
            <w:r w:rsidRPr="00B06331">
              <w:rPr>
                <w:webHidden/>
              </w:rPr>
            </w:r>
            <w:r w:rsidRPr="00B06331">
              <w:rPr>
                <w:webHidden/>
              </w:rPr>
              <w:fldChar w:fldCharType="separate"/>
            </w:r>
            <w:r w:rsidR="00B06331">
              <w:rPr>
                <w:webHidden/>
              </w:rPr>
              <w:t>224</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01" w:history="1">
            <w:r w:rsidR="00CC74B9" w:rsidRPr="00B06331">
              <w:rPr>
                <w:rStyle w:val="Hyperlink"/>
                <w:noProof/>
              </w:rPr>
              <w:t>9.1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_Toc492364801 \h </w:instrText>
            </w:r>
            <w:r w:rsidRPr="00B06331">
              <w:rPr>
                <w:noProof/>
                <w:webHidden/>
              </w:rPr>
            </w:r>
            <w:r w:rsidRPr="00B06331">
              <w:rPr>
                <w:noProof/>
                <w:webHidden/>
              </w:rPr>
              <w:fldChar w:fldCharType="separate"/>
            </w:r>
            <w:r w:rsidR="00B06331">
              <w:rPr>
                <w:noProof/>
                <w:webHidden/>
              </w:rPr>
              <w:t>224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02" w:history="1">
            <w:r w:rsidR="00CC74B9" w:rsidRPr="00B06331">
              <w:rPr>
                <w:rStyle w:val="Hyperlink"/>
                <w:noProof/>
              </w:rPr>
              <w:t>9.2. Implementation Arrangements</w:t>
            </w:r>
            <w:r w:rsidR="00CC74B9" w:rsidRPr="00B06331">
              <w:rPr>
                <w:noProof/>
                <w:webHidden/>
              </w:rPr>
              <w:tab/>
            </w:r>
            <w:r w:rsidRPr="00B06331">
              <w:rPr>
                <w:noProof/>
                <w:webHidden/>
              </w:rPr>
              <w:fldChar w:fldCharType="begin"/>
            </w:r>
            <w:r w:rsidR="00CC74B9" w:rsidRPr="00B06331">
              <w:rPr>
                <w:noProof/>
                <w:webHidden/>
              </w:rPr>
              <w:instrText xml:space="preserve"> PAGEREF _Toc492364802 \h </w:instrText>
            </w:r>
            <w:r w:rsidRPr="00B06331">
              <w:rPr>
                <w:noProof/>
                <w:webHidden/>
              </w:rPr>
            </w:r>
            <w:r w:rsidRPr="00B06331">
              <w:rPr>
                <w:noProof/>
                <w:webHidden/>
              </w:rPr>
              <w:fldChar w:fldCharType="separate"/>
            </w:r>
            <w:r w:rsidR="00B06331">
              <w:rPr>
                <w:noProof/>
                <w:webHidden/>
              </w:rPr>
              <w:t>224</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803" w:history="1">
            <w:r w:rsidR="00CC74B9" w:rsidRPr="00B06331">
              <w:rPr>
                <w:rStyle w:val="Hyperlink"/>
                <w:noProof/>
              </w:rPr>
              <w:t>9.2.1 Institutional Arrangements</w:t>
            </w:r>
            <w:r w:rsidR="00CC74B9" w:rsidRPr="00B06331">
              <w:rPr>
                <w:noProof/>
                <w:webHidden/>
              </w:rPr>
              <w:tab/>
            </w:r>
            <w:r w:rsidRPr="00B06331">
              <w:rPr>
                <w:noProof/>
                <w:webHidden/>
              </w:rPr>
              <w:fldChar w:fldCharType="begin"/>
            </w:r>
            <w:r w:rsidR="00CC74B9" w:rsidRPr="00B06331">
              <w:rPr>
                <w:noProof/>
                <w:webHidden/>
              </w:rPr>
              <w:instrText xml:space="preserve"> PAGEREF _Toc492364803 \h </w:instrText>
            </w:r>
            <w:r w:rsidRPr="00B06331">
              <w:rPr>
                <w:noProof/>
                <w:webHidden/>
              </w:rPr>
            </w:r>
            <w:r w:rsidRPr="00B06331">
              <w:rPr>
                <w:noProof/>
                <w:webHidden/>
              </w:rPr>
              <w:fldChar w:fldCharType="separate"/>
            </w:r>
            <w:r w:rsidR="00B06331">
              <w:rPr>
                <w:noProof/>
                <w:webHidden/>
              </w:rPr>
              <w:t>224</w:t>
            </w:r>
            <w:r w:rsidRPr="00B06331">
              <w:rPr>
                <w:noProof/>
                <w:webHidden/>
              </w:rPr>
              <w:fldChar w:fldCharType="end"/>
            </w:r>
          </w:hyperlink>
        </w:p>
        <w:p w:rsidR="00CC74B9" w:rsidRPr="00B06331" w:rsidRDefault="00965AD2">
          <w:pPr>
            <w:pStyle w:val="TOC3"/>
            <w:tabs>
              <w:tab w:val="left" w:pos="1320"/>
              <w:tab w:val="right" w:leader="dot" w:pos="9350"/>
            </w:tabs>
            <w:rPr>
              <w:rFonts w:asciiTheme="minorHAnsi" w:eastAsiaTheme="minorEastAsia" w:hAnsiTheme="minorHAnsi" w:cstheme="minorBidi"/>
              <w:noProof/>
            </w:rPr>
          </w:pPr>
          <w:hyperlink w:anchor="_Toc492364804" w:history="1">
            <w:r w:rsidR="00CC74B9" w:rsidRPr="00B06331">
              <w:rPr>
                <w:rStyle w:val="Hyperlink"/>
                <w:noProof/>
              </w:rPr>
              <w:t>9.2.2</w:t>
            </w:r>
            <w:r w:rsidR="00CC74B9" w:rsidRPr="00B06331">
              <w:rPr>
                <w:rFonts w:asciiTheme="minorHAnsi" w:eastAsiaTheme="minorEastAsia" w:hAnsiTheme="minorHAnsi" w:cstheme="minorBidi"/>
                <w:noProof/>
              </w:rPr>
              <w:tab/>
            </w:r>
            <w:r w:rsidR="00CC74B9" w:rsidRPr="00B06331">
              <w:rPr>
                <w:rStyle w:val="Hyperlink"/>
                <w:noProof/>
              </w:rPr>
              <w:t>Implementation Strategy</w:t>
            </w:r>
            <w:r w:rsidR="00CC74B9" w:rsidRPr="00B06331">
              <w:rPr>
                <w:noProof/>
                <w:webHidden/>
              </w:rPr>
              <w:tab/>
            </w:r>
            <w:r w:rsidRPr="00B06331">
              <w:rPr>
                <w:noProof/>
                <w:webHidden/>
              </w:rPr>
              <w:fldChar w:fldCharType="begin"/>
            </w:r>
            <w:r w:rsidR="00CC74B9" w:rsidRPr="00B06331">
              <w:rPr>
                <w:noProof/>
                <w:webHidden/>
              </w:rPr>
              <w:instrText xml:space="preserve"> PAGEREF _Toc492364804 \h </w:instrText>
            </w:r>
            <w:r w:rsidRPr="00B06331">
              <w:rPr>
                <w:noProof/>
                <w:webHidden/>
              </w:rPr>
            </w:r>
            <w:r w:rsidRPr="00B06331">
              <w:rPr>
                <w:noProof/>
                <w:webHidden/>
              </w:rPr>
              <w:fldChar w:fldCharType="separate"/>
            </w:r>
            <w:r w:rsidR="00B06331">
              <w:rPr>
                <w:noProof/>
                <w:webHidden/>
              </w:rPr>
              <w:t>230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805" w:history="1">
            <w:r w:rsidR="00CC74B9" w:rsidRPr="00B06331">
              <w:rPr>
                <w:rStyle w:val="Hyperlink"/>
                <w:noProof/>
              </w:rPr>
              <w:t>9.2.3 Plan Inception</w:t>
            </w:r>
            <w:r w:rsidR="00CC74B9" w:rsidRPr="00B06331">
              <w:rPr>
                <w:noProof/>
                <w:webHidden/>
              </w:rPr>
              <w:tab/>
            </w:r>
            <w:r w:rsidRPr="00B06331">
              <w:rPr>
                <w:noProof/>
                <w:webHidden/>
              </w:rPr>
              <w:fldChar w:fldCharType="begin"/>
            </w:r>
            <w:r w:rsidR="00CC74B9" w:rsidRPr="00B06331">
              <w:rPr>
                <w:noProof/>
                <w:webHidden/>
              </w:rPr>
              <w:instrText xml:space="preserve"> PAGEREF _Toc492364805 \h </w:instrText>
            </w:r>
            <w:r w:rsidRPr="00B06331">
              <w:rPr>
                <w:noProof/>
                <w:webHidden/>
              </w:rPr>
            </w:r>
            <w:r w:rsidRPr="00B06331">
              <w:rPr>
                <w:noProof/>
                <w:webHidden/>
              </w:rPr>
              <w:fldChar w:fldCharType="separate"/>
            </w:r>
            <w:r w:rsidR="00B06331">
              <w:rPr>
                <w:noProof/>
                <w:webHidden/>
              </w:rPr>
              <w:t>233</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06" w:history="1">
            <w:r w:rsidR="00CC74B9" w:rsidRPr="00B06331">
              <w:rPr>
                <w:rStyle w:val="Hyperlink"/>
                <w:rFonts w:cs="Calibri"/>
                <w:noProof/>
              </w:rPr>
              <w:t>9.3 Monitoring and Evaluation Processes</w:t>
            </w:r>
            <w:r w:rsidR="00CC74B9" w:rsidRPr="00B06331">
              <w:rPr>
                <w:noProof/>
                <w:webHidden/>
              </w:rPr>
              <w:tab/>
            </w:r>
            <w:r w:rsidRPr="00B06331">
              <w:rPr>
                <w:noProof/>
                <w:webHidden/>
              </w:rPr>
              <w:fldChar w:fldCharType="begin"/>
            </w:r>
            <w:r w:rsidR="00CC74B9" w:rsidRPr="00B06331">
              <w:rPr>
                <w:noProof/>
                <w:webHidden/>
              </w:rPr>
              <w:instrText xml:space="preserve"> PAGEREF _Toc492364806 \h </w:instrText>
            </w:r>
            <w:r w:rsidRPr="00B06331">
              <w:rPr>
                <w:noProof/>
                <w:webHidden/>
              </w:rPr>
            </w:r>
            <w:r w:rsidRPr="00B06331">
              <w:rPr>
                <w:noProof/>
                <w:webHidden/>
              </w:rPr>
              <w:fldChar w:fldCharType="separate"/>
            </w:r>
            <w:r w:rsidR="00B06331">
              <w:rPr>
                <w:noProof/>
                <w:webHidden/>
              </w:rPr>
              <w:t>234</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07" w:history="1">
            <w:r w:rsidR="00CC74B9" w:rsidRPr="00B06331">
              <w:rPr>
                <w:rStyle w:val="Hyperlink"/>
                <w:rFonts w:cs="Calibri"/>
                <w:noProof/>
              </w:rPr>
              <w:t>9.4 Strengthening Government - Citizens’ Engagement</w:t>
            </w:r>
            <w:r w:rsidR="00CC74B9" w:rsidRPr="00B06331">
              <w:rPr>
                <w:noProof/>
                <w:webHidden/>
              </w:rPr>
              <w:tab/>
            </w:r>
            <w:r w:rsidRPr="00B06331">
              <w:rPr>
                <w:noProof/>
                <w:webHidden/>
              </w:rPr>
              <w:fldChar w:fldCharType="begin"/>
            </w:r>
            <w:r w:rsidR="00CC74B9" w:rsidRPr="00B06331">
              <w:rPr>
                <w:noProof/>
                <w:webHidden/>
              </w:rPr>
              <w:instrText xml:space="preserve"> PAGEREF _Toc492364807 \h </w:instrText>
            </w:r>
            <w:r w:rsidRPr="00B06331">
              <w:rPr>
                <w:noProof/>
                <w:webHidden/>
              </w:rPr>
            </w:r>
            <w:r w:rsidRPr="00B06331">
              <w:rPr>
                <w:noProof/>
                <w:webHidden/>
              </w:rPr>
              <w:fldChar w:fldCharType="separate"/>
            </w:r>
            <w:r w:rsidR="00B06331">
              <w:rPr>
                <w:noProof/>
                <w:webHidden/>
              </w:rPr>
              <w:t>236</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808" w:history="1">
            <w:r w:rsidR="00CC74B9" w:rsidRPr="00B06331">
              <w:rPr>
                <w:rStyle w:val="Hyperlink"/>
                <w:rFonts w:cs="Calibri"/>
              </w:rPr>
              <w:t>Chapter 10: Resourcing the Plan</w:t>
            </w:r>
            <w:r w:rsidR="00CC74B9" w:rsidRPr="00B06331">
              <w:rPr>
                <w:webHidden/>
              </w:rPr>
              <w:tab/>
            </w:r>
            <w:r w:rsidRPr="00B06331">
              <w:rPr>
                <w:webHidden/>
              </w:rPr>
              <w:fldChar w:fldCharType="begin"/>
            </w:r>
            <w:r w:rsidR="00CC74B9" w:rsidRPr="00B06331">
              <w:rPr>
                <w:webHidden/>
              </w:rPr>
              <w:instrText xml:space="preserve"> PAGEREF _Toc492364808 \h </w:instrText>
            </w:r>
            <w:r w:rsidRPr="00B06331">
              <w:rPr>
                <w:webHidden/>
              </w:rPr>
            </w:r>
            <w:r w:rsidRPr="00B06331">
              <w:rPr>
                <w:webHidden/>
              </w:rPr>
              <w:fldChar w:fldCharType="separate"/>
            </w:r>
            <w:r w:rsidR="00B06331">
              <w:rPr>
                <w:webHidden/>
              </w:rPr>
              <w:t>238</w:t>
            </w:r>
            <w:r w:rsidRPr="00B06331">
              <w:rPr>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09" w:history="1">
            <w:r w:rsidR="00CC74B9" w:rsidRPr="00B06331">
              <w:rPr>
                <w:rStyle w:val="Hyperlink"/>
                <w:noProof/>
              </w:rPr>
              <w:t>10.1 Introduction</w:t>
            </w:r>
            <w:r w:rsidR="00CC74B9" w:rsidRPr="00B06331">
              <w:rPr>
                <w:noProof/>
                <w:webHidden/>
              </w:rPr>
              <w:tab/>
            </w:r>
            <w:r w:rsidRPr="00B06331">
              <w:rPr>
                <w:noProof/>
                <w:webHidden/>
              </w:rPr>
              <w:fldChar w:fldCharType="begin"/>
            </w:r>
            <w:r w:rsidR="00CC74B9" w:rsidRPr="00B06331">
              <w:rPr>
                <w:noProof/>
                <w:webHidden/>
              </w:rPr>
              <w:instrText xml:space="preserve"> PAGEREF _Toc492364809 \h </w:instrText>
            </w:r>
            <w:r w:rsidRPr="00B06331">
              <w:rPr>
                <w:noProof/>
                <w:webHidden/>
              </w:rPr>
            </w:r>
            <w:r w:rsidRPr="00B06331">
              <w:rPr>
                <w:noProof/>
                <w:webHidden/>
              </w:rPr>
              <w:fldChar w:fldCharType="separate"/>
            </w:r>
            <w:r w:rsidR="00B06331">
              <w:rPr>
                <w:noProof/>
                <w:webHidden/>
              </w:rPr>
              <w:t>238</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10" w:history="1">
            <w:r w:rsidR="00CC74B9" w:rsidRPr="00B06331">
              <w:rPr>
                <w:rStyle w:val="Hyperlink"/>
                <w:rFonts w:cs="Calibri"/>
                <w:noProof/>
              </w:rPr>
              <w:t>10.2 Domestic Economic Developments and Outlook</w:t>
            </w:r>
            <w:r w:rsidR="00CC74B9" w:rsidRPr="00B06331">
              <w:rPr>
                <w:noProof/>
                <w:webHidden/>
              </w:rPr>
              <w:tab/>
            </w:r>
            <w:r w:rsidRPr="00B06331">
              <w:rPr>
                <w:noProof/>
                <w:webHidden/>
              </w:rPr>
              <w:fldChar w:fldCharType="begin"/>
            </w:r>
            <w:r w:rsidR="00CC74B9" w:rsidRPr="00B06331">
              <w:rPr>
                <w:noProof/>
                <w:webHidden/>
              </w:rPr>
              <w:instrText xml:space="preserve"> PAGEREF _Toc492364810 \h </w:instrText>
            </w:r>
            <w:r w:rsidRPr="00B06331">
              <w:rPr>
                <w:noProof/>
                <w:webHidden/>
              </w:rPr>
            </w:r>
            <w:r w:rsidRPr="00B06331">
              <w:rPr>
                <w:noProof/>
                <w:webHidden/>
              </w:rPr>
              <w:fldChar w:fldCharType="separate"/>
            </w:r>
            <w:r w:rsidR="00B06331">
              <w:rPr>
                <w:noProof/>
                <w:webHidden/>
              </w:rPr>
              <w:t>238</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11" w:history="1">
            <w:r w:rsidR="00CC74B9" w:rsidRPr="00B06331">
              <w:rPr>
                <w:rStyle w:val="Hyperlink"/>
                <w:rFonts w:cs="Calibri"/>
                <w:noProof/>
              </w:rPr>
              <w:t>10.3 Forecasted Revenue for 2018-2020</w:t>
            </w:r>
            <w:r w:rsidR="00CC74B9" w:rsidRPr="00B06331">
              <w:rPr>
                <w:noProof/>
                <w:webHidden/>
              </w:rPr>
              <w:tab/>
            </w:r>
            <w:r w:rsidRPr="00B06331">
              <w:rPr>
                <w:noProof/>
                <w:webHidden/>
              </w:rPr>
              <w:fldChar w:fldCharType="begin"/>
            </w:r>
            <w:r w:rsidR="00CC74B9" w:rsidRPr="00B06331">
              <w:rPr>
                <w:noProof/>
                <w:webHidden/>
              </w:rPr>
              <w:instrText xml:space="preserve"> PAGEREF _Toc492364811 \h </w:instrText>
            </w:r>
            <w:r w:rsidRPr="00B06331">
              <w:rPr>
                <w:noProof/>
                <w:webHidden/>
              </w:rPr>
            </w:r>
            <w:r w:rsidRPr="00B06331">
              <w:rPr>
                <w:noProof/>
                <w:webHidden/>
              </w:rPr>
              <w:fldChar w:fldCharType="separate"/>
            </w:r>
            <w:r w:rsidR="00B06331">
              <w:rPr>
                <w:noProof/>
                <w:webHidden/>
              </w:rPr>
              <w:t>239</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12" w:history="1">
            <w:r w:rsidR="00CC74B9" w:rsidRPr="00B06331">
              <w:rPr>
                <w:rStyle w:val="Hyperlink"/>
                <w:rFonts w:cs="Calibri"/>
                <w:noProof/>
              </w:rPr>
              <w:t>10.4 Costing the Plan and the Funding Gap</w:t>
            </w:r>
            <w:r w:rsidR="00CC74B9" w:rsidRPr="00B06331">
              <w:rPr>
                <w:noProof/>
                <w:webHidden/>
              </w:rPr>
              <w:tab/>
            </w:r>
            <w:r w:rsidRPr="00B06331">
              <w:rPr>
                <w:noProof/>
                <w:webHidden/>
              </w:rPr>
              <w:fldChar w:fldCharType="begin"/>
            </w:r>
            <w:r w:rsidR="00CC74B9" w:rsidRPr="00B06331">
              <w:rPr>
                <w:noProof/>
                <w:webHidden/>
              </w:rPr>
              <w:instrText xml:space="preserve"> PAGEREF _Toc492364812 \h </w:instrText>
            </w:r>
            <w:r w:rsidRPr="00B06331">
              <w:rPr>
                <w:noProof/>
                <w:webHidden/>
              </w:rPr>
            </w:r>
            <w:r w:rsidRPr="00B06331">
              <w:rPr>
                <w:noProof/>
                <w:webHidden/>
              </w:rPr>
              <w:fldChar w:fldCharType="separate"/>
            </w:r>
            <w:r w:rsidR="00B06331">
              <w:rPr>
                <w:noProof/>
                <w:webHidden/>
              </w:rPr>
              <w:t>239</w:t>
            </w:r>
            <w:r w:rsidRPr="00B06331">
              <w:rPr>
                <w:noProof/>
                <w:webHidden/>
              </w:rPr>
              <w:fldChar w:fldCharType="end"/>
            </w:r>
          </w:hyperlink>
        </w:p>
        <w:p w:rsidR="00CC74B9" w:rsidRPr="00B06331" w:rsidRDefault="00965AD2">
          <w:pPr>
            <w:pStyle w:val="TOC2"/>
            <w:tabs>
              <w:tab w:val="right" w:leader="dot" w:pos="9350"/>
            </w:tabs>
            <w:rPr>
              <w:rFonts w:asciiTheme="minorHAnsi" w:eastAsiaTheme="minorEastAsia" w:hAnsiTheme="minorHAnsi" w:cstheme="minorBidi"/>
              <w:noProof/>
            </w:rPr>
          </w:pPr>
          <w:hyperlink w:anchor="_Toc492364813" w:history="1">
            <w:r w:rsidR="00CC74B9" w:rsidRPr="00B06331">
              <w:rPr>
                <w:rStyle w:val="Hyperlink"/>
                <w:rFonts w:cstheme="minorHAnsi"/>
                <w:noProof/>
              </w:rPr>
              <w:t>10.5 Strategies to Mobilize Resources</w:t>
            </w:r>
            <w:r w:rsidR="00CC74B9" w:rsidRPr="00B06331">
              <w:rPr>
                <w:noProof/>
                <w:webHidden/>
              </w:rPr>
              <w:tab/>
            </w:r>
            <w:r w:rsidRPr="00B06331">
              <w:rPr>
                <w:noProof/>
                <w:webHidden/>
              </w:rPr>
              <w:fldChar w:fldCharType="begin"/>
            </w:r>
            <w:r w:rsidR="00CC74B9" w:rsidRPr="00B06331">
              <w:rPr>
                <w:noProof/>
                <w:webHidden/>
              </w:rPr>
              <w:instrText xml:space="preserve"> PAGEREF _Toc492364813 \h </w:instrText>
            </w:r>
            <w:r w:rsidRPr="00B06331">
              <w:rPr>
                <w:noProof/>
                <w:webHidden/>
              </w:rPr>
            </w:r>
            <w:r w:rsidRPr="00B06331">
              <w:rPr>
                <w:noProof/>
                <w:webHidden/>
              </w:rPr>
              <w:fldChar w:fldCharType="separate"/>
            </w:r>
            <w:r w:rsidR="00B06331">
              <w:rPr>
                <w:noProof/>
                <w:webHidden/>
              </w:rPr>
              <w:t>240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814" w:history="1">
            <w:r w:rsidR="00CC74B9" w:rsidRPr="00B06331">
              <w:rPr>
                <w:rStyle w:val="Hyperlink"/>
                <w:rFonts w:cstheme="minorHAnsi"/>
                <w:noProof/>
              </w:rPr>
              <w:t>10.5.1 Domestic Resource Mobilization</w:t>
            </w:r>
            <w:r w:rsidR="00CC74B9" w:rsidRPr="00B06331">
              <w:rPr>
                <w:noProof/>
                <w:webHidden/>
              </w:rPr>
              <w:tab/>
            </w:r>
            <w:r w:rsidRPr="00B06331">
              <w:rPr>
                <w:noProof/>
                <w:webHidden/>
              </w:rPr>
              <w:fldChar w:fldCharType="begin"/>
            </w:r>
            <w:r w:rsidR="00CC74B9" w:rsidRPr="00B06331">
              <w:rPr>
                <w:noProof/>
                <w:webHidden/>
              </w:rPr>
              <w:instrText xml:space="preserve"> PAGEREF _Toc492364814 \h </w:instrText>
            </w:r>
            <w:r w:rsidRPr="00B06331">
              <w:rPr>
                <w:noProof/>
                <w:webHidden/>
              </w:rPr>
            </w:r>
            <w:r w:rsidRPr="00B06331">
              <w:rPr>
                <w:noProof/>
                <w:webHidden/>
              </w:rPr>
              <w:fldChar w:fldCharType="separate"/>
            </w:r>
            <w:r w:rsidR="00B06331">
              <w:rPr>
                <w:noProof/>
                <w:webHidden/>
              </w:rPr>
              <w:t>240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815" w:history="1">
            <w:r w:rsidR="00CC74B9" w:rsidRPr="00B06331">
              <w:rPr>
                <w:rStyle w:val="Hyperlink"/>
                <w:rFonts w:cstheme="minorHAnsi"/>
                <w:noProof/>
              </w:rPr>
              <w:t>10.5.2 Innovative Financing</w:t>
            </w:r>
            <w:r w:rsidR="00CC74B9" w:rsidRPr="00B06331">
              <w:rPr>
                <w:noProof/>
                <w:webHidden/>
              </w:rPr>
              <w:tab/>
            </w:r>
            <w:r w:rsidRPr="00B06331">
              <w:rPr>
                <w:noProof/>
                <w:webHidden/>
              </w:rPr>
              <w:fldChar w:fldCharType="begin"/>
            </w:r>
            <w:r w:rsidR="00CC74B9" w:rsidRPr="00B06331">
              <w:rPr>
                <w:noProof/>
                <w:webHidden/>
              </w:rPr>
              <w:instrText xml:space="preserve"> PAGEREF _Toc492364815 \h </w:instrText>
            </w:r>
            <w:r w:rsidRPr="00B06331">
              <w:rPr>
                <w:noProof/>
                <w:webHidden/>
              </w:rPr>
            </w:r>
            <w:r w:rsidRPr="00B06331">
              <w:rPr>
                <w:noProof/>
                <w:webHidden/>
              </w:rPr>
              <w:fldChar w:fldCharType="separate"/>
            </w:r>
            <w:r w:rsidR="00B06331">
              <w:rPr>
                <w:noProof/>
                <w:webHidden/>
              </w:rPr>
              <w:t>240</w:t>
            </w:r>
            <w:r w:rsidRPr="00B06331">
              <w:rPr>
                <w:noProof/>
                <w:webHidden/>
              </w:rPr>
              <w:fldChar w:fldCharType="end"/>
            </w:r>
          </w:hyperlink>
        </w:p>
        <w:p w:rsidR="00CC74B9" w:rsidRPr="00B06331" w:rsidRDefault="00965AD2">
          <w:pPr>
            <w:pStyle w:val="TOC3"/>
            <w:tabs>
              <w:tab w:val="right" w:leader="dot" w:pos="9350"/>
            </w:tabs>
            <w:rPr>
              <w:rFonts w:asciiTheme="minorHAnsi" w:eastAsiaTheme="minorEastAsia" w:hAnsiTheme="minorHAnsi" w:cstheme="minorBidi"/>
              <w:noProof/>
            </w:rPr>
          </w:pPr>
          <w:hyperlink w:anchor="_Toc492364816" w:history="1">
            <w:r w:rsidR="00CC74B9" w:rsidRPr="00B06331">
              <w:rPr>
                <w:rStyle w:val="Hyperlink"/>
                <w:rFonts w:cstheme="minorHAnsi"/>
                <w:noProof/>
              </w:rPr>
              <w:t>10.5.3 Concessionary Financing</w:t>
            </w:r>
            <w:r w:rsidR="00CC74B9" w:rsidRPr="00B06331">
              <w:rPr>
                <w:noProof/>
                <w:webHidden/>
              </w:rPr>
              <w:tab/>
            </w:r>
            <w:r w:rsidRPr="00B06331">
              <w:rPr>
                <w:noProof/>
                <w:webHidden/>
              </w:rPr>
              <w:fldChar w:fldCharType="begin"/>
            </w:r>
            <w:r w:rsidR="00CC74B9" w:rsidRPr="00B06331">
              <w:rPr>
                <w:noProof/>
                <w:webHidden/>
              </w:rPr>
              <w:instrText xml:space="preserve"> PAGEREF _Toc492364816 \h </w:instrText>
            </w:r>
            <w:r w:rsidRPr="00B06331">
              <w:rPr>
                <w:noProof/>
                <w:webHidden/>
              </w:rPr>
            </w:r>
            <w:r w:rsidRPr="00B06331">
              <w:rPr>
                <w:noProof/>
                <w:webHidden/>
              </w:rPr>
              <w:fldChar w:fldCharType="separate"/>
            </w:r>
            <w:r w:rsidR="00B06331">
              <w:rPr>
                <w:noProof/>
                <w:webHidden/>
              </w:rPr>
              <w:t>243</w:t>
            </w:r>
            <w:r w:rsidRPr="00B06331">
              <w:rPr>
                <w:noProof/>
                <w:webHidden/>
              </w:rPr>
              <w:fldChar w:fldCharType="end"/>
            </w:r>
          </w:hyperlink>
        </w:p>
        <w:p w:rsidR="00CC74B9" w:rsidRPr="00B06331" w:rsidRDefault="00965AD2">
          <w:pPr>
            <w:pStyle w:val="TOC1"/>
            <w:rPr>
              <w:rFonts w:asciiTheme="minorHAnsi" w:eastAsiaTheme="minorEastAsia" w:hAnsiTheme="minorHAnsi" w:cstheme="minorBidi"/>
              <w:color w:val="auto"/>
            </w:rPr>
          </w:pPr>
          <w:hyperlink w:anchor="_Toc492364817" w:history="1">
            <w:r w:rsidR="00CC74B9" w:rsidRPr="00B06331">
              <w:rPr>
                <w:rStyle w:val="Hyperlink"/>
                <w:rFonts w:ascii="Times New Roman" w:eastAsiaTheme="majorEastAsia" w:hAnsi="Times New Roman"/>
                <w:lang w:val="en-GB" w:bidi="en-US"/>
              </w:rPr>
              <w:t>Annex 3: Results Framework of the N</w:t>
            </w:r>
            <w:r w:rsidR="00CC74B9" w:rsidRPr="00B06331">
              <w:rPr>
                <w:rStyle w:val="Hyperlink"/>
                <w:rFonts w:ascii="Times New Roman" w:eastAsiaTheme="majorEastAsia" w:hAnsi="Times New Roman"/>
                <w:lang w:bidi="en-US"/>
              </w:rPr>
              <w:t>ational Development Plan (2018-2021) for the Republic of the Gambia</w:t>
            </w:r>
            <w:r w:rsidR="00CC74B9" w:rsidRPr="00B06331">
              <w:rPr>
                <w:webHidden/>
              </w:rPr>
              <w:tab/>
            </w:r>
            <w:r w:rsidRPr="00B06331">
              <w:rPr>
                <w:webHidden/>
              </w:rPr>
              <w:fldChar w:fldCharType="begin"/>
            </w:r>
            <w:r w:rsidR="00CC74B9" w:rsidRPr="00B06331">
              <w:rPr>
                <w:webHidden/>
              </w:rPr>
              <w:instrText xml:space="preserve"> PAGEREF _Toc492364817 \h </w:instrText>
            </w:r>
            <w:r w:rsidRPr="00B06331">
              <w:rPr>
                <w:webHidden/>
              </w:rPr>
            </w:r>
            <w:r w:rsidRPr="00B06331">
              <w:rPr>
                <w:webHidden/>
              </w:rPr>
              <w:fldChar w:fldCharType="separate"/>
            </w:r>
            <w:r w:rsidR="00B06331">
              <w:rPr>
                <w:webHidden/>
              </w:rPr>
              <w:t>254</w:t>
            </w:r>
            <w:r w:rsidRPr="00B06331">
              <w:rPr>
                <w:webHidden/>
              </w:rPr>
              <w:fldChar w:fldCharType="end"/>
            </w:r>
          </w:hyperlink>
        </w:p>
        <w:p w:rsidR="009931CE" w:rsidRPr="00B06331" w:rsidRDefault="00965AD2">
          <w:r w:rsidRPr="00B06331">
            <w:rPr>
              <w:b/>
              <w:bCs/>
              <w:noProof/>
            </w:rPr>
            <w:fldChar w:fldCharType="end"/>
          </w:r>
        </w:p>
      </w:sdtContent>
    </w:sdt>
    <w:p w:rsidR="00C65598" w:rsidRPr="00B06331" w:rsidRDefault="00C65598" w:rsidP="00C65598"/>
    <w:p w:rsidR="00C65598" w:rsidRPr="00B06331" w:rsidRDefault="00C65598" w:rsidP="00C65598"/>
    <w:p w:rsidR="00C65598" w:rsidRPr="00B06331" w:rsidRDefault="00C65598"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4F205B" w:rsidRPr="00B06331" w:rsidRDefault="004F205B" w:rsidP="00C65598">
      <w:pPr>
        <w:rPr>
          <w:rFonts w:ascii="Avenir Book" w:hAnsi="Avenir Book"/>
          <w:b/>
          <w:caps/>
          <w:sz w:val="24"/>
          <w:szCs w:val="24"/>
        </w:rPr>
      </w:pPr>
    </w:p>
    <w:p w:rsidR="004F205B" w:rsidRPr="00B06331" w:rsidRDefault="004F205B" w:rsidP="00C65598">
      <w:pPr>
        <w:rPr>
          <w:rFonts w:ascii="Avenir Book" w:hAnsi="Avenir Book"/>
          <w:b/>
          <w:caps/>
          <w:sz w:val="24"/>
          <w:szCs w:val="24"/>
        </w:rPr>
      </w:pPr>
    </w:p>
    <w:p w:rsidR="004F205B" w:rsidRPr="00B06331" w:rsidRDefault="004F205B" w:rsidP="00C65598">
      <w:pPr>
        <w:rPr>
          <w:rFonts w:ascii="Avenir Book" w:hAnsi="Avenir Book"/>
          <w:b/>
          <w:caps/>
          <w:sz w:val="24"/>
          <w:szCs w:val="24"/>
        </w:rPr>
      </w:pPr>
    </w:p>
    <w:p w:rsidR="009931CE" w:rsidRPr="00B06331" w:rsidRDefault="009931CE" w:rsidP="00C65598">
      <w:pPr>
        <w:rPr>
          <w:rFonts w:ascii="Avenir Book" w:hAnsi="Avenir Book"/>
          <w:b/>
          <w:caps/>
          <w:sz w:val="24"/>
          <w:szCs w:val="24"/>
        </w:rPr>
      </w:pPr>
    </w:p>
    <w:p w:rsidR="009C3E1D" w:rsidRPr="00B06331" w:rsidRDefault="009C3E1D" w:rsidP="00C65598">
      <w:pPr>
        <w:rPr>
          <w:rFonts w:ascii="Avenir Book" w:hAnsi="Avenir Book"/>
          <w:b/>
          <w:caps/>
          <w:sz w:val="24"/>
          <w:szCs w:val="24"/>
        </w:rPr>
      </w:pPr>
    </w:p>
    <w:p w:rsidR="00C65598" w:rsidRPr="00B06331" w:rsidRDefault="00C65598" w:rsidP="00C65598">
      <w:pPr>
        <w:pStyle w:val="Heading1"/>
        <w:jc w:val="center"/>
        <w:rPr>
          <w:rFonts w:ascii="Calibri" w:hAnsi="Calibri" w:cs="Calibri"/>
          <w:b/>
          <w:sz w:val="24"/>
        </w:rPr>
        <w:sectPr w:rsidR="00C65598" w:rsidRPr="00B06331" w:rsidSect="00054460">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bookmarkStart w:id="1" w:name="_Toc488689287"/>
      <w:bookmarkStart w:id="2" w:name="_Toc492364714"/>
      <w:r w:rsidRPr="00B06331">
        <w:rPr>
          <w:rFonts w:ascii="Calibri" w:hAnsi="Calibri" w:cs="Calibri"/>
          <w:b/>
          <w:sz w:val="24"/>
        </w:rPr>
        <w:t>Foreword by President of the Republi</w:t>
      </w:r>
      <w:bookmarkEnd w:id="1"/>
      <w:r w:rsidRPr="00B06331">
        <w:rPr>
          <w:rFonts w:ascii="Calibri" w:hAnsi="Calibri" w:cs="Calibri"/>
          <w:b/>
          <w:sz w:val="24"/>
        </w:rPr>
        <w:t>c</w:t>
      </w:r>
      <w:bookmarkEnd w:id="2"/>
    </w:p>
    <w:p w:rsidR="00C65598" w:rsidRPr="00B06331" w:rsidRDefault="00C65598" w:rsidP="00C65598">
      <w:pPr>
        <w:contextualSpacing/>
        <w:rPr>
          <w:rFonts w:ascii="Avenir Book" w:hAnsi="Avenir Book"/>
          <w:sz w:val="24"/>
          <w:szCs w:val="24"/>
        </w:rPr>
      </w:pPr>
    </w:p>
    <w:p w:rsidR="00C65598" w:rsidRPr="00B06331" w:rsidRDefault="00C65598" w:rsidP="00C65598">
      <w:pPr>
        <w:pStyle w:val="Heading1"/>
        <w:jc w:val="center"/>
        <w:rPr>
          <w:rFonts w:ascii="Calibri" w:hAnsi="Calibri" w:cs="Calibri"/>
          <w:b/>
          <w:sz w:val="24"/>
        </w:rPr>
        <w:sectPr w:rsidR="00C65598" w:rsidRPr="00B06331" w:rsidSect="00054460">
          <w:pgSz w:w="12240" w:h="15840"/>
          <w:pgMar w:top="1440" w:right="1440" w:bottom="1440" w:left="1440" w:header="720" w:footer="720" w:gutter="0"/>
          <w:cols w:space="720"/>
          <w:docGrid w:linePitch="360"/>
        </w:sectPr>
      </w:pPr>
      <w:bookmarkStart w:id="3" w:name="_Toc488689288"/>
      <w:bookmarkStart w:id="4" w:name="_Toc492364715"/>
      <w:r w:rsidRPr="00B06331">
        <w:rPr>
          <w:rFonts w:ascii="Calibri" w:hAnsi="Calibri" w:cs="Calibri"/>
          <w:b/>
          <w:sz w:val="24"/>
        </w:rPr>
        <w:t>Introduction by Minister of Finance and Economic Affair</w:t>
      </w:r>
      <w:bookmarkEnd w:id="3"/>
      <w:r w:rsidRPr="00B06331">
        <w:rPr>
          <w:rFonts w:ascii="Calibri" w:hAnsi="Calibri" w:cs="Calibri"/>
          <w:b/>
          <w:sz w:val="24"/>
        </w:rPr>
        <w:t>s</w:t>
      </w:r>
      <w:bookmarkEnd w:id="4"/>
    </w:p>
    <w:p w:rsidR="00C65598" w:rsidRPr="00B06331" w:rsidRDefault="00C65598" w:rsidP="00C65598">
      <w:pPr>
        <w:contextualSpacing/>
        <w:rPr>
          <w:rFonts w:ascii="Avenir Book" w:hAnsi="Avenir Book"/>
          <w:sz w:val="24"/>
          <w:szCs w:val="24"/>
        </w:rPr>
      </w:pPr>
    </w:p>
    <w:p w:rsidR="00C65598" w:rsidRPr="00B06331" w:rsidRDefault="00C65598" w:rsidP="00C65598">
      <w:pPr>
        <w:pStyle w:val="Heading1"/>
        <w:jc w:val="center"/>
        <w:rPr>
          <w:rFonts w:ascii="Calibri" w:hAnsi="Calibri" w:cs="Calibri"/>
          <w:b/>
          <w:sz w:val="24"/>
        </w:rPr>
      </w:pPr>
      <w:bookmarkStart w:id="5" w:name="_Toc488689289"/>
      <w:bookmarkStart w:id="6" w:name="_Toc492364716"/>
      <w:r w:rsidRPr="00B06331">
        <w:rPr>
          <w:rFonts w:ascii="Calibri" w:hAnsi="Calibri" w:cs="Calibri"/>
          <w:b/>
          <w:sz w:val="24"/>
        </w:rPr>
        <w:t>Executive Summary</w:t>
      </w:r>
      <w:bookmarkEnd w:id="5"/>
      <w:bookmarkEnd w:id="6"/>
    </w:p>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 w:rsidR="00C65598" w:rsidRPr="00B06331" w:rsidRDefault="00C65598" w:rsidP="00C65598">
      <w:pPr>
        <w:tabs>
          <w:tab w:val="left" w:pos="2415"/>
        </w:tabs>
      </w:pPr>
    </w:p>
    <w:p w:rsidR="004B62FD" w:rsidRPr="00B06331" w:rsidRDefault="004B62FD">
      <w:pPr>
        <w:spacing w:after="160" w:line="259" w:lineRule="auto"/>
      </w:pPr>
      <w:r w:rsidRPr="00B06331">
        <w:br w:type="page"/>
      </w:r>
    </w:p>
    <w:p w:rsidR="004B62FD" w:rsidRPr="00B06331" w:rsidRDefault="004B62FD" w:rsidP="00054460">
      <w:pPr>
        <w:pStyle w:val="Heading11"/>
        <w:numPr>
          <w:ilvl w:val="0"/>
          <w:numId w:val="0"/>
        </w:numPr>
        <w:jc w:val="center"/>
        <w:rPr>
          <w:sz w:val="24"/>
          <w:szCs w:val="24"/>
        </w:rPr>
      </w:pPr>
      <w:bookmarkStart w:id="7" w:name="_Toc492364717"/>
      <w:r w:rsidRPr="00B06331">
        <w:rPr>
          <w:sz w:val="24"/>
          <w:szCs w:val="24"/>
        </w:rPr>
        <w:lastRenderedPageBreak/>
        <w:t>List of Acronyms</w:t>
      </w:r>
      <w:bookmarkEnd w:id="7"/>
    </w:p>
    <w:p w:rsidR="00054460" w:rsidRPr="00B06331" w:rsidRDefault="00054460" w:rsidP="00054460"/>
    <w:p w:rsidR="00697D55" w:rsidRPr="00B06331" w:rsidRDefault="00697D55" w:rsidP="00697D55">
      <w:pPr>
        <w:spacing w:before="120" w:after="0"/>
        <w:ind w:left="1440" w:hanging="1440"/>
        <w:contextualSpacing/>
        <w:rPr>
          <w:rFonts w:cstheme="minorHAnsi"/>
          <w:sz w:val="20"/>
          <w:szCs w:val="20"/>
        </w:rPr>
      </w:pPr>
      <w:r w:rsidRPr="00B06331">
        <w:rPr>
          <w:rFonts w:cs="Calibri"/>
          <w:sz w:val="20"/>
          <w:szCs w:val="20"/>
        </w:rPr>
        <w:t xml:space="preserve">AAIN </w:t>
      </w:r>
      <w:r w:rsidRPr="00B06331">
        <w:rPr>
          <w:rFonts w:cs="Calibri"/>
          <w:sz w:val="20"/>
          <w:szCs w:val="20"/>
        </w:rPr>
        <w:tab/>
      </w:r>
      <w:r w:rsidRPr="00B06331">
        <w:rPr>
          <w:rFonts w:cs="Calibri"/>
          <w:sz w:val="20"/>
          <w:szCs w:val="20"/>
        </w:rPr>
        <w:tab/>
      </w:r>
      <w:r w:rsidRPr="00B06331">
        <w:rPr>
          <w:rFonts w:cs="Calibri"/>
          <w:sz w:val="20"/>
          <w:szCs w:val="20"/>
        </w:rPr>
        <w:tab/>
        <w:t xml:space="preserve">African Agribusiness Incubation Network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ACE</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Africa Coast to Europe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b/>
      </w:r>
      <w:r w:rsidRPr="00B06331">
        <w:rPr>
          <w:rFonts w:cstheme="minorHAnsi"/>
          <w:sz w:val="20"/>
          <w:szCs w:val="20"/>
        </w:rPr>
        <w:tab/>
      </w:r>
      <w:r w:rsidRPr="00B06331">
        <w:rPr>
          <w:rFonts w:cstheme="minorHAnsi"/>
          <w:sz w:val="20"/>
          <w:szCs w:val="20"/>
        </w:rPr>
        <w:tab/>
        <w:t>African Development Bank</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AGOA</w:t>
      </w:r>
      <w:r w:rsidRPr="00B06331">
        <w:rPr>
          <w:rFonts w:cstheme="minorHAnsi"/>
          <w:sz w:val="20"/>
          <w:szCs w:val="20"/>
        </w:rPr>
        <w:tab/>
      </w:r>
      <w:r w:rsidRPr="00B06331">
        <w:rPr>
          <w:rFonts w:cstheme="minorHAnsi"/>
          <w:sz w:val="20"/>
          <w:szCs w:val="20"/>
        </w:rPr>
        <w:tab/>
      </w:r>
      <w:r w:rsidRPr="00B06331">
        <w:rPr>
          <w:rFonts w:cstheme="minorHAnsi"/>
          <w:sz w:val="20"/>
          <w:szCs w:val="20"/>
        </w:rPr>
        <w:tab/>
        <w:t>African Growth and Opportunity ACT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AGRA</w:t>
      </w:r>
      <w:r w:rsidRPr="00B06331">
        <w:rPr>
          <w:rFonts w:cstheme="minorHAnsi"/>
          <w:sz w:val="20"/>
          <w:szCs w:val="20"/>
        </w:rPr>
        <w:tab/>
      </w:r>
      <w:r w:rsidRPr="00B06331">
        <w:rPr>
          <w:rFonts w:cstheme="minorHAnsi"/>
          <w:sz w:val="20"/>
          <w:szCs w:val="20"/>
        </w:rPr>
        <w:tab/>
      </w:r>
      <w:r w:rsidRPr="00B06331">
        <w:rPr>
          <w:rFonts w:cstheme="minorHAnsi"/>
          <w:sz w:val="20"/>
          <w:szCs w:val="20"/>
        </w:rPr>
        <w:tab/>
        <w:t>Alliance for Green Revolution in Africa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ADR</w:t>
      </w:r>
      <w:r w:rsidRPr="00B06331">
        <w:rPr>
          <w:rFonts w:cstheme="minorHAnsi"/>
          <w:sz w:val="20"/>
          <w:szCs w:val="20"/>
        </w:rPr>
        <w:tab/>
      </w:r>
      <w:r w:rsidRPr="00B06331">
        <w:rPr>
          <w:rFonts w:cstheme="minorHAnsi"/>
          <w:sz w:val="20"/>
          <w:szCs w:val="20"/>
        </w:rPr>
        <w:tab/>
      </w:r>
      <w:r w:rsidRPr="00B06331">
        <w:rPr>
          <w:rFonts w:cstheme="minorHAnsi"/>
          <w:sz w:val="20"/>
          <w:szCs w:val="20"/>
        </w:rPr>
        <w:tab/>
        <w:t>Alternative Dispute Resolution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ANC</w:t>
      </w:r>
      <w:r w:rsidRPr="00B06331">
        <w:rPr>
          <w:rFonts w:cstheme="minorHAnsi"/>
          <w:sz w:val="20"/>
          <w:szCs w:val="20"/>
        </w:rPr>
        <w:tab/>
      </w:r>
      <w:r w:rsidRPr="00B06331">
        <w:rPr>
          <w:rFonts w:cstheme="minorHAnsi"/>
          <w:sz w:val="20"/>
          <w:szCs w:val="20"/>
        </w:rPr>
        <w:tab/>
      </w:r>
      <w:r w:rsidRPr="00B06331">
        <w:rPr>
          <w:rFonts w:cstheme="minorHAnsi"/>
          <w:sz w:val="20"/>
          <w:szCs w:val="20"/>
        </w:rPr>
        <w:tab/>
        <w:t>Antenatal Care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ANR</w:t>
      </w:r>
      <w:r w:rsidRPr="00B06331">
        <w:rPr>
          <w:rFonts w:cstheme="minorHAnsi"/>
          <w:sz w:val="20"/>
          <w:szCs w:val="20"/>
        </w:rPr>
        <w:tab/>
      </w:r>
      <w:r w:rsidRPr="00B06331">
        <w:rPr>
          <w:rFonts w:cstheme="minorHAnsi"/>
          <w:sz w:val="20"/>
          <w:szCs w:val="20"/>
        </w:rPr>
        <w:tab/>
      </w:r>
      <w:r w:rsidRPr="00B06331">
        <w:rPr>
          <w:rFonts w:cstheme="minorHAnsi"/>
          <w:sz w:val="20"/>
          <w:szCs w:val="20"/>
        </w:rPr>
        <w:tab/>
        <w:t>Agriculture and Natural Resources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ART</w:t>
      </w:r>
      <w:r w:rsidRPr="00B06331">
        <w:rPr>
          <w:rFonts w:cstheme="minorHAnsi"/>
          <w:sz w:val="20"/>
          <w:szCs w:val="20"/>
        </w:rPr>
        <w:tab/>
      </w:r>
      <w:r w:rsidRPr="00B06331">
        <w:rPr>
          <w:rFonts w:cstheme="minorHAnsi"/>
          <w:sz w:val="20"/>
          <w:szCs w:val="20"/>
        </w:rPr>
        <w:tab/>
      </w:r>
      <w:r w:rsidRPr="00B06331">
        <w:rPr>
          <w:rFonts w:cstheme="minorHAnsi"/>
          <w:sz w:val="20"/>
          <w:szCs w:val="20"/>
        </w:rPr>
        <w:tab/>
        <w:t>Antiretroviral Therapy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ARV</w:t>
      </w:r>
      <w:r w:rsidRPr="00B06331">
        <w:rPr>
          <w:rFonts w:cstheme="minorHAnsi"/>
          <w:sz w:val="20"/>
          <w:szCs w:val="20"/>
        </w:rPr>
        <w:tab/>
      </w:r>
      <w:r w:rsidRPr="00B06331">
        <w:rPr>
          <w:rFonts w:cstheme="minorHAnsi"/>
          <w:sz w:val="20"/>
          <w:szCs w:val="20"/>
        </w:rPr>
        <w:tab/>
      </w:r>
      <w:r w:rsidRPr="00B06331">
        <w:rPr>
          <w:rFonts w:cstheme="minorHAnsi"/>
          <w:sz w:val="20"/>
          <w:szCs w:val="20"/>
        </w:rPr>
        <w:tab/>
        <w:t>Antiretroviral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ASO</w:t>
      </w:r>
      <w:r w:rsidRPr="00B06331">
        <w:rPr>
          <w:rFonts w:cstheme="minorHAnsi"/>
          <w:sz w:val="20"/>
          <w:szCs w:val="20"/>
        </w:rPr>
        <w:tab/>
      </w:r>
      <w:r w:rsidRPr="00B06331">
        <w:rPr>
          <w:rFonts w:cstheme="minorHAnsi"/>
          <w:sz w:val="20"/>
          <w:szCs w:val="20"/>
        </w:rPr>
        <w:tab/>
      </w:r>
      <w:r w:rsidRPr="00B06331">
        <w:rPr>
          <w:rFonts w:cstheme="minorHAnsi"/>
          <w:sz w:val="20"/>
          <w:szCs w:val="20"/>
        </w:rPr>
        <w:tab/>
        <w:t>Analogue Switch Off</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ASYCUDA</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Automated System for Customs Data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AU</w:t>
      </w:r>
      <w:r w:rsidRPr="00B06331">
        <w:rPr>
          <w:rFonts w:cstheme="minorHAnsi"/>
          <w:sz w:val="20"/>
          <w:szCs w:val="20"/>
        </w:rPr>
        <w:tab/>
      </w:r>
      <w:r w:rsidRPr="00B06331">
        <w:rPr>
          <w:rFonts w:cstheme="minorHAnsi"/>
          <w:sz w:val="20"/>
          <w:szCs w:val="20"/>
        </w:rPr>
        <w:tab/>
      </w:r>
      <w:r w:rsidRPr="00B06331">
        <w:rPr>
          <w:rFonts w:cstheme="minorHAnsi"/>
          <w:sz w:val="20"/>
          <w:szCs w:val="20"/>
        </w:rPr>
        <w:tab/>
        <w:t>African Union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BASA</w:t>
      </w:r>
      <w:r w:rsidRPr="00B06331">
        <w:rPr>
          <w:rFonts w:cstheme="minorHAnsi"/>
          <w:sz w:val="20"/>
          <w:szCs w:val="20"/>
        </w:rPr>
        <w:tab/>
      </w:r>
      <w:r w:rsidRPr="00B06331">
        <w:rPr>
          <w:rFonts w:cstheme="minorHAnsi"/>
          <w:sz w:val="20"/>
          <w:szCs w:val="20"/>
        </w:rPr>
        <w:tab/>
      </w:r>
      <w:r w:rsidRPr="00B06331">
        <w:rPr>
          <w:rFonts w:cstheme="minorHAnsi"/>
          <w:sz w:val="20"/>
          <w:szCs w:val="20"/>
        </w:rPr>
        <w:tab/>
        <w:t>Bilateral Air Service Agreements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BFHI</w:t>
      </w:r>
      <w:r w:rsidRPr="00B06331">
        <w:rPr>
          <w:rFonts w:cstheme="minorHAnsi"/>
          <w:sz w:val="20"/>
          <w:szCs w:val="20"/>
        </w:rPr>
        <w:tab/>
      </w:r>
      <w:r w:rsidRPr="00B06331">
        <w:rPr>
          <w:rFonts w:cstheme="minorHAnsi"/>
          <w:sz w:val="20"/>
          <w:szCs w:val="20"/>
        </w:rPr>
        <w:tab/>
      </w:r>
      <w:r w:rsidRPr="00B06331">
        <w:rPr>
          <w:rFonts w:cstheme="minorHAnsi"/>
          <w:sz w:val="20"/>
          <w:szCs w:val="20"/>
        </w:rPr>
        <w:tab/>
        <w:t>Baby Friendly Community and Hospital Initiatives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BIA</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Banjul International Airport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BOP</w:t>
      </w:r>
      <w:r w:rsidRPr="00B06331">
        <w:rPr>
          <w:rFonts w:cstheme="minorHAnsi"/>
          <w:sz w:val="20"/>
          <w:szCs w:val="20"/>
        </w:rPr>
        <w:tab/>
      </w:r>
      <w:r w:rsidRPr="00B06331">
        <w:rPr>
          <w:rFonts w:cstheme="minorHAnsi"/>
          <w:sz w:val="20"/>
          <w:szCs w:val="20"/>
        </w:rPr>
        <w:tab/>
      </w:r>
      <w:r w:rsidRPr="00B06331">
        <w:rPr>
          <w:rFonts w:cstheme="minorHAnsi"/>
          <w:sz w:val="20"/>
          <w:szCs w:val="20"/>
        </w:rPr>
        <w:tab/>
        <w:t>Balance of Payments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BReST </w:t>
      </w:r>
      <w:r w:rsidRPr="00B06331">
        <w:rPr>
          <w:rFonts w:cstheme="minorHAnsi"/>
          <w:sz w:val="20"/>
          <w:szCs w:val="20"/>
        </w:rPr>
        <w:tab/>
      </w:r>
      <w:r w:rsidRPr="00B06331">
        <w:rPr>
          <w:rFonts w:cstheme="minorHAnsi"/>
          <w:sz w:val="20"/>
          <w:szCs w:val="20"/>
        </w:rPr>
        <w:tab/>
      </w:r>
      <w:r w:rsidRPr="00B06331">
        <w:rPr>
          <w:rFonts w:cstheme="minorHAnsi"/>
          <w:sz w:val="20"/>
          <w:szCs w:val="20"/>
        </w:rPr>
        <w:tab/>
        <w:t>Building Resilience through Social Transfers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CAADP</w:t>
      </w:r>
      <w:r w:rsidRPr="00B06331">
        <w:rPr>
          <w:rFonts w:cstheme="minorHAnsi"/>
          <w:sz w:val="20"/>
          <w:szCs w:val="20"/>
        </w:rPr>
        <w:tab/>
      </w:r>
      <w:r w:rsidRPr="00B06331">
        <w:rPr>
          <w:rFonts w:cstheme="minorHAnsi"/>
          <w:sz w:val="20"/>
          <w:szCs w:val="20"/>
        </w:rPr>
        <w:tab/>
      </w:r>
      <w:r w:rsidRPr="00B06331">
        <w:rPr>
          <w:rFonts w:cstheme="minorHAnsi"/>
          <w:sz w:val="20"/>
          <w:szCs w:val="20"/>
        </w:rPr>
        <w:tab/>
        <w:t>Comprehensive Africa Agriculture Development Programme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CAPEX </w:t>
      </w:r>
      <w:r w:rsidRPr="00B06331">
        <w:rPr>
          <w:rFonts w:cstheme="minorHAnsi"/>
          <w:sz w:val="20"/>
          <w:szCs w:val="20"/>
        </w:rPr>
        <w:tab/>
      </w:r>
      <w:r w:rsidRPr="00B06331">
        <w:rPr>
          <w:rFonts w:cstheme="minorHAnsi"/>
          <w:sz w:val="20"/>
          <w:szCs w:val="20"/>
        </w:rPr>
        <w:tab/>
      </w:r>
      <w:r w:rsidRPr="00B06331">
        <w:rPr>
          <w:rFonts w:cstheme="minorHAnsi"/>
          <w:sz w:val="20"/>
          <w:szCs w:val="20"/>
        </w:rPr>
        <w:tab/>
        <w:t>Capital Expenditures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CBD</w:t>
      </w:r>
      <w:r w:rsidRPr="00B06331">
        <w:rPr>
          <w:rFonts w:cstheme="minorHAnsi"/>
          <w:sz w:val="20"/>
          <w:szCs w:val="20"/>
        </w:rPr>
        <w:tab/>
      </w:r>
      <w:r w:rsidRPr="00B06331">
        <w:rPr>
          <w:rFonts w:cstheme="minorHAnsi"/>
          <w:sz w:val="20"/>
          <w:szCs w:val="20"/>
        </w:rPr>
        <w:tab/>
      </w:r>
      <w:r w:rsidRPr="00B06331">
        <w:rPr>
          <w:rFonts w:cstheme="minorHAnsi"/>
          <w:sz w:val="20"/>
          <w:szCs w:val="20"/>
        </w:rPr>
        <w:tab/>
        <w:t>Central Business District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CBG</w:t>
      </w:r>
      <w:r w:rsidRPr="00B06331">
        <w:rPr>
          <w:rFonts w:cstheme="minorHAnsi"/>
          <w:sz w:val="20"/>
          <w:szCs w:val="20"/>
        </w:rPr>
        <w:tab/>
      </w:r>
      <w:r w:rsidRPr="00B06331">
        <w:rPr>
          <w:rFonts w:cstheme="minorHAnsi"/>
          <w:sz w:val="20"/>
          <w:szCs w:val="20"/>
        </w:rPr>
        <w:tab/>
      </w:r>
      <w:r w:rsidRPr="00B06331">
        <w:rPr>
          <w:rFonts w:cstheme="minorHAnsi"/>
          <w:sz w:val="20"/>
          <w:szCs w:val="20"/>
        </w:rPr>
        <w:tab/>
        <w:t>Central Bank of The Gambia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CBPP</w:t>
      </w:r>
      <w:r w:rsidRPr="00B06331">
        <w:rPr>
          <w:rFonts w:cstheme="minorHAnsi"/>
          <w:sz w:val="20"/>
          <w:szCs w:val="20"/>
        </w:rPr>
        <w:tab/>
      </w:r>
      <w:r w:rsidRPr="00B06331">
        <w:rPr>
          <w:rFonts w:cstheme="minorHAnsi"/>
          <w:sz w:val="20"/>
          <w:szCs w:val="20"/>
        </w:rPr>
        <w:tab/>
      </w:r>
      <w:r w:rsidRPr="00B06331">
        <w:rPr>
          <w:rFonts w:cstheme="minorHAnsi"/>
          <w:sz w:val="20"/>
          <w:szCs w:val="20"/>
        </w:rPr>
        <w:tab/>
        <w:t>Contagious Bovine Pleuropneumonia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CC</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Climate Change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CCA</w:t>
      </w:r>
      <w:r w:rsidRPr="00B06331">
        <w:rPr>
          <w:rFonts w:cstheme="minorHAnsi"/>
          <w:sz w:val="20"/>
          <w:szCs w:val="20"/>
        </w:rPr>
        <w:tab/>
      </w:r>
      <w:r w:rsidRPr="00B06331">
        <w:rPr>
          <w:rFonts w:cstheme="minorHAnsi"/>
          <w:sz w:val="20"/>
          <w:szCs w:val="20"/>
        </w:rPr>
        <w:tab/>
      </w:r>
      <w:r w:rsidRPr="00B06331">
        <w:rPr>
          <w:rFonts w:cstheme="minorHAnsi"/>
          <w:sz w:val="20"/>
          <w:szCs w:val="20"/>
        </w:rPr>
        <w:tab/>
        <w:t>Common Country Assessment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CCPAP</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ascii="Avenir Book" w:eastAsia="Cambria" w:hAnsi="Avenir Book"/>
          <w:sz w:val="20"/>
          <w:szCs w:val="20"/>
        </w:rPr>
        <w:t>Climate Change Priority Action Plan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CDM</w:t>
      </w:r>
      <w:r w:rsidRPr="00B06331">
        <w:rPr>
          <w:rFonts w:cstheme="minorHAnsi"/>
          <w:sz w:val="20"/>
          <w:szCs w:val="20"/>
        </w:rPr>
        <w:tab/>
      </w:r>
      <w:r w:rsidRPr="00B06331">
        <w:rPr>
          <w:rFonts w:cstheme="minorHAnsi"/>
          <w:sz w:val="20"/>
          <w:szCs w:val="20"/>
        </w:rPr>
        <w:tab/>
      </w:r>
      <w:r w:rsidRPr="00B06331">
        <w:rPr>
          <w:rFonts w:cstheme="minorHAnsi"/>
          <w:sz w:val="20"/>
          <w:szCs w:val="20"/>
        </w:rPr>
        <w:tab/>
        <w:t>Clean Development Mechanism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CEDAW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Convention for the Elimination of Discrimination Against Women </w:t>
      </w:r>
    </w:p>
    <w:p w:rsidR="00697D55" w:rsidRPr="00B06331" w:rsidRDefault="00697D55" w:rsidP="00697D55">
      <w:pPr>
        <w:spacing w:before="120" w:after="0"/>
        <w:ind w:left="1440" w:hanging="1440"/>
        <w:contextualSpacing/>
        <w:rPr>
          <w:sz w:val="20"/>
          <w:szCs w:val="20"/>
          <w:lang w:val="en-GB"/>
        </w:rPr>
      </w:pPr>
      <w:r w:rsidRPr="00B06331">
        <w:rPr>
          <w:rFonts w:cstheme="minorHAnsi"/>
          <w:sz w:val="20"/>
          <w:szCs w:val="20"/>
        </w:rPr>
        <w:t>CIAM</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sz w:val="20"/>
          <w:szCs w:val="20"/>
          <w:lang w:val="en-GB"/>
        </w:rPr>
        <w:t>Centre for Innovation Against Malaria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CIRT</w:t>
      </w:r>
      <w:r w:rsidRPr="00B06331">
        <w:rPr>
          <w:rFonts w:cstheme="minorHAnsi"/>
          <w:sz w:val="20"/>
          <w:szCs w:val="20"/>
        </w:rPr>
        <w:tab/>
      </w:r>
      <w:r w:rsidRPr="00B06331">
        <w:rPr>
          <w:rFonts w:cstheme="minorHAnsi"/>
          <w:sz w:val="20"/>
          <w:szCs w:val="20"/>
        </w:rPr>
        <w:tab/>
      </w:r>
      <w:r w:rsidRPr="00B06331">
        <w:rPr>
          <w:rFonts w:cstheme="minorHAnsi"/>
          <w:sz w:val="20"/>
          <w:szCs w:val="20"/>
        </w:rPr>
        <w:tab/>
        <w:t>Computer Incidence Response Team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CMC</w:t>
      </w:r>
      <w:r w:rsidRPr="00B06331">
        <w:rPr>
          <w:rFonts w:cstheme="minorHAnsi"/>
          <w:sz w:val="20"/>
          <w:szCs w:val="20"/>
        </w:rPr>
        <w:tab/>
      </w:r>
      <w:r w:rsidRPr="00B06331">
        <w:rPr>
          <w:rFonts w:cstheme="minorHAnsi"/>
          <w:sz w:val="20"/>
          <w:szCs w:val="20"/>
        </w:rPr>
        <w:tab/>
      </w:r>
      <w:r w:rsidRPr="00B06331">
        <w:rPr>
          <w:rFonts w:cstheme="minorHAnsi"/>
          <w:sz w:val="20"/>
          <w:szCs w:val="20"/>
        </w:rPr>
        <w:tab/>
        <w:t>Cash Management Committee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CR</w:t>
      </w:r>
      <w:r w:rsidRPr="00B06331">
        <w:rPr>
          <w:rFonts w:cstheme="minorHAnsi"/>
          <w:sz w:val="20"/>
          <w:szCs w:val="20"/>
        </w:rPr>
        <w:tab/>
      </w:r>
      <w:r w:rsidRPr="00B06331">
        <w:rPr>
          <w:rFonts w:cstheme="minorHAnsi"/>
          <w:sz w:val="20"/>
          <w:szCs w:val="20"/>
        </w:rPr>
        <w:tab/>
      </w:r>
      <w:r w:rsidRPr="00B06331">
        <w:rPr>
          <w:rFonts w:cstheme="minorHAnsi"/>
          <w:sz w:val="20"/>
          <w:szCs w:val="20"/>
        </w:rPr>
        <w:tab/>
        <w:t>Completion Rate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CREN</w:t>
      </w:r>
      <w:r w:rsidRPr="00B06331">
        <w:rPr>
          <w:rFonts w:cstheme="minorHAnsi"/>
          <w:sz w:val="20"/>
          <w:szCs w:val="20"/>
        </w:rPr>
        <w:tab/>
      </w:r>
      <w:r w:rsidRPr="00B06331">
        <w:rPr>
          <w:rFonts w:cstheme="minorHAnsi"/>
          <w:sz w:val="20"/>
          <w:szCs w:val="20"/>
        </w:rPr>
        <w:tab/>
      </w:r>
      <w:r w:rsidRPr="00B06331">
        <w:rPr>
          <w:rFonts w:cstheme="minorHAnsi"/>
          <w:sz w:val="20"/>
          <w:szCs w:val="20"/>
        </w:rPr>
        <w:tab/>
        <w:t>Centre for Rehabilitation and Nutrition Education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CRF</w:t>
      </w:r>
      <w:r w:rsidRPr="00B06331">
        <w:rPr>
          <w:rFonts w:cstheme="minorHAnsi"/>
          <w:sz w:val="20"/>
          <w:szCs w:val="20"/>
        </w:rPr>
        <w:tab/>
      </w:r>
      <w:r w:rsidRPr="00B06331">
        <w:rPr>
          <w:rFonts w:cstheme="minorHAnsi"/>
          <w:sz w:val="20"/>
          <w:szCs w:val="20"/>
        </w:rPr>
        <w:tab/>
      </w:r>
      <w:r w:rsidRPr="00B06331">
        <w:rPr>
          <w:rFonts w:cstheme="minorHAnsi"/>
          <w:sz w:val="20"/>
          <w:szCs w:val="20"/>
        </w:rPr>
        <w:tab/>
        <w:t>Common Result Framework</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CPI</w:t>
      </w:r>
      <w:r w:rsidRPr="00B06331">
        <w:rPr>
          <w:rFonts w:cstheme="minorHAnsi"/>
          <w:sz w:val="20"/>
          <w:szCs w:val="20"/>
        </w:rPr>
        <w:tab/>
      </w:r>
      <w:r w:rsidRPr="00B06331">
        <w:rPr>
          <w:rFonts w:cstheme="minorHAnsi"/>
          <w:sz w:val="20"/>
          <w:szCs w:val="20"/>
        </w:rPr>
        <w:tab/>
      </w:r>
      <w:r w:rsidRPr="00B06331">
        <w:rPr>
          <w:rFonts w:cstheme="minorHAnsi"/>
          <w:sz w:val="20"/>
          <w:szCs w:val="20"/>
        </w:rPr>
        <w:tab/>
        <w:t>Consumer Price Index</w:t>
      </w:r>
    </w:p>
    <w:p w:rsidR="00697D55" w:rsidRPr="00B06331" w:rsidRDefault="00697D55" w:rsidP="00697D55">
      <w:pPr>
        <w:spacing w:before="120" w:after="0"/>
        <w:ind w:left="1440" w:hanging="1440"/>
        <w:contextualSpacing/>
        <w:rPr>
          <w:rFonts w:cs="Calibri"/>
          <w:sz w:val="20"/>
          <w:szCs w:val="20"/>
        </w:rPr>
      </w:pPr>
      <w:r w:rsidRPr="00B06331">
        <w:rPr>
          <w:rFonts w:cstheme="minorHAnsi"/>
          <w:sz w:val="20"/>
          <w:szCs w:val="20"/>
        </w:rPr>
        <w:t>CPIA</w:t>
      </w:r>
      <w:r w:rsidRPr="00B06331">
        <w:rPr>
          <w:rFonts w:cstheme="minorHAnsi"/>
          <w:sz w:val="20"/>
          <w:szCs w:val="20"/>
        </w:rPr>
        <w:tab/>
      </w:r>
      <w:r w:rsidRPr="00B06331">
        <w:rPr>
          <w:rFonts w:cstheme="minorHAnsi"/>
          <w:sz w:val="20"/>
          <w:szCs w:val="20"/>
        </w:rPr>
        <w:tab/>
      </w:r>
      <w:r w:rsidRPr="00B06331">
        <w:rPr>
          <w:rFonts w:cstheme="minorHAnsi"/>
          <w:sz w:val="20"/>
          <w:szCs w:val="20"/>
        </w:rPr>
        <w:tab/>
        <w:t>Country Policy and Institutional Assessment</w:t>
      </w:r>
    </w:p>
    <w:p w:rsidR="00697D55" w:rsidRPr="00B06331" w:rsidRDefault="00697D55" w:rsidP="00697D55">
      <w:pPr>
        <w:spacing w:before="120" w:after="0"/>
        <w:ind w:left="1440" w:hanging="1440"/>
        <w:contextualSpacing/>
        <w:rPr>
          <w:rFonts w:cstheme="minorHAnsi"/>
          <w:sz w:val="20"/>
          <w:szCs w:val="20"/>
        </w:rPr>
      </w:pPr>
      <w:r w:rsidRPr="00B06331">
        <w:rPr>
          <w:rFonts w:cs="Calibri"/>
          <w:sz w:val="20"/>
          <w:szCs w:val="20"/>
        </w:rPr>
        <w:t>CRR</w:t>
      </w:r>
      <w:r w:rsidRPr="00B06331">
        <w:rPr>
          <w:rFonts w:cs="Calibri"/>
          <w:sz w:val="20"/>
          <w:szCs w:val="20"/>
        </w:rPr>
        <w:tab/>
      </w:r>
      <w:r w:rsidRPr="00B06331">
        <w:rPr>
          <w:rFonts w:cs="Calibri"/>
          <w:sz w:val="20"/>
          <w:szCs w:val="20"/>
        </w:rPr>
        <w:tab/>
      </w:r>
      <w:r w:rsidRPr="00B06331">
        <w:rPr>
          <w:rFonts w:cs="Calibri"/>
          <w:sz w:val="20"/>
          <w:szCs w:val="20"/>
        </w:rPr>
        <w:tab/>
        <w:t>Central River Region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CSA</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Climate Smart Agriculture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CSOs</w:t>
      </w:r>
      <w:r w:rsidRPr="00B06331">
        <w:rPr>
          <w:rFonts w:cstheme="minorHAnsi"/>
          <w:sz w:val="20"/>
          <w:szCs w:val="20"/>
        </w:rPr>
        <w:tab/>
      </w:r>
      <w:r w:rsidRPr="00B06331">
        <w:rPr>
          <w:rFonts w:cstheme="minorHAnsi"/>
          <w:sz w:val="20"/>
          <w:szCs w:val="20"/>
        </w:rPr>
        <w:tab/>
      </w:r>
      <w:r w:rsidRPr="00B06331">
        <w:rPr>
          <w:rFonts w:cstheme="minorHAnsi"/>
          <w:sz w:val="20"/>
          <w:szCs w:val="20"/>
        </w:rPr>
        <w:tab/>
        <w:t>Civil Society Organizations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CSR</w:t>
      </w:r>
      <w:r w:rsidRPr="00B06331">
        <w:rPr>
          <w:rFonts w:cstheme="minorHAnsi"/>
          <w:sz w:val="20"/>
          <w:szCs w:val="20"/>
        </w:rPr>
        <w:tab/>
      </w:r>
      <w:r w:rsidRPr="00B06331">
        <w:rPr>
          <w:rFonts w:cstheme="minorHAnsi"/>
          <w:sz w:val="20"/>
          <w:szCs w:val="20"/>
        </w:rPr>
        <w:tab/>
      </w:r>
      <w:r w:rsidRPr="00B06331">
        <w:rPr>
          <w:rFonts w:cstheme="minorHAnsi"/>
          <w:sz w:val="20"/>
          <w:szCs w:val="20"/>
        </w:rPr>
        <w:tab/>
        <w:t>Civil Service Reform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CSRP</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Civil Service Reform Programme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w:t>
      </w:r>
      <w:r w:rsidRPr="00B06331">
        <w:rPr>
          <w:rFonts w:cstheme="minorHAnsi"/>
          <w:sz w:val="20"/>
          <w:szCs w:val="20"/>
        </w:rPr>
        <w:tab/>
      </w:r>
      <w:r w:rsidRPr="00B06331">
        <w:rPr>
          <w:rFonts w:cstheme="minorHAnsi"/>
          <w:sz w:val="20"/>
          <w:szCs w:val="20"/>
        </w:rPr>
        <w:tab/>
      </w:r>
      <w:r w:rsidRPr="00B06331">
        <w:rPr>
          <w:rFonts w:cstheme="minorHAnsi"/>
          <w:sz w:val="20"/>
          <w:szCs w:val="20"/>
        </w:rPr>
        <w:tab/>
        <w:t>Dalasi</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lastRenderedPageBreak/>
        <w:t>DDP</w:t>
      </w:r>
      <w:r w:rsidRPr="00B06331">
        <w:rPr>
          <w:rFonts w:cstheme="minorHAnsi"/>
          <w:sz w:val="20"/>
          <w:szCs w:val="20"/>
        </w:rPr>
        <w:tab/>
      </w:r>
      <w:r w:rsidRPr="00B06331">
        <w:rPr>
          <w:rFonts w:cstheme="minorHAnsi"/>
          <w:sz w:val="20"/>
          <w:szCs w:val="20"/>
        </w:rPr>
        <w:tab/>
      </w:r>
      <w:r w:rsidRPr="00B06331">
        <w:rPr>
          <w:rFonts w:cstheme="minorHAnsi"/>
          <w:sz w:val="20"/>
          <w:szCs w:val="20"/>
        </w:rPr>
        <w:tab/>
        <w:t>Directorate of Development Planning</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DHS</w:t>
      </w:r>
      <w:r w:rsidRPr="00B06331">
        <w:rPr>
          <w:rFonts w:cstheme="minorHAnsi"/>
          <w:sz w:val="20"/>
          <w:szCs w:val="20"/>
        </w:rPr>
        <w:tab/>
      </w:r>
      <w:r w:rsidRPr="00B06331">
        <w:rPr>
          <w:rFonts w:cstheme="minorHAnsi"/>
          <w:sz w:val="20"/>
          <w:szCs w:val="20"/>
        </w:rPr>
        <w:tab/>
      </w:r>
      <w:r w:rsidRPr="00B06331">
        <w:rPr>
          <w:rFonts w:cstheme="minorHAnsi"/>
          <w:sz w:val="20"/>
          <w:szCs w:val="20"/>
        </w:rPr>
        <w:tab/>
        <w:t>Demographic Health Survey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DFQF</w:t>
      </w:r>
      <w:r w:rsidRPr="00B06331">
        <w:rPr>
          <w:rFonts w:cstheme="minorHAnsi"/>
          <w:sz w:val="20"/>
          <w:szCs w:val="20"/>
        </w:rPr>
        <w:tab/>
      </w:r>
      <w:r w:rsidRPr="00B06331">
        <w:rPr>
          <w:rFonts w:cstheme="minorHAnsi"/>
          <w:sz w:val="20"/>
          <w:szCs w:val="20"/>
        </w:rPr>
        <w:tab/>
      </w:r>
      <w:r w:rsidRPr="00B06331">
        <w:rPr>
          <w:rFonts w:cstheme="minorHAnsi"/>
          <w:sz w:val="20"/>
          <w:szCs w:val="20"/>
        </w:rPr>
        <w:tab/>
        <w:t>Duty Free Quota-Free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DLEAG</w:t>
      </w:r>
      <w:r w:rsidRPr="00B06331">
        <w:rPr>
          <w:rFonts w:cstheme="minorHAnsi"/>
          <w:sz w:val="20"/>
          <w:szCs w:val="20"/>
        </w:rPr>
        <w:tab/>
      </w:r>
      <w:r w:rsidRPr="00B06331">
        <w:rPr>
          <w:rFonts w:cstheme="minorHAnsi"/>
          <w:sz w:val="20"/>
          <w:szCs w:val="20"/>
        </w:rPr>
        <w:tab/>
      </w:r>
      <w:r w:rsidRPr="00B06331">
        <w:rPr>
          <w:rFonts w:cstheme="minorHAnsi"/>
          <w:sz w:val="20"/>
          <w:szCs w:val="20"/>
        </w:rPr>
        <w:tab/>
        <w:t>Drug Law Enforcement Agency The Gambia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DLS</w:t>
      </w:r>
      <w:r w:rsidRPr="00B06331">
        <w:rPr>
          <w:rFonts w:cstheme="minorHAnsi"/>
          <w:sz w:val="20"/>
          <w:szCs w:val="20"/>
        </w:rPr>
        <w:tab/>
      </w:r>
      <w:r w:rsidRPr="00B06331">
        <w:rPr>
          <w:rFonts w:cstheme="minorHAnsi"/>
          <w:sz w:val="20"/>
          <w:szCs w:val="20"/>
        </w:rPr>
        <w:tab/>
      </w:r>
      <w:r w:rsidRPr="00B06331">
        <w:rPr>
          <w:rFonts w:cstheme="minorHAnsi"/>
          <w:sz w:val="20"/>
          <w:szCs w:val="20"/>
        </w:rPr>
        <w:tab/>
        <w:t>Department of Livestock Services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DDMEC</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DOA</w:t>
      </w:r>
      <w:r w:rsidRPr="00B06331">
        <w:rPr>
          <w:rFonts w:cstheme="minorHAnsi"/>
          <w:sz w:val="20"/>
          <w:szCs w:val="20"/>
        </w:rPr>
        <w:tab/>
      </w:r>
      <w:r w:rsidRPr="00B06331">
        <w:rPr>
          <w:rFonts w:cstheme="minorHAnsi"/>
          <w:sz w:val="20"/>
          <w:szCs w:val="20"/>
        </w:rPr>
        <w:tab/>
      </w:r>
      <w:r w:rsidRPr="00B06331">
        <w:rPr>
          <w:rFonts w:cstheme="minorHAnsi"/>
          <w:sz w:val="20"/>
          <w:szCs w:val="20"/>
        </w:rPr>
        <w:tab/>
        <w:t>Department of Agriculture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DOF</w:t>
      </w:r>
      <w:r w:rsidRPr="00B06331">
        <w:rPr>
          <w:rFonts w:cstheme="minorHAnsi"/>
          <w:sz w:val="20"/>
          <w:szCs w:val="20"/>
        </w:rPr>
        <w:tab/>
      </w:r>
      <w:r w:rsidRPr="00B06331">
        <w:rPr>
          <w:rFonts w:cstheme="minorHAnsi"/>
          <w:sz w:val="20"/>
          <w:szCs w:val="20"/>
        </w:rPr>
        <w:tab/>
      </w:r>
      <w:r w:rsidRPr="00B06331">
        <w:rPr>
          <w:rFonts w:cstheme="minorHAnsi"/>
          <w:sz w:val="20"/>
          <w:szCs w:val="20"/>
        </w:rPr>
        <w:tab/>
        <w:t>Department of Forestry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DRR</w:t>
      </w:r>
      <w:r w:rsidRPr="00B06331">
        <w:rPr>
          <w:rFonts w:cstheme="minorHAnsi"/>
          <w:sz w:val="20"/>
          <w:szCs w:val="20"/>
        </w:rPr>
        <w:tab/>
      </w:r>
      <w:r w:rsidRPr="00B06331">
        <w:rPr>
          <w:rFonts w:cstheme="minorHAnsi"/>
          <w:sz w:val="20"/>
          <w:szCs w:val="20"/>
        </w:rPr>
        <w:tab/>
      </w:r>
      <w:r w:rsidRPr="00B06331">
        <w:rPr>
          <w:rFonts w:cstheme="minorHAnsi"/>
          <w:sz w:val="20"/>
          <w:szCs w:val="20"/>
        </w:rPr>
        <w:tab/>
        <w:t>Disaster Risk Reduction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DR-TB</w:t>
      </w:r>
      <w:r w:rsidRPr="00B06331">
        <w:rPr>
          <w:rFonts w:cstheme="minorHAnsi"/>
          <w:sz w:val="20"/>
          <w:szCs w:val="20"/>
        </w:rPr>
        <w:tab/>
      </w:r>
      <w:r w:rsidRPr="00B06331">
        <w:rPr>
          <w:rFonts w:cstheme="minorHAnsi"/>
          <w:sz w:val="20"/>
          <w:szCs w:val="20"/>
        </w:rPr>
        <w:tab/>
      </w:r>
      <w:r w:rsidRPr="00B06331">
        <w:rPr>
          <w:rFonts w:cstheme="minorHAnsi"/>
          <w:sz w:val="20"/>
          <w:szCs w:val="20"/>
        </w:rPr>
        <w:tab/>
        <w:t>Drug Resistant Tuberculosis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DSA</w:t>
      </w:r>
      <w:r w:rsidRPr="00B06331">
        <w:rPr>
          <w:rFonts w:cstheme="minorHAnsi"/>
          <w:sz w:val="20"/>
          <w:szCs w:val="20"/>
        </w:rPr>
        <w:tab/>
      </w:r>
      <w:r w:rsidRPr="00B06331">
        <w:rPr>
          <w:rFonts w:cstheme="minorHAnsi"/>
          <w:sz w:val="20"/>
          <w:szCs w:val="20"/>
        </w:rPr>
        <w:tab/>
      </w:r>
      <w:r w:rsidRPr="00B06331">
        <w:rPr>
          <w:rFonts w:cstheme="minorHAnsi"/>
          <w:sz w:val="20"/>
          <w:szCs w:val="20"/>
        </w:rPr>
        <w:tab/>
        <w:t>Debt Sustainability Analysis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DWR</w:t>
      </w:r>
      <w:r w:rsidRPr="00B06331">
        <w:rPr>
          <w:rFonts w:cstheme="minorHAnsi"/>
          <w:sz w:val="20"/>
          <w:szCs w:val="20"/>
        </w:rPr>
        <w:tab/>
      </w:r>
      <w:r w:rsidRPr="00B06331">
        <w:rPr>
          <w:rFonts w:cstheme="minorHAnsi"/>
          <w:sz w:val="20"/>
          <w:szCs w:val="20"/>
        </w:rPr>
        <w:tab/>
      </w:r>
      <w:r w:rsidRPr="00B06331">
        <w:rPr>
          <w:rFonts w:cstheme="minorHAnsi"/>
          <w:sz w:val="20"/>
          <w:szCs w:val="20"/>
        </w:rPr>
        <w:tab/>
        <w:t>Department of Water Resources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DWT</w:t>
      </w:r>
      <w:r w:rsidRPr="00B06331">
        <w:rPr>
          <w:rFonts w:cstheme="minorHAnsi"/>
          <w:sz w:val="20"/>
          <w:szCs w:val="20"/>
        </w:rPr>
        <w:tab/>
      </w:r>
      <w:r w:rsidRPr="00B06331">
        <w:rPr>
          <w:rFonts w:cstheme="minorHAnsi"/>
          <w:sz w:val="20"/>
          <w:szCs w:val="20"/>
        </w:rPr>
        <w:tab/>
      </w:r>
      <w:r w:rsidRPr="00B06331">
        <w:rPr>
          <w:rFonts w:cstheme="minorHAnsi"/>
          <w:sz w:val="20"/>
          <w:szCs w:val="20"/>
        </w:rPr>
        <w:tab/>
        <w:t>Deadweight Tonnage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EBA</w:t>
      </w:r>
      <w:r w:rsidRPr="00B06331">
        <w:rPr>
          <w:rFonts w:cstheme="minorHAnsi"/>
          <w:sz w:val="20"/>
          <w:szCs w:val="20"/>
        </w:rPr>
        <w:tab/>
      </w:r>
      <w:r w:rsidRPr="00B06331">
        <w:rPr>
          <w:rFonts w:cstheme="minorHAnsi"/>
          <w:sz w:val="20"/>
          <w:szCs w:val="20"/>
        </w:rPr>
        <w:tab/>
      </w:r>
      <w:r w:rsidRPr="00B06331">
        <w:rPr>
          <w:rFonts w:cstheme="minorHAnsi"/>
          <w:sz w:val="20"/>
          <w:szCs w:val="20"/>
        </w:rPr>
        <w:tab/>
        <w:t>Every Thing But Arms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ECD</w:t>
      </w:r>
      <w:r w:rsidRPr="00B06331">
        <w:rPr>
          <w:rFonts w:cstheme="minorHAnsi"/>
          <w:sz w:val="20"/>
          <w:szCs w:val="20"/>
        </w:rPr>
        <w:tab/>
      </w:r>
      <w:r w:rsidRPr="00B06331">
        <w:rPr>
          <w:rFonts w:cstheme="minorHAnsi"/>
          <w:sz w:val="20"/>
          <w:szCs w:val="20"/>
        </w:rPr>
        <w:tab/>
      </w:r>
      <w:r w:rsidRPr="00B06331">
        <w:rPr>
          <w:rFonts w:cstheme="minorHAnsi"/>
          <w:sz w:val="20"/>
          <w:szCs w:val="20"/>
        </w:rPr>
        <w:tab/>
        <w:t>Early Childhood Development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ECOWAN</w:t>
      </w:r>
      <w:r w:rsidRPr="00B06331">
        <w:rPr>
          <w:rFonts w:cstheme="minorHAnsi"/>
          <w:sz w:val="20"/>
          <w:szCs w:val="20"/>
        </w:rPr>
        <w:tab/>
      </w:r>
      <w:r w:rsidRPr="00B06331">
        <w:rPr>
          <w:rFonts w:cstheme="minorHAnsi"/>
          <w:sz w:val="20"/>
          <w:szCs w:val="20"/>
        </w:rPr>
        <w:tab/>
      </w:r>
      <w:r w:rsidRPr="00B06331">
        <w:rPr>
          <w:rFonts w:cstheme="minorHAnsi"/>
          <w:sz w:val="20"/>
          <w:szCs w:val="20"/>
        </w:rPr>
        <w:tab/>
        <w:t>ECOWAS Wide Area Network</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ECOWAS</w:t>
      </w:r>
      <w:r w:rsidRPr="00B06331">
        <w:rPr>
          <w:rFonts w:cstheme="minorHAnsi"/>
          <w:sz w:val="20"/>
          <w:szCs w:val="20"/>
        </w:rPr>
        <w:tab/>
      </w:r>
      <w:r w:rsidRPr="00B06331">
        <w:rPr>
          <w:rFonts w:cstheme="minorHAnsi"/>
          <w:sz w:val="20"/>
          <w:szCs w:val="20"/>
        </w:rPr>
        <w:tab/>
      </w:r>
      <w:r w:rsidRPr="00B06331">
        <w:rPr>
          <w:rFonts w:cstheme="minorHAnsi"/>
          <w:sz w:val="20"/>
          <w:szCs w:val="20"/>
        </w:rPr>
        <w:tab/>
        <w:t>Economic Community of West African States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ECE</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Early Childhood Education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EE</w:t>
      </w:r>
      <w:r w:rsidRPr="00B06331">
        <w:rPr>
          <w:rFonts w:cstheme="minorHAnsi"/>
          <w:sz w:val="20"/>
          <w:szCs w:val="20"/>
        </w:rPr>
        <w:tab/>
      </w:r>
      <w:r w:rsidRPr="00B06331">
        <w:rPr>
          <w:rFonts w:cstheme="minorHAnsi"/>
          <w:sz w:val="20"/>
          <w:szCs w:val="20"/>
        </w:rPr>
        <w:tab/>
      </w:r>
      <w:r w:rsidRPr="00B06331">
        <w:rPr>
          <w:rFonts w:cstheme="minorHAnsi"/>
          <w:sz w:val="20"/>
          <w:szCs w:val="20"/>
        </w:rPr>
        <w:tab/>
        <w:t>Energy Efficiency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EFSTH</w:t>
      </w:r>
      <w:r w:rsidRPr="00B06331">
        <w:rPr>
          <w:rFonts w:cstheme="minorHAnsi"/>
          <w:sz w:val="20"/>
          <w:szCs w:val="20"/>
        </w:rPr>
        <w:tab/>
      </w:r>
      <w:r w:rsidRPr="00B06331">
        <w:rPr>
          <w:rFonts w:cstheme="minorHAnsi"/>
          <w:sz w:val="20"/>
          <w:szCs w:val="20"/>
        </w:rPr>
        <w:tab/>
      </w:r>
      <w:r w:rsidRPr="00B06331">
        <w:rPr>
          <w:rFonts w:cstheme="minorHAnsi"/>
          <w:sz w:val="20"/>
          <w:szCs w:val="20"/>
        </w:rPr>
        <w:tab/>
        <w:t>Edward Francis Small Teaching Hospital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EID</w:t>
      </w:r>
      <w:r w:rsidRPr="00B06331">
        <w:rPr>
          <w:rFonts w:cstheme="minorHAnsi"/>
          <w:sz w:val="20"/>
          <w:szCs w:val="20"/>
        </w:rPr>
        <w:tab/>
      </w:r>
      <w:r w:rsidRPr="00B06331">
        <w:rPr>
          <w:rFonts w:cstheme="minorHAnsi"/>
          <w:sz w:val="20"/>
          <w:szCs w:val="20"/>
        </w:rPr>
        <w:tab/>
      </w:r>
      <w:r w:rsidRPr="00B06331">
        <w:rPr>
          <w:rFonts w:cstheme="minorHAnsi"/>
          <w:sz w:val="20"/>
          <w:szCs w:val="20"/>
        </w:rPr>
        <w:tab/>
        <w:t>Early Infant Diagnosis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EIF</w:t>
      </w:r>
      <w:r w:rsidRPr="00B06331">
        <w:rPr>
          <w:rFonts w:cstheme="minorHAnsi"/>
          <w:sz w:val="20"/>
          <w:szCs w:val="20"/>
        </w:rPr>
        <w:tab/>
      </w:r>
      <w:r w:rsidRPr="00B06331">
        <w:rPr>
          <w:rFonts w:cstheme="minorHAnsi"/>
          <w:sz w:val="20"/>
          <w:szCs w:val="20"/>
        </w:rPr>
        <w:tab/>
      </w:r>
      <w:r w:rsidRPr="00B06331">
        <w:rPr>
          <w:rFonts w:cstheme="minorHAnsi"/>
          <w:sz w:val="20"/>
          <w:szCs w:val="20"/>
        </w:rPr>
        <w:tab/>
        <w:t>Enhanced Integrated Framework</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EmONC</w:t>
      </w:r>
      <w:r w:rsidRPr="00B06331">
        <w:rPr>
          <w:rFonts w:cstheme="minorHAnsi"/>
          <w:sz w:val="20"/>
          <w:szCs w:val="20"/>
        </w:rPr>
        <w:tab/>
      </w:r>
      <w:r w:rsidRPr="00B06331">
        <w:rPr>
          <w:rFonts w:cstheme="minorHAnsi"/>
          <w:sz w:val="20"/>
          <w:szCs w:val="20"/>
        </w:rPr>
        <w:tab/>
      </w:r>
      <w:r w:rsidRPr="00B06331">
        <w:rPr>
          <w:rFonts w:cstheme="minorHAnsi"/>
          <w:sz w:val="20"/>
          <w:szCs w:val="20"/>
        </w:rPr>
        <w:tab/>
        <w:t>Emergency Obstetric and Neonatal Care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EMPRETEC</w:t>
      </w:r>
      <w:r w:rsidRPr="00B06331">
        <w:rPr>
          <w:rFonts w:cstheme="minorHAnsi"/>
          <w:sz w:val="20"/>
          <w:szCs w:val="20"/>
        </w:rPr>
        <w:tab/>
      </w:r>
      <w:r w:rsidRPr="00B06331">
        <w:rPr>
          <w:rFonts w:cstheme="minorHAnsi"/>
          <w:sz w:val="20"/>
          <w:szCs w:val="20"/>
        </w:rPr>
        <w:tab/>
      </w:r>
      <w:r w:rsidRPr="00B06331">
        <w:rPr>
          <w:rFonts w:cstheme="minorHAnsi"/>
          <w:sz w:val="20"/>
          <w:szCs w:val="20"/>
        </w:rPr>
        <w:tab/>
        <w:t>Emprendedores and Tecnologia (Entrepreneurs &amp; Technology)</w:t>
      </w:r>
    </w:p>
    <w:p w:rsidR="00697D55" w:rsidRPr="00B06331" w:rsidRDefault="00746561" w:rsidP="00697D55">
      <w:pPr>
        <w:spacing w:before="120" w:after="0"/>
        <w:ind w:left="1440" w:hanging="1440"/>
        <w:contextualSpacing/>
        <w:rPr>
          <w:rFonts w:cstheme="minorHAnsi"/>
          <w:sz w:val="20"/>
          <w:szCs w:val="20"/>
        </w:rPr>
      </w:pPr>
      <w:r w:rsidRPr="00B06331">
        <w:rPr>
          <w:rFonts w:cstheme="minorHAnsi"/>
          <w:sz w:val="20"/>
          <w:szCs w:val="20"/>
        </w:rPr>
        <w:t>E</w:t>
      </w:r>
      <w:r w:rsidR="00697D55" w:rsidRPr="00B06331">
        <w:rPr>
          <w:rFonts w:cstheme="minorHAnsi"/>
          <w:sz w:val="20"/>
          <w:szCs w:val="20"/>
        </w:rPr>
        <w:t>MTCT</w:t>
      </w:r>
      <w:r w:rsidR="00697D55" w:rsidRPr="00B06331">
        <w:rPr>
          <w:rFonts w:cstheme="minorHAnsi"/>
          <w:sz w:val="20"/>
          <w:szCs w:val="20"/>
        </w:rPr>
        <w:tab/>
      </w:r>
      <w:r w:rsidR="00697D55" w:rsidRPr="00B06331">
        <w:rPr>
          <w:rFonts w:cstheme="minorHAnsi"/>
          <w:sz w:val="20"/>
          <w:szCs w:val="20"/>
        </w:rPr>
        <w:tab/>
      </w:r>
      <w:r w:rsidR="00697D55" w:rsidRPr="00B06331">
        <w:rPr>
          <w:rFonts w:cstheme="minorHAnsi"/>
          <w:sz w:val="20"/>
          <w:szCs w:val="20"/>
        </w:rPr>
        <w:tab/>
        <w:t>Elimination of Mother to Child Transmission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ESSP</w:t>
      </w:r>
      <w:r w:rsidRPr="00B06331">
        <w:rPr>
          <w:rFonts w:cstheme="minorHAnsi"/>
          <w:sz w:val="20"/>
          <w:szCs w:val="20"/>
        </w:rPr>
        <w:tab/>
      </w:r>
      <w:r w:rsidRPr="00B06331">
        <w:rPr>
          <w:rFonts w:cstheme="minorHAnsi"/>
          <w:sz w:val="20"/>
          <w:szCs w:val="20"/>
        </w:rPr>
        <w:tab/>
      </w:r>
      <w:r w:rsidRPr="00B06331">
        <w:rPr>
          <w:rFonts w:cstheme="minorHAnsi"/>
          <w:sz w:val="20"/>
          <w:szCs w:val="20"/>
        </w:rPr>
        <w:tab/>
        <w:t>Education Sector Strategic Policy</w:t>
      </w:r>
    </w:p>
    <w:p w:rsidR="00697D55" w:rsidRPr="00B06331" w:rsidRDefault="00697D55" w:rsidP="00697D55">
      <w:pPr>
        <w:spacing w:before="120" w:after="0"/>
        <w:ind w:left="1440" w:hanging="1440"/>
        <w:contextualSpacing/>
        <w:rPr>
          <w:rFonts w:cstheme="minorHAnsi"/>
          <w:sz w:val="20"/>
          <w:szCs w:val="20"/>
        </w:rPr>
      </w:pPr>
      <w:r w:rsidRPr="00B06331">
        <w:rPr>
          <w:rFonts w:cs="Calibri"/>
          <w:sz w:val="20"/>
          <w:szCs w:val="20"/>
        </w:rPr>
        <w:t>ETLS</w:t>
      </w:r>
      <w:r w:rsidRPr="00B06331">
        <w:rPr>
          <w:rFonts w:cs="Calibri"/>
          <w:sz w:val="20"/>
          <w:szCs w:val="20"/>
        </w:rPr>
        <w:tab/>
      </w:r>
      <w:r w:rsidRPr="00B06331">
        <w:rPr>
          <w:rFonts w:cs="Calibri"/>
          <w:sz w:val="20"/>
          <w:szCs w:val="20"/>
        </w:rPr>
        <w:tab/>
      </w:r>
      <w:r w:rsidRPr="00B06331">
        <w:rPr>
          <w:rFonts w:cs="Calibri"/>
          <w:sz w:val="20"/>
          <w:szCs w:val="20"/>
        </w:rPr>
        <w:tab/>
        <w:t xml:space="preserve">ECOWAS Trade Liberalization Scheme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EU</w:t>
      </w:r>
      <w:r w:rsidRPr="00B06331">
        <w:rPr>
          <w:rFonts w:cstheme="minorHAnsi"/>
          <w:sz w:val="20"/>
          <w:szCs w:val="20"/>
        </w:rPr>
        <w:tab/>
      </w:r>
      <w:r w:rsidRPr="00B06331">
        <w:rPr>
          <w:rFonts w:cstheme="minorHAnsi"/>
          <w:sz w:val="20"/>
          <w:szCs w:val="20"/>
        </w:rPr>
        <w:tab/>
      </w:r>
      <w:r w:rsidRPr="00B06331">
        <w:rPr>
          <w:rFonts w:cstheme="minorHAnsi"/>
          <w:sz w:val="20"/>
          <w:szCs w:val="20"/>
        </w:rPr>
        <w:tab/>
        <w:t>European Union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EWEA </w:t>
      </w:r>
      <w:r w:rsidRPr="00B06331">
        <w:rPr>
          <w:rFonts w:cstheme="minorHAnsi"/>
          <w:sz w:val="20"/>
          <w:szCs w:val="20"/>
        </w:rPr>
        <w:tab/>
      </w:r>
      <w:r w:rsidRPr="00B06331">
        <w:rPr>
          <w:rFonts w:cstheme="minorHAnsi"/>
          <w:sz w:val="20"/>
          <w:szCs w:val="20"/>
        </w:rPr>
        <w:tab/>
      </w:r>
      <w:r w:rsidRPr="00B06331">
        <w:rPr>
          <w:rFonts w:cstheme="minorHAnsi"/>
          <w:sz w:val="20"/>
          <w:szCs w:val="20"/>
        </w:rPr>
        <w:tab/>
        <w:t>Early Warning Early Actions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FAO</w:t>
      </w:r>
      <w:r w:rsidRPr="00B06331">
        <w:rPr>
          <w:rFonts w:cstheme="minorHAnsi"/>
          <w:sz w:val="20"/>
          <w:szCs w:val="20"/>
        </w:rPr>
        <w:tab/>
      </w:r>
      <w:r w:rsidRPr="00B06331">
        <w:rPr>
          <w:rFonts w:cstheme="minorHAnsi"/>
          <w:sz w:val="20"/>
          <w:szCs w:val="20"/>
        </w:rPr>
        <w:tab/>
      </w:r>
      <w:r w:rsidRPr="00B06331">
        <w:rPr>
          <w:rFonts w:cstheme="minorHAnsi"/>
          <w:sz w:val="20"/>
          <w:szCs w:val="20"/>
        </w:rPr>
        <w:tab/>
        <w:t>Food and Agriculture Organization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FASDEP</w:t>
      </w:r>
      <w:r w:rsidRPr="00B06331">
        <w:rPr>
          <w:rFonts w:cstheme="minorHAnsi"/>
          <w:sz w:val="20"/>
          <w:szCs w:val="20"/>
        </w:rPr>
        <w:tab/>
      </w:r>
      <w:r w:rsidRPr="00B06331">
        <w:rPr>
          <w:rFonts w:cstheme="minorHAnsi"/>
          <w:sz w:val="20"/>
          <w:szCs w:val="20"/>
        </w:rPr>
        <w:tab/>
      </w:r>
      <w:r w:rsidRPr="00B06331">
        <w:rPr>
          <w:rFonts w:cstheme="minorHAnsi"/>
          <w:sz w:val="20"/>
          <w:szCs w:val="20"/>
        </w:rPr>
        <w:tab/>
        <w:t>Food and Agriculture Sector Development Project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FDI</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Foreign Direct Investments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FGM</w:t>
      </w:r>
      <w:r w:rsidRPr="00B06331">
        <w:rPr>
          <w:rFonts w:cstheme="minorHAnsi"/>
          <w:sz w:val="20"/>
          <w:szCs w:val="20"/>
        </w:rPr>
        <w:tab/>
      </w:r>
      <w:r w:rsidRPr="00B06331">
        <w:rPr>
          <w:rFonts w:cstheme="minorHAnsi"/>
          <w:sz w:val="20"/>
          <w:szCs w:val="20"/>
        </w:rPr>
        <w:tab/>
      </w:r>
      <w:r w:rsidRPr="00B06331">
        <w:rPr>
          <w:rFonts w:cstheme="minorHAnsi"/>
          <w:sz w:val="20"/>
          <w:szCs w:val="20"/>
        </w:rPr>
        <w:tab/>
        <w:t>Female Genital Mutilation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FI</w:t>
      </w:r>
      <w:r w:rsidRPr="00B06331">
        <w:rPr>
          <w:rFonts w:cstheme="minorHAnsi"/>
          <w:sz w:val="20"/>
          <w:szCs w:val="20"/>
        </w:rPr>
        <w:tab/>
      </w:r>
      <w:r w:rsidRPr="00B06331">
        <w:rPr>
          <w:rFonts w:cstheme="minorHAnsi"/>
          <w:sz w:val="20"/>
          <w:szCs w:val="20"/>
        </w:rPr>
        <w:tab/>
      </w:r>
      <w:r w:rsidRPr="00B06331">
        <w:rPr>
          <w:rFonts w:cstheme="minorHAnsi"/>
          <w:sz w:val="20"/>
          <w:szCs w:val="20"/>
        </w:rPr>
        <w:tab/>
        <w:t>Financial Inclusion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FIT </w:t>
      </w:r>
      <w:r w:rsidRPr="00B06331">
        <w:rPr>
          <w:rFonts w:cstheme="minorHAnsi"/>
          <w:sz w:val="20"/>
          <w:szCs w:val="20"/>
        </w:rPr>
        <w:tab/>
      </w:r>
      <w:r w:rsidRPr="00B06331">
        <w:rPr>
          <w:rFonts w:cstheme="minorHAnsi"/>
          <w:sz w:val="20"/>
          <w:szCs w:val="20"/>
        </w:rPr>
        <w:tab/>
      </w:r>
      <w:r w:rsidRPr="00B06331">
        <w:rPr>
          <w:rFonts w:cstheme="minorHAnsi"/>
          <w:sz w:val="20"/>
          <w:szCs w:val="20"/>
        </w:rPr>
        <w:tab/>
        <w:t>Feed-in-Tariff</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FSQA</w:t>
      </w:r>
      <w:r w:rsidRPr="00B06331">
        <w:rPr>
          <w:rFonts w:cstheme="minorHAnsi"/>
          <w:sz w:val="20"/>
          <w:szCs w:val="20"/>
        </w:rPr>
        <w:tab/>
      </w:r>
      <w:r w:rsidRPr="00B06331">
        <w:rPr>
          <w:rFonts w:cstheme="minorHAnsi"/>
          <w:sz w:val="20"/>
          <w:szCs w:val="20"/>
        </w:rPr>
        <w:tab/>
      </w:r>
      <w:r w:rsidRPr="00B06331">
        <w:rPr>
          <w:rFonts w:cstheme="minorHAnsi"/>
          <w:sz w:val="20"/>
          <w:szCs w:val="20"/>
        </w:rPr>
        <w:tab/>
        <w:t>Food Safety and Quality Authority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FP</w:t>
      </w:r>
      <w:r w:rsidRPr="00B06331">
        <w:rPr>
          <w:rFonts w:cstheme="minorHAnsi"/>
          <w:sz w:val="20"/>
          <w:szCs w:val="20"/>
        </w:rPr>
        <w:tab/>
      </w:r>
      <w:r w:rsidRPr="00B06331">
        <w:rPr>
          <w:rFonts w:cstheme="minorHAnsi"/>
          <w:sz w:val="20"/>
          <w:szCs w:val="20"/>
        </w:rPr>
        <w:tab/>
      </w:r>
      <w:r w:rsidRPr="00B06331">
        <w:rPr>
          <w:rFonts w:cstheme="minorHAnsi"/>
          <w:sz w:val="20"/>
          <w:szCs w:val="20"/>
        </w:rPr>
        <w:tab/>
        <w:t>Family Planning</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GABECE</w:t>
      </w:r>
      <w:r w:rsidRPr="00B06331">
        <w:rPr>
          <w:rFonts w:cstheme="minorHAnsi"/>
          <w:sz w:val="20"/>
          <w:szCs w:val="20"/>
        </w:rPr>
        <w:tab/>
      </w:r>
      <w:r w:rsidRPr="00B06331">
        <w:rPr>
          <w:rFonts w:cstheme="minorHAnsi"/>
          <w:sz w:val="20"/>
          <w:szCs w:val="20"/>
        </w:rPr>
        <w:tab/>
      </w:r>
      <w:r w:rsidRPr="00B06331">
        <w:rPr>
          <w:rFonts w:cstheme="minorHAnsi"/>
          <w:sz w:val="20"/>
          <w:szCs w:val="20"/>
        </w:rPr>
        <w:tab/>
        <w:t>Gambia Basic Education Certificate Examination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GAF</w:t>
      </w:r>
      <w:r w:rsidRPr="00B06331">
        <w:rPr>
          <w:rFonts w:cstheme="minorHAnsi"/>
          <w:sz w:val="20"/>
          <w:szCs w:val="20"/>
        </w:rPr>
        <w:tab/>
      </w:r>
      <w:r w:rsidRPr="00B06331">
        <w:rPr>
          <w:rFonts w:cstheme="minorHAnsi"/>
          <w:sz w:val="20"/>
          <w:szCs w:val="20"/>
        </w:rPr>
        <w:tab/>
      </w:r>
      <w:r w:rsidRPr="00B06331">
        <w:rPr>
          <w:rFonts w:cstheme="minorHAnsi"/>
          <w:sz w:val="20"/>
          <w:szCs w:val="20"/>
        </w:rPr>
        <w:tab/>
        <w:t>Gambia Armed Forces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GAFDP</w:t>
      </w:r>
      <w:r w:rsidRPr="00B06331">
        <w:rPr>
          <w:rFonts w:cstheme="minorHAnsi"/>
          <w:sz w:val="20"/>
          <w:szCs w:val="20"/>
        </w:rPr>
        <w:tab/>
      </w:r>
      <w:r w:rsidRPr="00B06331">
        <w:rPr>
          <w:rFonts w:cstheme="minorHAnsi"/>
          <w:sz w:val="20"/>
          <w:szCs w:val="20"/>
        </w:rPr>
        <w:tab/>
      </w:r>
      <w:r w:rsidRPr="00B06331">
        <w:rPr>
          <w:rFonts w:cstheme="minorHAnsi"/>
          <w:sz w:val="20"/>
          <w:szCs w:val="20"/>
        </w:rPr>
        <w:tab/>
        <w:t>Gambia Artisanal Fisheries Development Project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GAINDE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GAMWORKS</w:t>
      </w:r>
      <w:r w:rsidRPr="00B06331">
        <w:rPr>
          <w:rFonts w:cstheme="minorHAnsi"/>
          <w:sz w:val="20"/>
          <w:szCs w:val="20"/>
        </w:rPr>
        <w:tab/>
      </w:r>
      <w:r w:rsidRPr="00B06331">
        <w:rPr>
          <w:rFonts w:cstheme="minorHAnsi"/>
          <w:sz w:val="20"/>
          <w:szCs w:val="20"/>
        </w:rPr>
        <w:tab/>
      </w:r>
      <w:r w:rsidRPr="00B06331">
        <w:rPr>
          <w:rFonts w:cstheme="minorHAnsi"/>
          <w:sz w:val="20"/>
          <w:szCs w:val="20"/>
        </w:rPr>
        <w:tab/>
        <w:t>Gambia Agency for Management of Public Works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GAMTEL</w:t>
      </w:r>
      <w:r w:rsidRPr="00B06331">
        <w:rPr>
          <w:rFonts w:cstheme="minorHAnsi"/>
          <w:sz w:val="20"/>
          <w:szCs w:val="20"/>
        </w:rPr>
        <w:tab/>
      </w:r>
      <w:r w:rsidRPr="00B06331">
        <w:rPr>
          <w:rFonts w:cstheme="minorHAnsi"/>
          <w:sz w:val="20"/>
          <w:szCs w:val="20"/>
        </w:rPr>
        <w:tab/>
      </w:r>
      <w:r w:rsidRPr="00B06331">
        <w:rPr>
          <w:rFonts w:cstheme="minorHAnsi"/>
          <w:sz w:val="20"/>
          <w:szCs w:val="20"/>
        </w:rPr>
        <w:tab/>
        <w:t>Gambia Telecommunications Company Limited</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GBA</w:t>
      </w:r>
      <w:r w:rsidRPr="00B06331">
        <w:rPr>
          <w:rFonts w:cstheme="minorHAnsi"/>
          <w:sz w:val="20"/>
          <w:szCs w:val="20"/>
        </w:rPr>
        <w:tab/>
      </w:r>
      <w:r w:rsidRPr="00B06331">
        <w:rPr>
          <w:rFonts w:cstheme="minorHAnsi"/>
          <w:sz w:val="20"/>
          <w:szCs w:val="20"/>
        </w:rPr>
        <w:tab/>
      </w:r>
      <w:r w:rsidRPr="00B06331">
        <w:rPr>
          <w:rFonts w:cstheme="minorHAnsi"/>
          <w:sz w:val="20"/>
          <w:szCs w:val="20"/>
        </w:rPr>
        <w:tab/>
        <w:t>Greater Banjul Area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GBOS</w:t>
      </w:r>
      <w:r w:rsidRPr="00B06331">
        <w:rPr>
          <w:rFonts w:cstheme="minorHAnsi"/>
          <w:sz w:val="20"/>
          <w:szCs w:val="20"/>
        </w:rPr>
        <w:tab/>
      </w:r>
      <w:r w:rsidRPr="00B06331">
        <w:rPr>
          <w:rFonts w:cstheme="minorHAnsi"/>
          <w:sz w:val="20"/>
          <w:szCs w:val="20"/>
        </w:rPr>
        <w:tab/>
      </w:r>
      <w:r w:rsidRPr="00B06331">
        <w:rPr>
          <w:rFonts w:cstheme="minorHAnsi"/>
          <w:sz w:val="20"/>
          <w:szCs w:val="20"/>
        </w:rPr>
        <w:tab/>
        <w:t>Gambia Bureau of Statistics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lastRenderedPageBreak/>
        <w:t>GBV</w:t>
      </w:r>
      <w:r w:rsidRPr="00B06331">
        <w:rPr>
          <w:rFonts w:cstheme="minorHAnsi"/>
          <w:sz w:val="20"/>
          <w:szCs w:val="20"/>
        </w:rPr>
        <w:tab/>
      </w:r>
      <w:r w:rsidRPr="00B06331">
        <w:rPr>
          <w:rFonts w:cstheme="minorHAnsi"/>
          <w:sz w:val="20"/>
          <w:szCs w:val="20"/>
        </w:rPr>
        <w:tab/>
      </w:r>
      <w:r w:rsidRPr="00B06331">
        <w:rPr>
          <w:rFonts w:cstheme="minorHAnsi"/>
          <w:sz w:val="20"/>
          <w:szCs w:val="20"/>
        </w:rPr>
        <w:tab/>
        <w:t>Gender Based Violence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GCAA</w:t>
      </w:r>
      <w:r w:rsidRPr="00B06331">
        <w:rPr>
          <w:rFonts w:cstheme="minorHAnsi"/>
          <w:sz w:val="20"/>
          <w:szCs w:val="20"/>
        </w:rPr>
        <w:tab/>
      </w:r>
      <w:r w:rsidRPr="00B06331">
        <w:rPr>
          <w:rFonts w:cstheme="minorHAnsi"/>
          <w:sz w:val="20"/>
          <w:szCs w:val="20"/>
        </w:rPr>
        <w:tab/>
      </w:r>
      <w:r w:rsidRPr="00B06331">
        <w:rPr>
          <w:rFonts w:cstheme="minorHAnsi"/>
          <w:sz w:val="20"/>
          <w:szCs w:val="20"/>
        </w:rPr>
        <w:tab/>
        <w:t>Gambia Civil Aviation Authority</w:t>
      </w:r>
      <w:r w:rsidRPr="00B06331">
        <w:rPr>
          <w:rFonts w:cstheme="minorHAnsi"/>
          <w:sz w:val="20"/>
          <w:szCs w:val="20"/>
        </w:rPr>
        <w:tab/>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GCAV</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Gambia Commercial Agriculture and Value Chain Management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GCCI</w:t>
      </w:r>
      <w:r w:rsidRPr="00B06331">
        <w:rPr>
          <w:rFonts w:cstheme="minorHAnsi"/>
          <w:sz w:val="20"/>
          <w:szCs w:val="20"/>
        </w:rPr>
        <w:tab/>
      </w:r>
      <w:r w:rsidRPr="00B06331">
        <w:rPr>
          <w:rFonts w:cstheme="minorHAnsi"/>
          <w:sz w:val="20"/>
          <w:szCs w:val="20"/>
        </w:rPr>
        <w:tab/>
      </w:r>
      <w:r w:rsidRPr="00B06331">
        <w:rPr>
          <w:rFonts w:cstheme="minorHAnsi"/>
          <w:sz w:val="20"/>
          <w:szCs w:val="20"/>
        </w:rPr>
        <w:tab/>
        <w:t>Gambia Chamber of Commerce and Industry</w:t>
      </w:r>
    </w:p>
    <w:p w:rsidR="00697D55" w:rsidRPr="00B06331" w:rsidRDefault="00697D55" w:rsidP="00697D55">
      <w:pPr>
        <w:spacing w:before="120" w:after="0"/>
        <w:contextualSpacing/>
        <w:rPr>
          <w:rFonts w:cstheme="minorHAnsi"/>
          <w:sz w:val="20"/>
          <w:szCs w:val="20"/>
        </w:rPr>
      </w:pPr>
      <w:r w:rsidRPr="00B06331">
        <w:rPr>
          <w:rFonts w:cs="Calibri"/>
          <w:sz w:val="20"/>
          <w:szCs w:val="20"/>
        </w:rPr>
        <w:t>GCCPC</w:t>
      </w:r>
      <w:r w:rsidRPr="00B06331">
        <w:rPr>
          <w:rFonts w:cs="Calibri"/>
          <w:sz w:val="20"/>
          <w:szCs w:val="20"/>
        </w:rPr>
        <w:tab/>
      </w:r>
      <w:r w:rsidRPr="00B06331">
        <w:rPr>
          <w:rFonts w:cs="Calibri"/>
          <w:sz w:val="20"/>
          <w:szCs w:val="20"/>
        </w:rPr>
        <w:tab/>
      </w:r>
      <w:r w:rsidRPr="00B06331">
        <w:rPr>
          <w:rFonts w:cs="Calibri"/>
          <w:sz w:val="20"/>
          <w:szCs w:val="20"/>
        </w:rPr>
        <w:tab/>
      </w:r>
      <w:r w:rsidRPr="00B06331">
        <w:rPr>
          <w:rFonts w:cs="Calibri"/>
          <w:sz w:val="20"/>
          <w:szCs w:val="20"/>
        </w:rPr>
        <w:tab/>
        <w:t>Gambia Competition and Consumer Protection Commission’s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GCP</w:t>
      </w:r>
      <w:r w:rsidRPr="00B06331">
        <w:rPr>
          <w:rFonts w:cstheme="minorHAnsi"/>
          <w:sz w:val="20"/>
          <w:szCs w:val="20"/>
        </w:rPr>
        <w:tab/>
      </w:r>
      <w:r w:rsidRPr="00B06331">
        <w:rPr>
          <w:rFonts w:cstheme="minorHAnsi"/>
          <w:sz w:val="20"/>
          <w:szCs w:val="20"/>
        </w:rPr>
        <w:tab/>
      </w:r>
      <w:r w:rsidRPr="00B06331">
        <w:rPr>
          <w:rFonts w:cstheme="minorHAnsi"/>
          <w:sz w:val="20"/>
          <w:szCs w:val="20"/>
        </w:rPr>
        <w:tab/>
        <w:t>Growth and Competitiveness Project (GCP)</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GDP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Gross Domestic Product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GEF</w:t>
      </w:r>
      <w:r w:rsidRPr="00B06331">
        <w:rPr>
          <w:rFonts w:cstheme="minorHAnsi"/>
          <w:sz w:val="20"/>
          <w:szCs w:val="20"/>
        </w:rPr>
        <w:tab/>
      </w:r>
      <w:r w:rsidRPr="00B06331">
        <w:rPr>
          <w:rFonts w:cstheme="minorHAnsi"/>
          <w:sz w:val="20"/>
          <w:szCs w:val="20"/>
        </w:rPr>
        <w:tab/>
      </w:r>
      <w:r w:rsidRPr="00B06331">
        <w:rPr>
          <w:rFonts w:cstheme="minorHAnsi"/>
          <w:sz w:val="20"/>
          <w:szCs w:val="20"/>
        </w:rPr>
        <w:tab/>
        <w:t>Global Environment Fund</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GER</w:t>
      </w:r>
      <w:r w:rsidRPr="00B06331">
        <w:rPr>
          <w:rFonts w:cstheme="minorHAnsi"/>
          <w:sz w:val="20"/>
          <w:szCs w:val="20"/>
        </w:rPr>
        <w:tab/>
      </w:r>
      <w:r w:rsidRPr="00B06331">
        <w:rPr>
          <w:rFonts w:cstheme="minorHAnsi"/>
          <w:sz w:val="20"/>
          <w:szCs w:val="20"/>
        </w:rPr>
        <w:tab/>
      </w:r>
      <w:r w:rsidRPr="00B06331">
        <w:rPr>
          <w:rFonts w:cstheme="minorHAnsi"/>
          <w:sz w:val="20"/>
          <w:szCs w:val="20"/>
        </w:rPr>
        <w:tab/>
        <w:t>Gross Enrolment Rate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lang w:val="en-GB"/>
        </w:rPr>
        <w:t>GFMC</w:t>
      </w:r>
      <w:r w:rsidRPr="00B06331">
        <w:rPr>
          <w:rFonts w:cstheme="minorHAnsi"/>
          <w:sz w:val="20"/>
          <w:szCs w:val="20"/>
          <w:lang w:val="en-GB"/>
        </w:rPr>
        <w:tab/>
      </w:r>
      <w:r w:rsidRPr="00B06331">
        <w:rPr>
          <w:rFonts w:cstheme="minorHAnsi"/>
          <w:sz w:val="20"/>
          <w:szCs w:val="20"/>
          <w:lang w:val="en-GB"/>
        </w:rPr>
        <w:tab/>
      </w:r>
      <w:r w:rsidRPr="00B06331">
        <w:rPr>
          <w:rFonts w:cstheme="minorHAnsi"/>
          <w:sz w:val="20"/>
          <w:szCs w:val="20"/>
          <w:lang w:val="en-GB"/>
        </w:rPr>
        <w:tab/>
        <w:t>The Gambia Forest Management Concept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GFRS</w:t>
      </w:r>
      <w:r w:rsidRPr="00B06331">
        <w:rPr>
          <w:rFonts w:cstheme="minorHAnsi"/>
          <w:sz w:val="20"/>
          <w:szCs w:val="20"/>
        </w:rPr>
        <w:tab/>
      </w:r>
      <w:r w:rsidRPr="00B06331">
        <w:rPr>
          <w:rFonts w:cstheme="minorHAnsi"/>
          <w:sz w:val="20"/>
          <w:szCs w:val="20"/>
        </w:rPr>
        <w:tab/>
      </w:r>
      <w:r w:rsidRPr="00B06331">
        <w:rPr>
          <w:rFonts w:cstheme="minorHAnsi"/>
          <w:sz w:val="20"/>
          <w:szCs w:val="20"/>
        </w:rPr>
        <w:tab/>
        <w:t>Gambia Fire and Rescue Service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GID</w:t>
      </w:r>
      <w:r w:rsidRPr="00B06331">
        <w:rPr>
          <w:rFonts w:cstheme="minorHAnsi"/>
          <w:sz w:val="20"/>
          <w:szCs w:val="20"/>
        </w:rPr>
        <w:tab/>
      </w:r>
      <w:r w:rsidRPr="00B06331">
        <w:rPr>
          <w:rFonts w:cstheme="minorHAnsi"/>
          <w:sz w:val="20"/>
          <w:szCs w:val="20"/>
        </w:rPr>
        <w:tab/>
      </w:r>
      <w:r w:rsidRPr="00B06331">
        <w:rPr>
          <w:rFonts w:cstheme="minorHAnsi"/>
          <w:sz w:val="20"/>
          <w:szCs w:val="20"/>
        </w:rPr>
        <w:tab/>
        <w:t>Gambia Immigration Department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GIEPA</w:t>
      </w:r>
      <w:r w:rsidRPr="00B06331">
        <w:rPr>
          <w:rFonts w:cstheme="minorHAnsi"/>
          <w:sz w:val="20"/>
          <w:szCs w:val="20"/>
        </w:rPr>
        <w:tab/>
      </w:r>
      <w:r w:rsidRPr="00B06331">
        <w:rPr>
          <w:rFonts w:cstheme="minorHAnsi"/>
          <w:sz w:val="20"/>
          <w:szCs w:val="20"/>
        </w:rPr>
        <w:tab/>
      </w:r>
      <w:r w:rsidRPr="00B06331">
        <w:rPr>
          <w:rFonts w:cstheme="minorHAnsi"/>
          <w:sz w:val="20"/>
          <w:szCs w:val="20"/>
        </w:rPr>
        <w:tab/>
        <w:t>Gambia Investments and Exports Promotions Agency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GIS</w:t>
      </w:r>
      <w:r w:rsidRPr="00B06331">
        <w:rPr>
          <w:rFonts w:cstheme="minorHAnsi"/>
          <w:sz w:val="20"/>
          <w:szCs w:val="20"/>
        </w:rPr>
        <w:tab/>
      </w:r>
      <w:r w:rsidRPr="00B06331">
        <w:rPr>
          <w:rFonts w:cstheme="minorHAnsi"/>
          <w:sz w:val="20"/>
          <w:szCs w:val="20"/>
        </w:rPr>
        <w:tab/>
      </w:r>
      <w:r w:rsidRPr="00B06331">
        <w:rPr>
          <w:rFonts w:cstheme="minorHAnsi"/>
          <w:sz w:val="20"/>
          <w:szCs w:val="20"/>
        </w:rPr>
        <w:tab/>
        <w:t>Geographic Information System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GIZ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German International Cooperation Agency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GILMA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Gambia Indigenous Livestock Multipliers Association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GLMA</w:t>
      </w:r>
      <w:r w:rsidRPr="00B06331">
        <w:rPr>
          <w:rFonts w:cstheme="minorHAnsi"/>
          <w:sz w:val="20"/>
          <w:szCs w:val="20"/>
        </w:rPr>
        <w:tab/>
      </w:r>
      <w:r w:rsidRPr="00B06331">
        <w:rPr>
          <w:rFonts w:cstheme="minorHAnsi"/>
          <w:sz w:val="20"/>
          <w:szCs w:val="20"/>
        </w:rPr>
        <w:tab/>
      </w:r>
      <w:r w:rsidRPr="00B06331">
        <w:rPr>
          <w:rFonts w:cstheme="minorHAnsi"/>
          <w:sz w:val="20"/>
          <w:szCs w:val="20"/>
        </w:rPr>
        <w:tab/>
        <w:t>Gambia Livestock Marketing Agency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GMD</w:t>
      </w:r>
      <w:r w:rsidRPr="00B06331">
        <w:rPr>
          <w:rFonts w:cstheme="minorHAnsi"/>
          <w:sz w:val="20"/>
          <w:szCs w:val="20"/>
        </w:rPr>
        <w:tab/>
      </w:r>
      <w:r w:rsidRPr="00B06331">
        <w:rPr>
          <w:rFonts w:cstheme="minorHAnsi"/>
          <w:sz w:val="20"/>
          <w:szCs w:val="20"/>
        </w:rPr>
        <w:tab/>
      </w:r>
      <w:r w:rsidRPr="00B06331">
        <w:rPr>
          <w:rFonts w:cstheme="minorHAnsi"/>
          <w:sz w:val="20"/>
          <w:szCs w:val="20"/>
        </w:rPr>
        <w:tab/>
        <w:t>Gambian Dalasi</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GNAIP</w:t>
      </w:r>
      <w:r w:rsidRPr="00B06331">
        <w:rPr>
          <w:rFonts w:cstheme="minorHAnsi"/>
          <w:sz w:val="20"/>
          <w:szCs w:val="20"/>
        </w:rPr>
        <w:tab/>
      </w:r>
      <w:r w:rsidRPr="00B06331">
        <w:rPr>
          <w:rFonts w:cstheme="minorHAnsi"/>
          <w:sz w:val="20"/>
          <w:szCs w:val="20"/>
        </w:rPr>
        <w:tab/>
      </w:r>
      <w:r w:rsidRPr="00B06331">
        <w:rPr>
          <w:rFonts w:cstheme="minorHAnsi"/>
          <w:sz w:val="20"/>
          <w:szCs w:val="20"/>
        </w:rPr>
        <w:tab/>
        <w:t>Gambia National Agricultural Investment Plan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GNTT</w:t>
      </w:r>
      <w:r w:rsidRPr="00B06331">
        <w:rPr>
          <w:rFonts w:cstheme="minorHAnsi"/>
          <w:sz w:val="20"/>
          <w:szCs w:val="20"/>
        </w:rPr>
        <w:tab/>
      </w:r>
      <w:r w:rsidRPr="00B06331">
        <w:rPr>
          <w:rFonts w:cstheme="minorHAnsi"/>
          <w:sz w:val="20"/>
          <w:szCs w:val="20"/>
        </w:rPr>
        <w:tab/>
      </w:r>
      <w:r w:rsidRPr="00B06331">
        <w:rPr>
          <w:rFonts w:cstheme="minorHAnsi"/>
          <w:sz w:val="20"/>
          <w:szCs w:val="20"/>
        </w:rPr>
        <w:tab/>
        <w:t>Gambia National Think Tank</w:t>
      </w:r>
    </w:p>
    <w:p w:rsidR="00697D55" w:rsidRPr="00B06331" w:rsidRDefault="00697D55" w:rsidP="00746561">
      <w:pPr>
        <w:spacing w:before="120" w:after="0"/>
        <w:ind w:left="1440" w:hanging="1440"/>
        <w:contextualSpacing/>
        <w:rPr>
          <w:rFonts w:cstheme="minorHAnsi"/>
          <w:sz w:val="20"/>
          <w:szCs w:val="20"/>
        </w:rPr>
      </w:pPr>
      <w:r w:rsidRPr="00B06331">
        <w:rPr>
          <w:rFonts w:cstheme="minorHAnsi"/>
          <w:sz w:val="20"/>
          <w:szCs w:val="20"/>
        </w:rPr>
        <w:t>GoTG</w:t>
      </w:r>
      <w:r w:rsidRPr="00B06331">
        <w:rPr>
          <w:rFonts w:cstheme="minorHAnsi"/>
          <w:sz w:val="20"/>
          <w:szCs w:val="20"/>
        </w:rPr>
        <w:tab/>
      </w:r>
      <w:r w:rsidRPr="00B06331">
        <w:rPr>
          <w:rFonts w:cstheme="minorHAnsi"/>
          <w:sz w:val="20"/>
          <w:szCs w:val="20"/>
        </w:rPr>
        <w:tab/>
      </w:r>
      <w:r w:rsidRPr="00B06331">
        <w:rPr>
          <w:rFonts w:cstheme="minorHAnsi"/>
          <w:sz w:val="20"/>
          <w:szCs w:val="20"/>
        </w:rPr>
        <w:tab/>
        <w:t>Government of The Gambia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GPA</w:t>
      </w:r>
      <w:r w:rsidRPr="00B06331">
        <w:rPr>
          <w:rFonts w:cstheme="minorHAnsi"/>
          <w:sz w:val="20"/>
          <w:szCs w:val="20"/>
        </w:rPr>
        <w:tab/>
      </w:r>
      <w:r w:rsidRPr="00B06331">
        <w:rPr>
          <w:rFonts w:cstheme="minorHAnsi"/>
          <w:sz w:val="20"/>
          <w:szCs w:val="20"/>
        </w:rPr>
        <w:tab/>
      </w:r>
      <w:r w:rsidRPr="00B06331">
        <w:rPr>
          <w:rFonts w:cstheme="minorHAnsi"/>
          <w:sz w:val="20"/>
          <w:szCs w:val="20"/>
        </w:rPr>
        <w:tab/>
        <w:t>Gambia Ports Authority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GPF</w:t>
      </w:r>
      <w:r w:rsidRPr="00B06331">
        <w:rPr>
          <w:rFonts w:cstheme="minorHAnsi"/>
          <w:sz w:val="20"/>
          <w:szCs w:val="20"/>
        </w:rPr>
        <w:tab/>
      </w:r>
      <w:r w:rsidRPr="00B06331">
        <w:rPr>
          <w:rFonts w:cstheme="minorHAnsi"/>
          <w:sz w:val="20"/>
          <w:szCs w:val="20"/>
        </w:rPr>
        <w:tab/>
      </w:r>
      <w:r w:rsidRPr="00B06331">
        <w:rPr>
          <w:rFonts w:cstheme="minorHAnsi"/>
          <w:sz w:val="20"/>
          <w:szCs w:val="20"/>
        </w:rPr>
        <w:tab/>
        <w:t>Gambia Police Force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GPS</w:t>
      </w:r>
      <w:r w:rsidRPr="00B06331">
        <w:rPr>
          <w:rFonts w:cstheme="minorHAnsi"/>
          <w:sz w:val="20"/>
          <w:szCs w:val="20"/>
        </w:rPr>
        <w:tab/>
      </w:r>
      <w:r w:rsidRPr="00B06331">
        <w:rPr>
          <w:rFonts w:cstheme="minorHAnsi"/>
          <w:sz w:val="20"/>
          <w:szCs w:val="20"/>
        </w:rPr>
        <w:tab/>
      </w:r>
      <w:r w:rsidRPr="00B06331">
        <w:rPr>
          <w:rFonts w:cstheme="minorHAnsi"/>
          <w:sz w:val="20"/>
          <w:szCs w:val="20"/>
        </w:rPr>
        <w:tab/>
        <w:t>Gambia Prison Service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GREC</w:t>
      </w:r>
      <w:r w:rsidRPr="00B06331">
        <w:rPr>
          <w:rFonts w:cstheme="minorHAnsi"/>
          <w:sz w:val="20"/>
          <w:szCs w:val="20"/>
        </w:rPr>
        <w:tab/>
      </w:r>
      <w:r w:rsidRPr="00B06331">
        <w:rPr>
          <w:rFonts w:cstheme="minorHAnsi"/>
          <w:sz w:val="20"/>
          <w:szCs w:val="20"/>
        </w:rPr>
        <w:tab/>
      </w:r>
      <w:r w:rsidRPr="00B06331">
        <w:rPr>
          <w:rFonts w:cstheme="minorHAnsi"/>
          <w:sz w:val="20"/>
          <w:szCs w:val="20"/>
        </w:rPr>
        <w:tab/>
        <w:t>Global Renewable Energy Corporation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GSM</w:t>
      </w:r>
      <w:r w:rsidRPr="00B06331">
        <w:rPr>
          <w:rFonts w:cstheme="minorHAnsi"/>
          <w:sz w:val="20"/>
          <w:szCs w:val="20"/>
        </w:rPr>
        <w:tab/>
      </w:r>
      <w:r w:rsidRPr="00B06331">
        <w:rPr>
          <w:rFonts w:cstheme="minorHAnsi"/>
          <w:sz w:val="20"/>
          <w:szCs w:val="20"/>
        </w:rPr>
        <w:tab/>
      </w:r>
      <w:r w:rsidRPr="00B06331">
        <w:rPr>
          <w:rFonts w:cstheme="minorHAnsi"/>
          <w:sz w:val="20"/>
          <w:szCs w:val="20"/>
        </w:rPr>
        <w:tab/>
        <w:t>Global Systems for Mobile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GTB</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Gambia Tourism Board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GTHI</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Gambia Tourism and Hospitality Institute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GTTI</w:t>
      </w:r>
      <w:r w:rsidRPr="00B06331">
        <w:rPr>
          <w:rFonts w:cstheme="minorHAnsi"/>
          <w:sz w:val="20"/>
          <w:szCs w:val="20"/>
        </w:rPr>
        <w:tab/>
      </w:r>
      <w:r w:rsidRPr="00B06331">
        <w:rPr>
          <w:rFonts w:cstheme="minorHAnsi"/>
          <w:sz w:val="20"/>
          <w:szCs w:val="20"/>
        </w:rPr>
        <w:tab/>
      </w:r>
      <w:r w:rsidRPr="00B06331">
        <w:rPr>
          <w:rFonts w:cstheme="minorHAnsi"/>
          <w:sz w:val="20"/>
          <w:szCs w:val="20"/>
        </w:rPr>
        <w:tab/>
        <w:t>Gambia Technical Training Institute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HCT</w:t>
      </w:r>
      <w:r w:rsidRPr="00B06331">
        <w:rPr>
          <w:rFonts w:cstheme="minorHAnsi"/>
          <w:sz w:val="20"/>
          <w:szCs w:val="20"/>
        </w:rPr>
        <w:tab/>
      </w:r>
      <w:r w:rsidRPr="00B06331">
        <w:rPr>
          <w:rFonts w:cstheme="minorHAnsi"/>
          <w:sz w:val="20"/>
          <w:szCs w:val="20"/>
        </w:rPr>
        <w:tab/>
      </w:r>
      <w:r w:rsidRPr="00B06331">
        <w:rPr>
          <w:rFonts w:cstheme="minorHAnsi"/>
          <w:sz w:val="20"/>
          <w:szCs w:val="20"/>
        </w:rPr>
        <w:tab/>
        <w:t>HIV Counseling and Testing</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HFO</w:t>
      </w:r>
      <w:r w:rsidRPr="00B06331">
        <w:rPr>
          <w:rFonts w:cstheme="minorHAnsi"/>
          <w:sz w:val="20"/>
          <w:szCs w:val="20"/>
        </w:rPr>
        <w:tab/>
      </w:r>
      <w:r w:rsidRPr="00B06331">
        <w:rPr>
          <w:rFonts w:cstheme="minorHAnsi"/>
          <w:sz w:val="20"/>
          <w:szCs w:val="20"/>
        </w:rPr>
        <w:tab/>
      </w:r>
      <w:r w:rsidRPr="00B06331">
        <w:rPr>
          <w:rFonts w:cstheme="minorHAnsi"/>
          <w:sz w:val="20"/>
          <w:szCs w:val="20"/>
        </w:rPr>
        <w:tab/>
        <w:t>Heavy Fuel Oil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HIV</w:t>
      </w:r>
      <w:r w:rsidRPr="00B06331">
        <w:rPr>
          <w:rFonts w:cstheme="minorHAnsi"/>
          <w:sz w:val="20"/>
          <w:szCs w:val="20"/>
        </w:rPr>
        <w:tab/>
      </w:r>
      <w:r w:rsidRPr="00B06331">
        <w:rPr>
          <w:rFonts w:cstheme="minorHAnsi"/>
          <w:sz w:val="20"/>
          <w:szCs w:val="20"/>
        </w:rPr>
        <w:tab/>
      </w:r>
      <w:r w:rsidRPr="00B06331">
        <w:rPr>
          <w:rFonts w:cstheme="minorHAnsi"/>
          <w:sz w:val="20"/>
          <w:szCs w:val="20"/>
        </w:rPr>
        <w:tab/>
        <w:t>Human Immunodeficiency Virus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HR</w:t>
      </w:r>
      <w:r w:rsidRPr="00B06331">
        <w:rPr>
          <w:rFonts w:cstheme="minorHAnsi"/>
          <w:sz w:val="20"/>
          <w:szCs w:val="20"/>
        </w:rPr>
        <w:tab/>
      </w:r>
      <w:r w:rsidRPr="00B06331">
        <w:rPr>
          <w:rFonts w:cstheme="minorHAnsi"/>
          <w:sz w:val="20"/>
          <w:szCs w:val="20"/>
        </w:rPr>
        <w:tab/>
      </w:r>
      <w:r w:rsidRPr="00B06331">
        <w:rPr>
          <w:rFonts w:cstheme="minorHAnsi"/>
          <w:sz w:val="20"/>
          <w:szCs w:val="20"/>
        </w:rPr>
        <w:tab/>
        <w:t>Human Resources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HRMIS</w:t>
      </w:r>
      <w:r w:rsidRPr="00B06331">
        <w:rPr>
          <w:rFonts w:cstheme="minorHAnsi"/>
          <w:sz w:val="20"/>
          <w:szCs w:val="20"/>
        </w:rPr>
        <w:tab/>
      </w:r>
      <w:r w:rsidRPr="00B06331">
        <w:rPr>
          <w:rFonts w:cstheme="minorHAnsi"/>
          <w:sz w:val="20"/>
          <w:szCs w:val="20"/>
        </w:rPr>
        <w:tab/>
      </w:r>
      <w:r w:rsidRPr="00B06331">
        <w:rPr>
          <w:rFonts w:cstheme="minorHAnsi"/>
          <w:sz w:val="20"/>
          <w:szCs w:val="20"/>
        </w:rPr>
        <w:tab/>
        <w:t>Human Resources Management Information System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HRSA</w:t>
      </w:r>
      <w:r w:rsidRPr="00B06331">
        <w:rPr>
          <w:rFonts w:cstheme="minorHAnsi"/>
          <w:sz w:val="20"/>
          <w:szCs w:val="20"/>
        </w:rPr>
        <w:tab/>
      </w:r>
      <w:r w:rsidRPr="00B06331">
        <w:rPr>
          <w:rFonts w:cstheme="minorHAnsi"/>
          <w:sz w:val="20"/>
          <w:szCs w:val="20"/>
        </w:rPr>
        <w:tab/>
      </w:r>
      <w:r w:rsidRPr="00B06331">
        <w:rPr>
          <w:rFonts w:cstheme="minorHAnsi"/>
          <w:sz w:val="20"/>
          <w:szCs w:val="20"/>
        </w:rPr>
        <w:tab/>
        <w:t>Human Resource Situational Analysis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ICT</w:t>
      </w:r>
      <w:r w:rsidRPr="00B06331">
        <w:rPr>
          <w:rFonts w:cstheme="minorHAnsi"/>
          <w:sz w:val="20"/>
          <w:szCs w:val="20"/>
        </w:rPr>
        <w:tab/>
      </w:r>
      <w:r w:rsidRPr="00B06331">
        <w:rPr>
          <w:rFonts w:cstheme="minorHAnsi"/>
          <w:sz w:val="20"/>
          <w:szCs w:val="20"/>
        </w:rPr>
        <w:tab/>
      </w:r>
      <w:r w:rsidRPr="00B06331">
        <w:rPr>
          <w:rFonts w:cstheme="minorHAnsi"/>
          <w:sz w:val="20"/>
          <w:szCs w:val="20"/>
        </w:rPr>
        <w:tab/>
        <w:t>Information and Communications Technology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ICD</w:t>
      </w:r>
      <w:r w:rsidRPr="00B06331">
        <w:rPr>
          <w:rFonts w:cstheme="minorHAnsi"/>
          <w:sz w:val="20"/>
          <w:szCs w:val="20"/>
        </w:rPr>
        <w:tab/>
      </w:r>
      <w:r w:rsidRPr="00B06331">
        <w:rPr>
          <w:rFonts w:cstheme="minorHAnsi"/>
          <w:sz w:val="20"/>
          <w:szCs w:val="20"/>
        </w:rPr>
        <w:tab/>
      </w:r>
      <w:r w:rsidRPr="00B06331">
        <w:rPr>
          <w:rFonts w:cstheme="minorHAnsi"/>
          <w:sz w:val="20"/>
          <w:szCs w:val="20"/>
        </w:rPr>
        <w:tab/>
        <w:t>Inland Container Depots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IDA</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International Development Association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IEC</w:t>
      </w:r>
      <w:r w:rsidRPr="00B06331">
        <w:rPr>
          <w:rFonts w:cstheme="minorHAnsi"/>
          <w:sz w:val="20"/>
          <w:szCs w:val="20"/>
        </w:rPr>
        <w:tab/>
      </w:r>
      <w:r w:rsidRPr="00B06331">
        <w:rPr>
          <w:rFonts w:cstheme="minorHAnsi"/>
          <w:sz w:val="20"/>
          <w:szCs w:val="20"/>
        </w:rPr>
        <w:tab/>
      </w:r>
      <w:r w:rsidRPr="00B06331">
        <w:rPr>
          <w:rFonts w:cstheme="minorHAnsi"/>
          <w:sz w:val="20"/>
          <w:szCs w:val="20"/>
        </w:rPr>
        <w:tab/>
        <w:t>Independent Electoral Commission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IFMIS</w:t>
      </w:r>
      <w:r w:rsidRPr="00B06331">
        <w:rPr>
          <w:rFonts w:cstheme="minorHAnsi"/>
          <w:sz w:val="20"/>
          <w:szCs w:val="20"/>
        </w:rPr>
        <w:tab/>
      </w:r>
      <w:r w:rsidRPr="00B06331">
        <w:rPr>
          <w:rFonts w:cstheme="minorHAnsi"/>
          <w:sz w:val="20"/>
          <w:szCs w:val="20"/>
        </w:rPr>
        <w:tab/>
      </w:r>
      <w:r w:rsidRPr="00B06331">
        <w:rPr>
          <w:rFonts w:cstheme="minorHAnsi"/>
          <w:sz w:val="20"/>
          <w:szCs w:val="20"/>
        </w:rPr>
        <w:tab/>
        <w:t>Integrated Financial Management Information System</w:t>
      </w:r>
    </w:p>
    <w:p w:rsidR="00697D55" w:rsidRPr="00B06331" w:rsidRDefault="00697D55" w:rsidP="00697D55">
      <w:pPr>
        <w:spacing w:before="120" w:after="0"/>
        <w:ind w:left="1440" w:hanging="1440"/>
        <w:contextualSpacing/>
        <w:rPr>
          <w:rFonts w:cstheme="minorHAnsi"/>
          <w:sz w:val="20"/>
          <w:szCs w:val="20"/>
        </w:rPr>
      </w:pPr>
      <w:r w:rsidRPr="00B06331">
        <w:rPr>
          <w:rFonts w:ascii="Avenir Book" w:hAnsi="Avenir Book"/>
          <w:sz w:val="20"/>
          <w:szCs w:val="20"/>
        </w:rPr>
        <w:t>IHS</w:t>
      </w:r>
      <w:r w:rsidRPr="00B06331">
        <w:rPr>
          <w:rFonts w:ascii="Avenir Book" w:hAnsi="Avenir Book"/>
          <w:sz w:val="20"/>
          <w:szCs w:val="20"/>
        </w:rPr>
        <w:tab/>
      </w:r>
      <w:r w:rsidRPr="00B06331">
        <w:rPr>
          <w:rFonts w:ascii="Avenir Book" w:hAnsi="Avenir Book"/>
          <w:sz w:val="20"/>
          <w:szCs w:val="20"/>
        </w:rPr>
        <w:tab/>
      </w:r>
      <w:r w:rsidRPr="00B06331">
        <w:rPr>
          <w:rFonts w:ascii="Avenir Book" w:hAnsi="Avenir Book"/>
          <w:sz w:val="20"/>
          <w:szCs w:val="20"/>
        </w:rPr>
        <w:tab/>
        <w:t xml:space="preserve"> Integrated Household Survey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IITA</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International Institute for Tropical Agriculture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ITC</w:t>
      </w:r>
      <w:r w:rsidR="00163424" w:rsidRPr="00B06331">
        <w:rPr>
          <w:rFonts w:cstheme="minorHAnsi"/>
          <w:sz w:val="20"/>
          <w:szCs w:val="20"/>
        </w:rPr>
        <w:tab/>
      </w:r>
      <w:r w:rsidR="00163424" w:rsidRPr="00B06331">
        <w:rPr>
          <w:rFonts w:cstheme="minorHAnsi"/>
          <w:sz w:val="20"/>
          <w:szCs w:val="20"/>
        </w:rPr>
        <w:tab/>
      </w:r>
      <w:r w:rsidR="00163424" w:rsidRPr="00B06331">
        <w:rPr>
          <w:rFonts w:cstheme="minorHAnsi"/>
          <w:sz w:val="20"/>
          <w:szCs w:val="20"/>
        </w:rPr>
        <w:tab/>
        <w:t>International Trypanotolerance Center</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ILO</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International Labor Organization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IMF </w:t>
      </w:r>
      <w:r w:rsidRPr="00B06331">
        <w:rPr>
          <w:rFonts w:cstheme="minorHAnsi"/>
          <w:sz w:val="20"/>
          <w:szCs w:val="20"/>
        </w:rPr>
        <w:tab/>
      </w:r>
      <w:r w:rsidRPr="00B06331">
        <w:rPr>
          <w:rFonts w:cstheme="minorHAnsi"/>
          <w:sz w:val="20"/>
          <w:szCs w:val="20"/>
        </w:rPr>
        <w:tab/>
      </w:r>
      <w:r w:rsidRPr="00B06331">
        <w:rPr>
          <w:rFonts w:cstheme="minorHAnsi"/>
          <w:sz w:val="20"/>
          <w:szCs w:val="20"/>
        </w:rPr>
        <w:tab/>
        <w:t>International Monetary Fund</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lastRenderedPageBreak/>
        <w:t>IMNCI</w:t>
      </w:r>
      <w:r w:rsidRPr="00B06331">
        <w:rPr>
          <w:rFonts w:cstheme="minorHAnsi"/>
          <w:sz w:val="20"/>
          <w:szCs w:val="20"/>
        </w:rPr>
        <w:tab/>
      </w:r>
      <w:r w:rsidRPr="00B06331">
        <w:rPr>
          <w:rFonts w:cstheme="minorHAnsi"/>
          <w:sz w:val="20"/>
          <w:szCs w:val="20"/>
        </w:rPr>
        <w:tab/>
      </w:r>
      <w:r w:rsidRPr="00B06331">
        <w:rPr>
          <w:rFonts w:cstheme="minorHAnsi"/>
          <w:sz w:val="20"/>
          <w:szCs w:val="20"/>
        </w:rPr>
        <w:tab/>
        <w:t>Integrated Management of Neo-natal and Childhood illnesses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IPPs</w:t>
      </w:r>
      <w:r w:rsidRPr="00B06331">
        <w:rPr>
          <w:rFonts w:cstheme="minorHAnsi"/>
          <w:sz w:val="20"/>
          <w:szCs w:val="20"/>
        </w:rPr>
        <w:tab/>
      </w:r>
      <w:r w:rsidRPr="00B06331">
        <w:rPr>
          <w:rFonts w:cstheme="minorHAnsi"/>
          <w:sz w:val="20"/>
          <w:szCs w:val="20"/>
        </w:rPr>
        <w:tab/>
      </w:r>
      <w:r w:rsidRPr="00B06331">
        <w:rPr>
          <w:rFonts w:cstheme="minorHAnsi"/>
          <w:sz w:val="20"/>
          <w:szCs w:val="20"/>
        </w:rPr>
        <w:tab/>
        <w:t>Independent Power Producers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IPR</w:t>
      </w:r>
      <w:r w:rsidRPr="00B06331">
        <w:rPr>
          <w:rFonts w:cstheme="minorHAnsi"/>
          <w:sz w:val="20"/>
          <w:szCs w:val="20"/>
        </w:rPr>
        <w:tab/>
      </w:r>
      <w:r w:rsidRPr="00B06331">
        <w:rPr>
          <w:rFonts w:cstheme="minorHAnsi"/>
          <w:sz w:val="20"/>
          <w:szCs w:val="20"/>
        </w:rPr>
        <w:tab/>
      </w:r>
      <w:r w:rsidRPr="00B06331">
        <w:rPr>
          <w:rFonts w:cstheme="minorHAnsi"/>
          <w:sz w:val="20"/>
          <w:szCs w:val="20"/>
        </w:rPr>
        <w:tab/>
        <w:t>Investment Policy Reform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ISO</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International Organization of Standardization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ISRT</w:t>
      </w:r>
      <w:r w:rsidRPr="00B06331">
        <w:rPr>
          <w:rFonts w:cstheme="minorHAnsi"/>
          <w:sz w:val="20"/>
          <w:szCs w:val="20"/>
        </w:rPr>
        <w:tab/>
      </w:r>
      <w:r w:rsidRPr="00B06331">
        <w:rPr>
          <w:rFonts w:cstheme="minorHAnsi"/>
          <w:sz w:val="20"/>
          <w:szCs w:val="20"/>
        </w:rPr>
        <w:tab/>
      </w:r>
      <w:r w:rsidRPr="00B06331">
        <w:rPr>
          <w:rFonts w:cstheme="minorHAnsi"/>
          <w:sz w:val="20"/>
          <w:szCs w:val="20"/>
        </w:rPr>
        <w:tab/>
        <w:t>Inter-State Road Transit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IUU</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Illegal Unreported and Unregulated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IYCF</w:t>
      </w:r>
      <w:r w:rsidRPr="00B06331">
        <w:rPr>
          <w:rFonts w:cstheme="minorHAnsi"/>
          <w:sz w:val="20"/>
          <w:szCs w:val="20"/>
        </w:rPr>
        <w:tab/>
      </w:r>
      <w:r w:rsidRPr="00B06331">
        <w:rPr>
          <w:rFonts w:cstheme="minorHAnsi"/>
          <w:sz w:val="20"/>
          <w:szCs w:val="20"/>
        </w:rPr>
        <w:tab/>
      </w:r>
      <w:r w:rsidRPr="00B06331">
        <w:rPr>
          <w:rFonts w:cstheme="minorHAnsi"/>
          <w:sz w:val="20"/>
          <w:szCs w:val="20"/>
        </w:rPr>
        <w:tab/>
        <w:t>Infant and Young Child Feeding</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JSC</w:t>
      </w:r>
      <w:r w:rsidRPr="00B06331">
        <w:rPr>
          <w:rFonts w:cstheme="minorHAnsi"/>
          <w:sz w:val="20"/>
          <w:szCs w:val="20"/>
        </w:rPr>
        <w:tab/>
      </w:r>
      <w:r w:rsidRPr="00B06331">
        <w:rPr>
          <w:rFonts w:cstheme="minorHAnsi"/>
          <w:sz w:val="20"/>
          <w:szCs w:val="20"/>
        </w:rPr>
        <w:tab/>
      </w:r>
      <w:r w:rsidRPr="00B06331">
        <w:rPr>
          <w:rFonts w:cstheme="minorHAnsi"/>
          <w:sz w:val="20"/>
          <w:szCs w:val="20"/>
        </w:rPr>
        <w:tab/>
        <w:t>Judicial Service Commission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KMC</w:t>
      </w:r>
      <w:r w:rsidRPr="00B06331">
        <w:rPr>
          <w:rFonts w:cstheme="minorHAnsi"/>
          <w:sz w:val="20"/>
          <w:szCs w:val="20"/>
        </w:rPr>
        <w:tab/>
      </w:r>
      <w:r w:rsidRPr="00B06331">
        <w:rPr>
          <w:rFonts w:cstheme="minorHAnsi"/>
          <w:sz w:val="20"/>
          <w:szCs w:val="20"/>
        </w:rPr>
        <w:tab/>
      </w:r>
      <w:r w:rsidRPr="00B06331">
        <w:rPr>
          <w:rFonts w:cstheme="minorHAnsi"/>
          <w:sz w:val="20"/>
          <w:szCs w:val="20"/>
        </w:rPr>
        <w:tab/>
        <w:t>Kanifing Municipal Council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LDC </w:t>
      </w:r>
      <w:r w:rsidRPr="00B06331">
        <w:rPr>
          <w:rFonts w:cstheme="minorHAnsi"/>
          <w:sz w:val="20"/>
          <w:szCs w:val="20"/>
        </w:rPr>
        <w:tab/>
      </w:r>
      <w:r w:rsidRPr="00B06331">
        <w:rPr>
          <w:rFonts w:cstheme="minorHAnsi"/>
          <w:sz w:val="20"/>
          <w:szCs w:val="20"/>
        </w:rPr>
        <w:tab/>
      </w:r>
      <w:r w:rsidRPr="00B06331">
        <w:rPr>
          <w:rFonts w:cstheme="minorHAnsi"/>
          <w:sz w:val="20"/>
          <w:szCs w:val="20"/>
        </w:rPr>
        <w:tab/>
        <w:t>Least Developed Country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LECRDS</w:t>
      </w:r>
      <w:r w:rsidRPr="00B06331">
        <w:rPr>
          <w:rFonts w:cstheme="minorHAnsi"/>
          <w:sz w:val="20"/>
          <w:szCs w:val="20"/>
        </w:rPr>
        <w:tab/>
      </w:r>
      <w:r w:rsidRPr="00B06331">
        <w:rPr>
          <w:rFonts w:cstheme="minorHAnsi"/>
          <w:sz w:val="20"/>
          <w:szCs w:val="20"/>
        </w:rPr>
        <w:tab/>
      </w:r>
      <w:r w:rsidRPr="00B06331">
        <w:rPr>
          <w:rFonts w:cstheme="minorHAnsi"/>
          <w:sz w:val="20"/>
          <w:szCs w:val="20"/>
        </w:rPr>
        <w:tab/>
        <w:t>Low Emissions Climate Resilient Strategy</w:t>
      </w:r>
    </w:p>
    <w:p w:rsidR="00697D55" w:rsidRPr="00B06331" w:rsidRDefault="00163424" w:rsidP="00697D55">
      <w:pPr>
        <w:tabs>
          <w:tab w:val="left" w:pos="3060"/>
        </w:tabs>
        <w:spacing w:before="120" w:after="0"/>
        <w:ind w:left="1440" w:hanging="1440"/>
        <w:contextualSpacing/>
        <w:rPr>
          <w:rFonts w:cstheme="minorHAnsi"/>
          <w:sz w:val="20"/>
          <w:szCs w:val="20"/>
        </w:rPr>
      </w:pPr>
      <w:r w:rsidRPr="00B06331">
        <w:rPr>
          <w:rFonts w:cstheme="minorHAnsi"/>
          <w:sz w:val="20"/>
          <w:szCs w:val="20"/>
        </w:rPr>
        <w:t>LFO</w:t>
      </w:r>
      <w:r w:rsidRPr="00B06331">
        <w:rPr>
          <w:rFonts w:cstheme="minorHAnsi"/>
          <w:sz w:val="20"/>
          <w:szCs w:val="20"/>
        </w:rPr>
        <w:tab/>
      </w:r>
      <w:r w:rsidR="00697D55" w:rsidRPr="00B06331">
        <w:rPr>
          <w:rFonts w:cstheme="minorHAnsi"/>
          <w:sz w:val="20"/>
          <w:szCs w:val="20"/>
        </w:rPr>
        <w:t>Light Fuel Oil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LGAs</w:t>
      </w:r>
      <w:r w:rsidRPr="00B06331">
        <w:rPr>
          <w:rFonts w:cstheme="minorHAnsi"/>
          <w:sz w:val="20"/>
          <w:szCs w:val="20"/>
        </w:rPr>
        <w:tab/>
      </w:r>
      <w:r w:rsidRPr="00B06331">
        <w:rPr>
          <w:rFonts w:cstheme="minorHAnsi"/>
          <w:sz w:val="20"/>
          <w:szCs w:val="20"/>
        </w:rPr>
        <w:tab/>
      </w:r>
      <w:r w:rsidRPr="00B06331">
        <w:rPr>
          <w:rFonts w:cstheme="minorHAnsi"/>
          <w:sz w:val="20"/>
          <w:szCs w:val="20"/>
        </w:rPr>
        <w:tab/>
        <w:t>Local Government Areas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LHDP</w:t>
      </w:r>
      <w:r w:rsidRPr="00B06331">
        <w:rPr>
          <w:rFonts w:cstheme="minorHAnsi"/>
          <w:sz w:val="20"/>
          <w:szCs w:val="20"/>
        </w:rPr>
        <w:tab/>
      </w:r>
      <w:r w:rsidRPr="00B06331">
        <w:rPr>
          <w:rFonts w:cstheme="minorHAnsi"/>
          <w:sz w:val="20"/>
          <w:szCs w:val="20"/>
        </w:rPr>
        <w:tab/>
      </w:r>
      <w:r w:rsidRPr="00B06331">
        <w:rPr>
          <w:rFonts w:cstheme="minorHAnsi"/>
          <w:sz w:val="20"/>
          <w:szCs w:val="20"/>
        </w:rPr>
        <w:tab/>
        <w:t>Livestock and Horticulture Development Project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LPG</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Liquefied Petroleum Gas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LRR</w:t>
      </w:r>
      <w:r w:rsidRPr="00B06331">
        <w:rPr>
          <w:rFonts w:cstheme="minorHAnsi"/>
          <w:sz w:val="20"/>
          <w:szCs w:val="20"/>
        </w:rPr>
        <w:tab/>
      </w:r>
      <w:r w:rsidRPr="00B06331">
        <w:rPr>
          <w:rFonts w:cstheme="minorHAnsi"/>
          <w:sz w:val="20"/>
          <w:szCs w:val="20"/>
        </w:rPr>
        <w:tab/>
      </w:r>
      <w:r w:rsidRPr="00B06331">
        <w:rPr>
          <w:rFonts w:cstheme="minorHAnsi"/>
          <w:sz w:val="20"/>
          <w:szCs w:val="20"/>
        </w:rPr>
        <w:tab/>
        <w:t>Lower River Region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MDAs</w:t>
      </w:r>
      <w:r w:rsidRPr="00B06331">
        <w:rPr>
          <w:rFonts w:cstheme="minorHAnsi"/>
          <w:sz w:val="20"/>
          <w:szCs w:val="20"/>
        </w:rPr>
        <w:tab/>
      </w:r>
      <w:r w:rsidRPr="00B06331">
        <w:rPr>
          <w:rFonts w:cstheme="minorHAnsi"/>
          <w:sz w:val="20"/>
          <w:szCs w:val="20"/>
        </w:rPr>
        <w:tab/>
      </w:r>
      <w:r w:rsidRPr="00B06331">
        <w:rPr>
          <w:rFonts w:cstheme="minorHAnsi"/>
          <w:sz w:val="20"/>
          <w:szCs w:val="20"/>
        </w:rPr>
        <w:tab/>
        <w:t>Ministries, Departments, and Agencies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MDGs</w:t>
      </w:r>
      <w:r w:rsidRPr="00B06331">
        <w:rPr>
          <w:rFonts w:cstheme="minorHAnsi"/>
          <w:sz w:val="20"/>
          <w:szCs w:val="20"/>
        </w:rPr>
        <w:tab/>
      </w:r>
      <w:r w:rsidRPr="00B06331">
        <w:rPr>
          <w:rFonts w:cstheme="minorHAnsi"/>
          <w:sz w:val="20"/>
          <w:szCs w:val="20"/>
        </w:rPr>
        <w:tab/>
      </w:r>
      <w:r w:rsidRPr="00B06331">
        <w:rPr>
          <w:rFonts w:cstheme="minorHAnsi"/>
          <w:sz w:val="20"/>
          <w:szCs w:val="20"/>
        </w:rPr>
        <w:tab/>
        <w:t>Millennium Development Goals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MDFT</w:t>
      </w:r>
      <w:r w:rsidRPr="00B06331">
        <w:rPr>
          <w:rFonts w:cstheme="minorHAnsi"/>
          <w:sz w:val="20"/>
          <w:szCs w:val="20"/>
        </w:rPr>
        <w:tab/>
      </w:r>
      <w:r w:rsidRPr="00B06331">
        <w:rPr>
          <w:rFonts w:cstheme="minorHAnsi"/>
          <w:sz w:val="20"/>
          <w:szCs w:val="20"/>
        </w:rPr>
        <w:tab/>
      </w:r>
      <w:r w:rsidRPr="00B06331">
        <w:rPr>
          <w:rFonts w:cstheme="minorHAnsi"/>
          <w:sz w:val="20"/>
          <w:szCs w:val="20"/>
        </w:rPr>
        <w:tab/>
        <w:t>Multi-Disciplinary Facilitation Team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M&amp;E</w:t>
      </w:r>
      <w:r w:rsidRPr="00B06331">
        <w:rPr>
          <w:rFonts w:cstheme="minorHAnsi"/>
          <w:sz w:val="20"/>
          <w:szCs w:val="20"/>
        </w:rPr>
        <w:tab/>
      </w:r>
      <w:r w:rsidRPr="00B06331">
        <w:rPr>
          <w:rFonts w:cstheme="minorHAnsi"/>
          <w:sz w:val="20"/>
          <w:szCs w:val="20"/>
        </w:rPr>
        <w:tab/>
      </w:r>
      <w:r w:rsidRPr="00B06331">
        <w:rPr>
          <w:rFonts w:cstheme="minorHAnsi"/>
          <w:sz w:val="20"/>
          <w:szCs w:val="20"/>
        </w:rPr>
        <w:tab/>
        <w:t>Monitoring and Evaluation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MICS</w:t>
      </w:r>
      <w:r w:rsidRPr="00B06331">
        <w:rPr>
          <w:rFonts w:cstheme="minorHAnsi"/>
          <w:sz w:val="20"/>
          <w:szCs w:val="20"/>
        </w:rPr>
        <w:tab/>
      </w:r>
      <w:r w:rsidRPr="00B06331">
        <w:rPr>
          <w:rFonts w:cstheme="minorHAnsi"/>
          <w:sz w:val="20"/>
          <w:szCs w:val="20"/>
        </w:rPr>
        <w:tab/>
      </w:r>
      <w:r w:rsidRPr="00B06331">
        <w:rPr>
          <w:rFonts w:cstheme="minorHAnsi"/>
          <w:sz w:val="20"/>
          <w:szCs w:val="20"/>
        </w:rPr>
        <w:tab/>
        <w:t>Multiple Indicator Cluster Survey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MNCH</w:t>
      </w:r>
      <w:r w:rsidRPr="00B06331">
        <w:rPr>
          <w:rFonts w:cstheme="minorHAnsi"/>
          <w:sz w:val="20"/>
          <w:szCs w:val="20"/>
        </w:rPr>
        <w:tab/>
      </w:r>
      <w:r w:rsidRPr="00B06331">
        <w:rPr>
          <w:rFonts w:cstheme="minorHAnsi"/>
          <w:sz w:val="20"/>
          <w:szCs w:val="20"/>
        </w:rPr>
        <w:tab/>
      </w:r>
      <w:r w:rsidRPr="00B06331">
        <w:rPr>
          <w:rFonts w:cstheme="minorHAnsi"/>
          <w:sz w:val="20"/>
          <w:szCs w:val="20"/>
        </w:rPr>
        <w:tab/>
        <w:t>Maternal Newborn and Child Health</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MNSC</w:t>
      </w:r>
      <w:r w:rsidRPr="00B06331">
        <w:rPr>
          <w:rFonts w:cstheme="minorHAnsi"/>
          <w:sz w:val="20"/>
          <w:szCs w:val="20"/>
        </w:rPr>
        <w:tab/>
      </w:r>
      <w:r w:rsidRPr="00B06331">
        <w:rPr>
          <w:rFonts w:cstheme="minorHAnsi"/>
          <w:sz w:val="20"/>
          <w:szCs w:val="20"/>
        </w:rPr>
        <w:tab/>
      </w:r>
      <w:r w:rsidRPr="00B06331">
        <w:rPr>
          <w:rFonts w:cstheme="minorHAnsi"/>
          <w:sz w:val="20"/>
          <w:szCs w:val="20"/>
        </w:rPr>
        <w:tab/>
        <w:t>Multi-Stakeholder High-level National Steering Committee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MOA</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Agriculture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MoBSE</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Basic and Secondary Education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MoFEA</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Finance and Economic Affairs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MoHERST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Ministry of Higher Education, Research, Science and Technology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MoHSW</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Health and Social Welfare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MoLGA</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Local Government and Lands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MoPE</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Petroleum and Energy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MOTIE</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Ministry of Trade, Industry and Employment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MoU</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Memorandum of Understanding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MoWA</w:t>
      </w:r>
      <w:r w:rsidRPr="00B06331">
        <w:rPr>
          <w:rFonts w:cstheme="minorHAnsi"/>
          <w:sz w:val="20"/>
          <w:szCs w:val="20"/>
        </w:rPr>
        <w:tab/>
      </w:r>
      <w:r w:rsidRPr="00B06331">
        <w:rPr>
          <w:rFonts w:cstheme="minorHAnsi"/>
          <w:sz w:val="20"/>
          <w:szCs w:val="20"/>
        </w:rPr>
        <w:tab/>
      </w:r>
      <w:r w:rsidRPr="00B06331">
        <w:rPr>
          <w:rFonts w:cstheme="minorHAnsi"/>
          <w:sz w:val="20"/>
          <w:szCs w:val="20"/>
        </w:rPr>
        <w:tab/>
        <w:t>Ministry of Women’s Affairs</w:t>
      </w:r>
    </w:p>
    <w:p w:rsidR="00697D55" w:rsidRPr="00B06331" w:rsidRDefault="00697D55" w:rsidP="00697D55">
      <w:pPr>
        <w:spacing w:before="120" w:after="0"/>
        <w:ind w:left="1440" w:hanging="1440"/>
        <w:contextualSpacing/>
        <w:rPr>
          <w:rFonts w:cstheme="minorHAnsi"/>
          <w:spacing w:val="-3"/>
          <w:sz w:val="20"/>
          <w:szCs w:val="20"/>
        </w:rPr>
      </w:pPr>
      <w:r w:rsidRPr="00B06331">
        <w:rPr>
          <w:rFonts w:cstheme="minorHAnsi"/>
          <w:spacing w:val="-3"/>
          <w:sz w:val="20"/>
          <w:szCs w:val="20"/>
        </w:rPr>
        <w:t>MOWTI</w:t>
      </w:r>
      <w:r w:rsidRPr="00B06331">
        <w:rPr>
          <w:rFonts w:cstheme="minorHAnsi"/>
          <w:spacing w:val="-3"/>
          <w:sz w:val="20"/>
          <w:szCs w:val="20"/>
        </w:rPr>
        <w:tab/>
      </w:r>
      <w:r w:rsidRPr="00B06331">
        <w:rPr>
          <w:rFonts w:cstheme="minorHAnsi"/>
          <w:spacing w:val="-3"/>
          <w:sz w:val="20"/>
          <w:szCs w:val="20"/>
        </w:rPr>
        <w:tab/>
      </w:r>
      <w:r w:rsidRPr="00B06331">
        <w:rPr>
          <w:rFonts w:cstheme="minorHAnsi"/>
          <w:spacing w:val="-3"/>
          <w:sz w:val="20"/>
          <w:szCs w:val="20"/>
        </w:rPr>
        <w:tab/>
        <w:t xml:space="preserve">Ministry of Works and Transport Infrastructure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MSMEs</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Micro Small Medium Enterprises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MT</w:t>
      </w:r>
      <w:r w:rsidRPr="00B06331">
        <w:rPr>
          <w:rFonts w:cstheme="minorHAnsi"/>
          <w:sz w:val="20"/>
          <w:szCs w:val="20"/>
        </w:rPr>
        <w:tab/>
      </w:r>
      <w:r w:rsidRPr="00B06331">
        <w:rPr>
          <w:rFonts w:cstheme="minorHAnsi"/>
          <w:sz w:val="20"/>
          <w:szCs w:val="20"/>
        </w:rPr>
        <w:tab/>
      </w:r>
      <w:r w:rsidRPr="00B06331">
        <w:rPr>
          <w:rFonts w:cstheme="minorHAnsi"/>
          <w:sz w:val="20"/>
          <w:szCs w:val="20"/>
        </w:rPr>
        <w:tab/>
        <w:t>Metric Ton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MTDS</w:t>
      </w:r>
      <w:r w:rsidRPr="00B06331">
        <w:rPr>
          <w:rFonts w:cstheme="minorHAnsi"/>
          <w:sz w:val="20"/>
          <w:szCs w:val="20"/>
        </w:rPr>
        <w:tab/>
      </w:r>
      <w:r w:rsidRPr="00B06331">
        <w:rPr>
          <w:rFonts w:cstheme="minorHAnsi"/>
          <w:sz w:val="20"/>
          <w:szCs w:val="20"/>
        </w:rPr>
        <w:tab/>
      </w:r>
      <w:r w:rsidRPr="00B06331">
        <w:rPr>
          <w:rFonts w:cstheme="minorHAnsi"/>
          <w:sz w:val="20"/>
          <w:szCs w:val="20"/>
        </w:rPr>
        <w:tab/>
        <w:t>Medium-Term Debt Management Strategy</w:t>
      </w:r>
      <w:r w:rsidRPr="00B06331">
        <w:rPr>
          <w:rFonts w:cstheme="minorHAnsi"/>
          <w:sz w:val="20"/>
          <w:szCs w:val="20"/>
        </w:rPr>
        <w:tab/>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MTE</w:t>
      </w:r>
      <w:r w:rsidRPr="00B06331">
        <w:rPr>
          <w:rFonts w:cstheme="minorHAnsi"/>
          <w:sz w:val="20"/>
          <w:szCs w:val="20"/>
        </w:rPr>
        <w:tab/>
      </w:r>
      <w:r w:rsidRPr="00B06331">
        <w:rPr>
          <w:rFonts w:cstheme="minorHAnsi"/>
          <w:sz w:val="20"/>
          <w:szCs w:val="20"/>
        </w:rPr>
        <w:tab/>
      </w:r>
      <w:r w:rsidRPr="00B06331">
        <w:rPr>
          <w:rFonts w:cstheme="minorHAnsi"/>
          <w:sz w:val="20"/>
          <w:szCs w:val="20"/>
        </w:rPr>
        <w:tab/>
        <w:t>Mid-Term Evaluation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MTEF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Medium-Term Expenditure Framework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MVA</w:t>
      </w:r>
      <w:r w:rsidRPr="00B06331">
        <w:rPr>
          <w:rFonts w:cstheme="minorHAnsi"/>
          <w:sz w:val="20"/>
          <w:szCs w:val="20"/>
        </w:rPr>
        <w:tab/>
      </w:r>
      <w:r w:rsidRPr="00B06331">
        <w:rPr>
          <w:rFonts w:cstheme="minorHAnsi"/>
          <w:sz w:val="20"/>
          <w:szCs w:val="20"/>
        </w:rPr>
        <w:tab/>
      </w:r>
      <w:r w:rsidRPr="00B06331">
        <w:rPr>
          <w:rFonts w:cstheme="minorHAnsi"/>
          <w:sz w:val="20"/>
          <w:szCs w:val="20"/>
        </w:rPr>
        <w:tab/>
        <w:t>Manufacturing Value Added</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MW</w:t>
      </w:r>
      <w:r w:rsidRPr="00B06331">
        <w:rPr>
          <w:rFonts w:cstheme="minorHAnsi"/>
          <w:sz w:val="20"/>
          <w:szCs w:val="20"/>
        </w:rPr>
        <w:tab/>
      </w:r>
      <w:r w:rsidRPr="00B06331">
        <w:rPr>
          <w:rFonts w:cstheme="minorHAnsi"/>
          <w:sz w:val="20"/>
          <w:szCs w:val="20"/>
        </w:rPr>
        <w:tab/>
      </w:r>
      <w:r w:rsidRPr="00B06331">
        <w:rPr>
          <w:rFonts w:cstheme="minorHAnsi"/>
          <w:sz w:val="20"/>
          <w:szCs w:val="20"/>
        </w:rPr>
        <w:tab/>
        <w:t>Megawatt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NaLOA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National Livestock Owners Association </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NaNA</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National Nutrition Agency</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NAP</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National Action Plan</w:t>
      </w:r>
    </w:p>
    <w:p w:rsidR="00697D55" w:rsidRPr="00B06331" w:rsidRDefault="00697D55" w:rsidP="00697D55">
      <w:pPr>
        <w:spacing w:before="120" w:after="0"/>
        <w:ind w:left="1440" w:hanging="1440"/>
        <w:contextualSpacing/>
        <w:rPr>
          <w:rFonts w:eastAsia="MS Mincho" w:cstheme="minorHAnsi"/>
          <w:sz w:val="20"/>
          <w:szCs w:val="20"/>
        </w:rPr>
      </w:pPr>
      <w:r w:rsidRPr="00B06331">
        <w:rPr>
          <w:rFonts w:cstheme="minorHAnsi"/>
          <w:sz w:val="20"/>
          <w:szCs w:val="20"/>
        </w:rPr>
        <w:t>NAQAA</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eastAsia="MS Mincho" w:cstheme="minorHAnsi"/>
          <w:sz w:val="20"/>
          <w:szCs w:val="20"/>
        </w:rPr>
        <w:t>National Accreditation and Quality Assurance Authority</w:t>
      </w:r>
    </w:p>
    <w:p w:rsidR="00697D55" w:rsidRPr="00B06331" w:rsidRDefault="00697D55" w:rsidP="00697D55">
      <w:pPr>
        <w:spacing w:before="120" w:after="0"/>
        <w:ind w:left="1440" w:hanging="1440"/>
        <w:contextualSpacing/>
        <w:rPr>
          <w:rFonts w:eastAsia="MS Mincho" w:cstheme="minorHAnsi"/>
          <w:sz w:val="20"/>
          <w:szCs w:val="20"/>
        </w:rPr>
      </w:pPr>
      <w:r w:rsidRPr="00B06331">
        <w:rPr>
          <w:rFonts w:eastAsia="MS Mincho" w:cstheme="minorHAnsi"/>
          <w:sz w:val="20"/>
          <w:szCs w:val="20"/>
        </w:rPr>
        <w:lastRenderedPageBreak/>
        <w:t>NARI</w:t>
      </w:r>
      <w:r w:rsidRPr="00B06331">
        <w:rPr>
          <w:rFonts w:eastAsia="MS Mincho" w:cstheme="minorHAnsi"/>
          <w:sz w:val="20"/>
          <w:szCs w:val="20"/>
        </w:rPr>
        <w:tab/>
      </w:r>
      <w:r w:rsidRPr="00B06331">
        <w:rPr>
          <w:rFonts w:eastAsia="MS Mincho" w:cstheme="minorHAnsi"/>
          <w:sz w:val="20"/>
          <w:szCs w:val="20"/>
        </w:rPr>
        <w:tab/>
      </w:r>
      <w:r w:rsidRPr="00B06331">
        <w:rPr>
          <w:rFonts w:eastAsia="MS Mincho" w:cstheme="minorHAnsi"/>
          <w:sz w:val="20"/>
          <w:szCs w:val="20"/>
        </w:rPr>
        <w:tab/>
        <w:t>National Agriculture Research Institute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NAT</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Assessment Test</w:t>
      </w:r>
    </w:p>
    <w:p w:rsidR="00697D55" w:rsidRPr="00B06331" w:rsidRDefault="00697D55" w:rsidP="00697D55">
      <w:pPr>
        <w:tabs>
          <w:tab w:val="left" w:pos="2320"/>
        </w:tabs>
        <w:spacing w:before="120" w:after="0"/>
        <w:ind w:left="1440" w:hanging="1440"/>
        <w:contextualSpacing/>
        <w:rPr>
          <w:rFonts w:cstheme="minorHAnsi"/>
          <w:sz w:val="20"/>
          <w:szCs w:val="20"/>
        </w:rPr>
      </w:pPr>
      <w:r w:rsidRPr="00B06331">
        <w:rPr>
          <w:rFonts w:cstheme="minorHAnsi"/>
          <w:sz w:val="20"/>
          <w:szCs w:val="20"/>
        </w:rPr>
        <w:t>NASCOM</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Sole Fishery Co-management Committee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NAWEC</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Water and Electricity Company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NAYCONF</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Youth Conference and Festival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NBR</w:t>
      </w:r>
      <w:r w:rsidRPr="00B06331">
        <w:rPr>
          <w:rFonts w:cstheme="minorHAnsi"/>
          <w:sz w:val="20"/>
          <w:szCs w:val="20"/>
        </w:rPr>
        <w:tab/>
      </w:r>
      <w:r w:rsidRPr="00B06331">
        <w:rPr>
          <w:rFonts w:cstheme="minorHAnsi"/>
          <w:sz w:val="20"/>
          <w:szCs w:val="20"/>
        </w:rPr>
        <w:tab/>
      </w:r>
      <w:r w:rsidRPr="00B06331">
        <w:rPr>
          <w:rFonts w:cstheme="minorHAnsi"/>
          <w:sz w:val="20"/>
          <w:szCs w:val="20"/>
        </w:rPr>
        <w:tab/>
        <w:t>North Bank Region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NCD</w:t>
      </w:r>
      <w:r w:rsidRPr="00B06331">
        <w:rPr>
          <w:rFonts w:cstheme="minorHAnsi"/>
          <w:sz w:val="20"/>
          <w:szCs w:val="20"/>
        </w:rPr>
        <w:tab/>
      </w:r>
      <w:r w:rsidRPr="00B06331">
        <w:rPr>
          <w:rFonts w:cstheme="minorHAnsi"/>
          <w:sz w:val="20"/>
          <w:szCs w:val="20"/>
        </w:rPr>
        <w:tab/>
      </w:r>
      <w:r w:rsidRPr="00B06331">
        <w:rPr>
          <w:rFonts w:cstheme="minorHAnsi"/>
          <w:sz w:val="20"/>
          <w:szCs w:val="20"/>
        </w:rPr>
        <w:tab/>
        <w:t>Newcastle Disease</w:t>
      </w:r>
    </w:p>
    <w:p w:rsidR="00697D55" w:rsidRPr="00B06331" w:rsidRDefault="00697D55" w:rsidP="00697D55">
      <w:pPr>
        <w:spacing w:before="120" w:after="0"/>
        <w:ind w:left="1440" w:hanging="1440"/>
        <w:contextualSpacing/>
        <w:rPr>
          <w:sz w:val="20"/>
          <w:szCs w:val="20"/>
        </w:rPr>
      </w:pPr>
      <w:r w:rsidRPr="00B06331">
        <w:rPr>
          <w:sz w:val="20"/>
          <w:szCs w:val="20"/>
        </w:rPr>
        <w:t xml:space="preserve">NCDs </w:t>
      </w:r>
      <w:r w:rsidRPr="00B06331">
        <w:rPr>
          <w:sz w:val="20"/>
          <w:szCs w:val="20"/>
        </w:rPr>
        <w:tab/>
      </w:r>
      <w:r w:rsidRPr="00B06331">
        <w:rPr>
          <w:sz w:val="20"/>
          <w:szCs w:val="20"/>
        </w:rPr>
        <w:tab/>
      </w:r>
      <w:r w:rsidRPr="00B06331">
        <w:rPr>
          <w:sz w:val="20"/>
          <w:szCs w:val="20"/>
        </w:rPr>
        <w:tab/>
        <w:t>Non-Communicable Diseases</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NCCE</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National Council for Civic Education</w:t>
      </w:r>
    </w:p>
    <w:p w:rsidR="00697D55" w:rsidRPr="00B06331" w:rsidRDefault="00697D55" w:rsidP="00697D55">
      <w:pPr>
        <w:spacing w:before="120" w:after="0"/>
        <w:ind w:left="1440" w:hanging="1440"/>
        <w:contextualSpacing/>
        <w:rPr>
          <w:rFonts w:cstheme="minorHAnsi"/>
          <w:sz w:val="20"/>
          <w:szCs w:val="20"/>
        </w:rPr>
      </w:pPr>
      <w:r w:rsidRPr="00B06331">
        <w:rPr>
          <w:sz w:val="20"/>
          <w:szCs w:val="20"/>
        </w:rPr>
        <w:t>NDB</w:t>
      </w:r>
      <w:r w:rsidRPr="00B06331">
        <w:rPr>
          <w:sz w:val="20"/>
          <w:szCs w:val="20"/>
        </w:rPr>
        <w:tab/>
      </w:r>
      <w:r w:rsidRPr="00B06331">
        <w:rPr>
          <w:sz w:val="20"/>
          <w:szCs w:val="20"/>
        </w:rPr>
        <w:tab/>
      </w:r>
      <w:r w:rsidRPr="00B06331">
        <w:rPr>
          <w:sz w:val="20"/>
          <w:szCs w:val="20"/>
        </w:rPr>
        <w:tab/>
        <w:t>Net Domestic Borrowing</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NDP</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Development Plan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NEAP</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Entrepreneurship Action Plan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NEC </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Economic Council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NEDI</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Enterprise Development Initiative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NEAP</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Employment and Action Plan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NEP</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Employment Policy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NEPAD</w:t>
      </w:r>
      <w:r w:rsidRPr="00B06331">
        <w:rPr>
          <w:rFonts w:cstheme="minorHAnsi"/>
          <w:sz w:val="20"/>
          <w:szCs w:val="20"/>
        </w:rPr>
        <w:tab/>
      </w:r>
      <w:r w:rsidRPr="00B06331">
        <w:rPr>
          <w:rFonts w:cstheme="minorHAnsi"/>
          <w:sz w:val="20"/>
          <w:szCs w:val="20"/>
        </w:rPr>
        <w:tab/>
      </w:r>
      <w:r w:rsidRPr="00B06331">
        <w:rPr>
          <w:rFonts w:cstheme="minorHAnsi"/>
          <w:sz w:val="20"/>
          <w:szCs w:val="20"/>
        </w:rPr>
        <w:tab/>
        <w:t>New Partnership for Africa’s Development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NEMC</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Environment Council</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NER</w:t>
      </w:r>
      <w:r w:rsidRPr="00B06331">
        <w:rPr>
          <w:rFonts w:cstheme="minorHAnsi"/>
          <w:sz w:val="20"/>
          <w:szCs w:val="20"/>
        </w:rPr>
        <w:tab/>
      </w:r>
      <w:r w:rsidRPr="00B06331">
        <w:rPr>
          <w:rFonts w:cstheme="minorHAnsi"/>
          <w:sz w:val="20"/>
          <w:szCs w:val="20"/>
        </w:rPr>
        <w:tab/>
      </w:r>
      <w:r w:rsidRPr="00B06331">
        <w:rPr>
          <w:rFonts w:cstheme="minorHAnsi"/>
          <w:sz w:val="20"/>
          <w:szCs w:val="20"/>
        </w:rPr>
        <w:tab/>
        <w:t>Net Enrolment Ratio</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NES</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Export Strategy or New Export System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NGOs</w:t>
      </w:r>
      <w:r w:rsidRPr="00B06331">
        <w:rPr>
          <w:rFonts w:cstheme="minorHAnsi"/>
          <w:sz w:val="20"/>
          <w:szCs w:val="20"/>
        </w:rPr>
        <w:tab/>
      </w:r>
      <w:r w:rsidRPr="00B06331">
        <w:rPr>
          <w:rFonts w:cstheme="minorHAnsi"/>
          <w:sz w:val="20"/>
          <w:szCs w:val="20"/>
        </w:rPr>
        <w:tab/>
      </w:r>
      <w:r w:rsidRPr="00B06331">
        <w:rPr>
          <w:rFonts w:cstheme="minorHAnsi"/>
          <w:sz w:val="20"/>
          <w:szCs w:val="20"/>
        </w:rPr>
        <w:tab/>
        <w:t>Non-Governmental Organizations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NICI</w:t>
      </w:r>
      <w:r w:rsidRPr="00B06331">
        <w:rPr>
          <w:rFonts w:cstheme="minorHAnsi"/>
          <w:sz w:val="20"/>
          <w:szCs w:val="20"/>
        </w:rPr>
        <w:tab/>
      </w:r>
      <w:r w:rsidRPr="00B06331">
        <w:rPr>
          <w:rFonts w:cstheme="minorHAnsi"/>
          <w:sz w:val="20"/>
          <w:szCs w:val="20"/>
        </w:rPr>
        <w:tab/>
      </w:r>
      <w:r w:rsidRPr="00B06331">
        <w:rPr>
          <w:rFonts w:cstheme="minorHAnsi"/>
          <w:sz w:val="20"/>
          <w:szCs w:val="20"/>
        </w:rPr>
        <w:tab/>
        <w:t>National Information and Communications Infrastructure</w:t>
      </w:r>
    </w:p>
    <w:p w:rsidR="00697D55" w:rsidRPr="00B06331" w:rsidRDefault="00697D55" w:rsidP="00697D55">
      <w:pPr>
        <w:spacing w:before="120" w:after="0"/>
        <w:contextualSpacing/>
        <w:rPr>
          <w:rFonts w:cstheme="minorHAnsi"/>
          <w:spacing w:val="-3"/>
          <w:sz w:val="20"/>
          <w:szCs w:val="20"/>
        </w:rPr>
      </w:pPr>
      <w:r w:rsidRPr="00B06331">
        <w:rPr>
          <w:rFonts w:cstheme="minorHAnsi"/>
          <w:spacing w:val="-3"/>
          <w:sz w:val="20"/>
          <w:szCs w:val="20"/>
        </w:rPr>
        <w:t>NRA</w:t>
      </w:r>
      <w:r w:rsidRPr="00B06331">
        <w:rPr>
          <w:rFonts w:cstheme="minorHAnsi"/>
          <w:spacing w:val="-3"/>
          <w:sz w:val="20"/>
          <w:szCs w:val="20"/>
        </w:rPr>
        <w:tab/>
      </w:r>
      <w:r w:rsidRPr="00B06331">
        <w:rPr>
          <w:rFonts w:cstheme="minorHAnsi"/>
          <w:spacing w:val="-3"/>
          <w:sz w:val="20"/>
          <w:szCs w:val="20"/>
        </w:rPr>
        <w:tab/>
      </w:r>
      <w:r w:rsidRPr="00B06331">
        <w:rPr>
          <w:rFonts w:cstheme="minorHAnsi"/>
          <w:spacing w:val="-3"/>
          <w:sz w:val="20"/>
          <w:szCs w:val="20"/>
        </w:rPr>
        <w:tab/>
      </w:r>
      <w:r w:rsidRPr="00B06331">
        <w:rPr>
          <w:rFonts w:cstheme="minorHAnsi"/>
          <w:spacing w:val="-3"/>
          <w:sz w:val="20"/>
          <w:szCs w:val="20"/>
        </w:rPr>
        <w:tab/>
        <w:t xml:space="preserve">National Roads Authority </w:t>
      </w:r>
    </w:p>
    <w:p w:rsidR="00697D55" w:rsidRPr="00B06331" w:rsidRDefault="00697D55" w:rsidP="00697D55">
      <w:pPr>
        <w:spacing w:before="120" w:after="0"/>
        <w:contextualSpacing/>
        <w:rPr>
          <w:rFonts w:cstheme="minorHAnsi"/>
          <w:spacing w:val="-3"/>
          <w:sz w:val="20"/>
          <w:szCs w:val="20"/>
        </w:rPr>
      </w:pPr>
      <w:r w:rsidRPr="00B06331">
        <w:rPr>
          <w:rFonts w:cstheme="minorHAnsi"/>
          <w:spacing w:val="-3"/>
          <w:sz w:val="20"/>
          <w:szCs w:val="20"/>
        </w:rPr>
        <w:t>NSC</w:t>
      </w:r>
      <w:r w:rsidRPr="00B06331">
        <w:rPr>
          <w:rFonts w:cstheme="minorHAnsi"/>
          <w:spacing w:val="-3"/>
          <w:sz w:val="20"/>
          <w:szCs w:val="20"/>
        </w:rPr>
        <w:tab/>
      </w:r>
      <w:r w:rsidRPr="00B06331">
        <w:rPr>
          <w:rFonts w:cstheme="minorHAnsi"/>
          <w:spacing w:val="-3"/>
          <w:sz w:val="20"/>
          <w:szCs w:val="20"/>
        </w:rPr>
        <w:tab/>
      </w:r>
      <w:r w:rsidRPr="00B06331">
        <w:rPr>
          <w:rFonts w:cstheme="minorHAnsi"/>
          <w:spacing w:val="-3"/>
          <w:sz w:val="20"/>
          <w:szCs w:val="20"/>
        </w:rPr>
        <w:tab/>
      </w:r>
      <w:r w:rsidRPr="00B06331">
        <w:rPr>
          <w:rFonts w:cstheme="minorHAnsi"/>
          <w:spacing w:val="-3"/>
          <w:sz w:val="20"/>
          <w:szCs w:val="20"/>
        </w:rPr>
        <w:tab/>
        <w:t>National Sports Council</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NTAC</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Nutrition Technical Advisory Community</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NTP</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National Transport Policy</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NTSC</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National Technical Steering Committee</w:t>
      </w:r>
    </w:p>
    <w:p w:rsidR="00697D55" w:rsidRPr="00B06331" w:rsidRDefault="00697D55" w:rsidP="00697D55">
      <w:pPr>
        <w:spacing w:before="120" w:after="0"/>
        <w:contextualSpacing/>
        <w:rPr>
          <w:rFonts w:cstheme="minorHAnsi"/>
          <w:sz w:val="20"/>
          <w:szCs w:val="20"/>
        </w:rPr>
      </w:pPr>
      <w:r w:rsidRPr="00B06331">
        <w:rPr>
          <w:rFonts w:cstheme="minorHAnsi"/>
          <w:sz w:val="20"/>
          <w:szCs w:val="20"/>
        </w:rPr>
        <w:t>NYSS</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National Youth Service Scheme</w:t>
      </w:r>
    </w:p>
    <w:p w:rsidR="00697D55" w:rsidRPr="00B06331" w:rsidRDefault="00697D55" w:rsidP="00697D55">
      <w:pPr>
        <w:spacing w:before="120" w:after="0"/>
        <w:contextualSpacing/>
        <w:rPr>
          <w:rFonts w:cstheme="minorHAnsi"/>
          <w:sz w:val="20"/>
          <w:szCs w:val="20"/>
          <w:lang w:val="en-GB"/>
        </w:rPr>
      </w:pPr>
      <w:r w:rsidRPr="00B06331">
        <w:rPr>
          <w:rFonts w:cstheme="minorHAnsi"/>
          <w:sz w:val="20"/>
          <w:szCs w:val="20"/>
        </w:rPr>
        <w:t>OIC</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rFonts w:cstheme="minorHAnsi"/>
          <w:sz w:val="20"/>
          <w:szCs w:val="20"/>
        </w:rPr>
        <w:tab/>
        <w:t>Organization of Islamic Cooperation</w:t>
      </w:r>
      <w:r w:rsidRPr="00B06331">
        <w:rPr>
          <w:rFonts w:cstheme="minorHAnsi"/>
          <w:sz w:val="20"/>
          <w:szCs w:val="20"/>
        </w:rPr>
        <w:tab/>
      </w:r>
      <w:r w:rsidRPr="00B06331">
        <w:rPr>
          <w:rFonts w:cstheme="minorHAnsi"/>
          <w:sz w:val="20"/>
          <w:szCs w:val="20"/>
        </w:rPr>
        <w:tab/>
      </w:r>
      <w:r w:rsidRPr="00B06331">
        <w:rPr>
          <w:rFonts w:cstheme="minorHAnsi"/>
          <w:sz w:val="20"/>
          <w:szCs w:val="20"/>
        </w:rPr>
        <w:tab/>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lang w:val="en-GB"/>
        </w:rPr>
        <w:t>Ols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OMVG</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Gambia River Basin Development Organisation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OPEX</w:t>
      </w:r>
      <w:r w:rsidRPr="00B06331">
        <w:rPr>
          <w:rFonts w:cstheme="minorHAnsi"/>
          <w:sz w:val="20"/>
          <w:szCs w:val="20"/>
        </w:rPr>
        <w:tab/>
      </w:r>
      <w:r w:rsidRPr="00B06331">
        <w:rPr>
          <w:rFonts w:cstheme="minorHAnsi"/>
          <w:sz w:val="20"/>
          <w:szCs w:val="20"/>
        </w:rPr>
        <w:tab/>
      </w:r>
      <w:r w:rsidRPr="00B06331">
        <w:rPr>
          <w:rFonts w:cstheme="minorHAnsi"/>
          <w:sz w:val="20"/>
          <w:szCs w:val="20"/>
        </w:rPr>
        <w:tab/>
        <w:t>Operating Expenses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PAGE</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Programme for Accelerated Growth and Employment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PBB</w:t>
      </w:r>
      <w:r w:rsidRPr="00B06331">
        <w:rPr>
          <w:rFonts w:cstheme="minorHAnsi"/>
          <w:sz w:val="20"/>
          <w:szCs w:val="20"/>
        </w:rPr>
        <w:tab/>
      </w:r>
      <w:r w:rsidRPr="00B06331">
        <w:rPr>
          <w:rFonts w:cstheme="minorHAnsi"/>
          <w:sz w:val="20"/>
          <w:szCs w:val="20"/>
        </w:rPr>
        <w:tab/>
      </w:r>
      <w:r w:rsidRPr="00B06331">
        <w:rPr>
          <w:rFonts w:cstheme="minorHAnsi"/>
          <w:sz w:val="20"/>
          <w:szCs w:val="20"/>
        </w:rPr>
        <w:tab/>
        <w:t>Programme Based Budgeting</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PEFA</w:t>
      </w:r>
      <w:r w:rsidRPr="00B06331">
        <w:rPr>
          <w:rFonts w:cstheme="minorHAnsi"/>
          <w:sz w:val="20"/>
          <w:szCs w:val="20"/>
        </w:rPr>
        <w:tab/>
      </w:r>
      <w:r w:rsidRPr="00B06331">
        <w:rPr>
          <w:rFonts w:cstheme="minorHAnsi"/>
          <w:sz w:val="20"/>
          <w:szCs w:val="20"/>
        </w:rPr>
        <w:tab/>
      </w:r>
      <w:r w:rsidRPr="00B06331">
        <w:rPr>
          <w:rFonts w:cstheme="minorHAnsi"/>
          <w:sz w:val="20"/>
          <w:szCs w:val="20"/>
        </w:rPr>
        <w:tab/>
        <w:t>Public Expenditure and Financial Accountability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PFM</w:t>
      </w:r>
      <w:r w:rsidRPr="00B06331">
        <w:rPr>
          <w:rFonts w:cstheme="minorHAnsi"/>
          <w:sz w:val="20"/>
          <w:szCs w:val="20"/>
        </w:rPr>
        <w:tab/>
      </w:r>
      <w:r w:rsidRPr="00B06331">
        <w:rPr>
          <w:rFonts w:cstheme="minorHAnsi"/>
          <w:sz w:val="20"/>
          <w:szCs w:val="20"/>
        </w:rPr>
        <w:tab/>
      </w:r>
      <w:r w:rsidRPr="00B06331">
        <w:rPr>
          <w:rFonts w:cstheme="minorHAnsi"/>
          <w:sz w:val="20"/>
          <w:szCs w:val="20"/>
        </w:rPr>
        <w:tab/>
        <w:t>Public Financial Management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PHC</w:t>
      </w:r>
      <w:r w:rsidRPr="00B06331">
        <w:rPr>
          <w:rFonts w:cstheme="minorHAnsi"/>
          <w:sz w:val="20"/>
          <w:szCs w:val="20"/>
        </w:rPr>
        <w:tab/>
      </w:r>
      <w:r w:rsidRPr="00B06331">
        <w:rPr>
          <w:rFonts w:cstheme="minorHAnsi"/>
          <w:sz w:val="20"/>
          <w:szCs w:val="20"/>
        </w:rPr>
        <w:tab/>
      </w:r>
      <w:r w:rsidRPr="00B06331">
        <w:rPr>
          <w:rFonts w:cstheme="minorHAnsi"/>
          <w:sz w:val="20"/>
          <w:szCs w:val="20"/>
        </w:rPr>
        <w:tab/>
        <w:t>Primary Health Care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PLHIV</w:t>
      </w:r>
      <w:r w:rsidRPr="00B06331">
        <w:rPr>
          <w:rFonts w:cstheme="minorHAnsi"/>
          <w:sz w:val="20"/>
          <w:szCs w:val="20"/>
        </w:rPr>
        <w:tab/>
      </w:r>
      <w:r w:rsidRPr="00B06331">
        <w:rPr>
          <w:rFonts w:cstheme="minorHAnsi"/>
          <w:sz w:val="20"/>
          <w:szCs w:val="20"/>
        </w:rPr>
        <w:tab/>
      </w:r>
      <w:r w:rsidRPr="00B06331">
        <w:rPr>
          <w:rFonts w:cstheme="minorHAnsi"/>
          <w:sz w:val="20"/>
          <w:szCs w:val="20"/>
        </w:rPr>
        <w:tab/>
        <w:t>People Living with HIV</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PMS</w:t>
      </w:r>
      <w:r w:rsidRPr="00B06331">
        <w:rPr>
          <w:rFonts w:cstheme="minorHAnsi"/>
          <w:sz w:val="20"/>
          <w:szCs w:val="20"/>
        </w:rPr>
        <w:tab/>
      </w:r>
      <w:r w:rsidRPr="00B06331">
        <w:rPr>
          <w:rFonts w:cstheme="minorHAnsi"/>
          <w:sz w:val="20"/>
          <w:szCs w:val="20"/>
        </w:rPr>
        <w:tab/>
      </w:r>
      <w:r w:rsidRPr="00B06331">
        <w:rPr>
          <w:rFonts w:cstheme="minorHAnsi"/>
          <w:sz w:val="20"/>
          <w:szCs w:val="20"/>
        </w:rPr>
        <w:tab/>
        <w:t>Performance Management System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PMTCT</w:t>
      </w:r>
      <w:r w:rsidRPr="00B06331">
        <w:rPr>
          <w:rFonts w:cstheme="minorHAnsi"/>
          <w:sz w:val="20"/>
          <w:szCs w:val="20"/>
        </w:rPr>
        <w:tab/>
      </w:r>
      <w:r w:rsidRPr="00B06331">
        <w:rPr>
          <w:rFonts w:cstheme="minorHAnsi"/>
          <w:sz w:val="20"/>
          <w:szCs w:val="20"/>
        </w:rPr>
        <w:tab/>
      </w:r>
      <w:r w:rsidRPr="00B06331">
        <w:rPr>
          <w:rFonts w:cstheme="minorHAnsi"/>
          <w:sz w:val="20"/>
          <w:szCs w:val="20"/>
        </w:rPr>
        <w:tab/>
        <w:t>Prevention of Mother to Child Transmission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POC</w:t>
      </w:r>
      <w:r w:rsidRPr="00B06331">
        <w:rPr>
          <w:rFonts w:cstheme="minorHAnsi"/>
          <w:sz w:val="20"/>
          <w:szCs w:val="20"/>
        </w:rPr>
        <w:tab/>
      </w:r>
      <w:r w:rsidRPr="00B06331">
        <w:rPr>
          <w:rFonts w:cstheme="minorHAnsi"/>
          <w:sz w:val="20"/>
          <w:szCs w:val="20"/>
        </w:rPr>
        <w:tab/>
      </w:r>
      <w:r w:rsidRPr="00B06331">
        <w:rPr>
          <w:rFonts w:cstheme="minorHAnsi"/>
          <w:sz w:val="20"/>
          <w:szCs w:val="20"/>
        </w:rPr>
        <w:tab/>
        <w:t>Point of Care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PPAs</w:t>
      </w:r>
      <w:r w:rsidRPr="00B06331">
        <w:rPr>
          <w:rFonts w:cstheme="minorHAnsi"/>
          <w:sz w:val="20"/>
          <w:szCs w:val="20"/>
        </w:rPr>
        <w:tab/>
      </w:r>
      <w:r w:rsidRPr="00B06331">
        <w:rPr>
          <w:rFonts w:cstheme="minorHAnsi"/>
          <w:sz w:val="20"/>
          <w:szCs w:val="20"/>
        </w:rPr>
        <w:tab/>
      </w:r>
      <w:r w:rsidRPr="00B06331">
        <w:rPr>
          <w:rFonts w:cstheme="minorHAnsi"/>
          <w:sz w:val="20"/>
          <w:szCs w:val="20"/>
        </w:rPr>
        <w:tab/>
        <w:t>Power Purchase Agreements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PPPs</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Public Private Partnerships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PPI</w:t>
      </w:r>
      <w:r w:rsidRPr="00B06331">
        <w:rPr>
          <w:rFonts w:cstheme="minorHAnsi"/>
          <w:sz w:val="20"/>
          <w:szCs w:val="20"/>
        </w:rPr>
        <w:tab/>
      </w:r>
      <w:r w:rsidRPr="00B06331">
        <w:rPr>
          <w:rFonts w:cstheme="minorHAnsi"/>
          <w:sz w:val="20"/>
          <w:szCs w:val="20"/>
        </w:rPr>
        <w:tab/>
      </w:r>
      <w:r w:rsidRPr="00B06331">
        <w:rPr>
          <w:rFonts w:cstheme="minorHAnsi"/>
          <w:sz w:val="20"/>
          <w:szCs w:val="20"/>
        </w:rPr>
        <w:tab/>
        <w:t>Private Participation in Port Infrastructure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PPR</w:t>
      </w:r>
      <w:r w:rsidRPr="00B06331">
        <w:rPr>
          <w:rFonts w:cstheme="minorHAnsi"/>
          <w:sz w:val="20"/>
          <w:szCs w:val="20"/>
        </w:rPr>
        <w:tab/>
      </w:r>
      <w:r w:rsidRPr="00B06331">
        <w:rPr>
          <w:rFonts w:cstheme="minorHAnsi"/>
          <w:sz w:val="20"/>
          <w:szCs w:val="20"/>
        </w:rPr>
        <w:tab/>
      </w:r>
      <w:r w:rsidRPr="00B06331">
        <w:rPr>
          <w:rFonts w:cstheme="minorHAnsi"/>
          <w:sz w:val="20"/>
          <w:szCs w:val="20"/>
        </w:rPr>
        <w:tab/>
        <w:t>Peste des Petits Ruminants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lastRenderedPageBreak/>
        <w:t>PROGEBE</w:t>
      </w:r>
      <w:r w:rsidRPr="00B06331">
        <w:rPr>
          <w:rFonts w:cstheme="minorHAnsi"/>
          <w:sz w:val="20"/>
          <w:szCs w:val="20"/>
        </w:rPr>
        <w:tab/>
      </w:r>
      <w:r w:rsidRPr="00B06331">
        <w:rPr>
          <w:rFonts w:cstheme="minorHAnsi"/>
          <w:sz w:val="20"/>
          <w:szCs w:val="20"/>
        </w:rPr>
        <w:tab/>
      </w:r>
      <w:r w:rsidRPr="00B06331">
        <w:rPr>
          <w:rFonts w:cstheme="minorHAnsi"/>
          <w:sz w:val="20"/>
          <w:szCs w:val="20"/>
        </w:rPr>
        <w:tab/>
        <w:t>Endemic Ruminant Livestock Project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PSP</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Profit Sharing Plan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PURA</w:t>
      </w:r>
      <w:r w:rsidRPr="00B06331">
        <w:rPr>
          <w:rFonts w:cstheme="minorHAnsi"/>
          <w:sz w:val="20"/>
          <w:szCs w:val="20"/>
        </w:rPr>
        <w:tab/>
      </w:r>
      <w:r w:rsidRPr="00B06331">
        <w:rPr>
          <w:rFonts w:cstheme="minorHAnsi"/>
          <w:sz w:val="20"/>
          <w:szCs w:val="20"/>
        </w:rPr>
        <w:tab/>
      </w:r>
      <w:r w:rsidRPr="00B06331">
        <w:rPr>
          <w:rFonts w:cstheme="minorHAnsi"/>
          <w:sz w:val="20"/>
          <w:szCs w:val="20"/>
        </w:rPr>
        <w:tab/>
        <w:t>Public Utilities Regulatory Authority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PV</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Photovoltaic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PWDs</w:t>
      </w:r>
      <w:r w:rsidRPr="00B06331">
        <w:rPr>
          <w:rFonts w:cstheme="minorHAnsi"/>
          <w:sz w:val="20"/>
          <w:szCs w:val="20"/>
        </w:rPr>
        <w:tab/>
      </w:r>
      <w:r w:rsidRPr="00B06331">
        <w:rPr>
          <w:rFonts w:cstheme="minorHAnsi"/>
          <w:sz w:val="20"/>
          <w:szCs w:val="20"/>
        </w:rPr>
        <w:tab/>
      </w:r>
      <w:r w:rsidRPr="00B06331">
        <w:rPr>
          <w:rFonts w:cstheme="minorHAnsi"/>
          <w:sz w:val="20"/>
          <w:szCs w:val="20"/>
        </w:rPr>
        <w:tab/>
        <w:t>People with Disabilities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R&amp;D</w:t>
      </w:r>
      <w:r w:rsidRPr="00B06331">
        <w:rPr>
          <w:rFonts w:cstheme="minorHAnsi"/>
          <w:sz w:val="20"/>
          <w:szCs w:val="20"/>
        </w:rPr>
        <w:tab/>
      </w:r>
      <w:r w:rsidRPr="00B06331">
        <w:rPr>
          <w:rFonts w:cstheme="minorHAnsi"/>
          <w:sz w:val="20"/>
          <w:szCs w:val="20"/>
        </w:rPr>
        <w:tab/>
      </w:r>
      <w:r w:rsidRPr="00B06331">
        <w:rPr>
          <w:rFonts w:cstheme="minorHAnsi"/>
          <w:sz w:val="20"/>
          <w:szCs w:val="20"/>
        </w:rPr>
        <w:tab/>
        <w:t>Research and Development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RBM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Results-Based Management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RDI</w:t>
      </w:r>
      <w:r w:rsidR="00163424" w:rsidRPr="00B06331">
        <w:rPr>
          <w:rFonts w:cstheme="minorHAnsi"/>
          <w:sz w:val="20"/>
          <w:szCs w:val="20"/>
        </w:rPr>
        <w:tab/>
      </w:r>
      <w:r w:rsidR="00163424" w:rsidRPr="00B06331">
        <w:rPr>
          <w:rFonts w:cstheme="minorHAnsi"/>
          <w:sz w:val="20"/>
          <w:szCs w:val="20"/>
        </w:rPr>
        <w:tab/>
      </w:r>
      <w:r w:rsidR="00163424" w:rsidRPr="00B06331">
        <w:rPr>
          <w:rFonts w:cstheme="minorHAnsi"/>
          <w:sz w:val="20"/>
          <w:szCs w:val="20"/>
        </w:rPr>
        <w:tab/>
        <w:t>Rural Development Institute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RE</w:t>
      </w:r>
      <w:r w:rsidRPr="00B06331">
        <w:rPr>
          <w:rFonts w:cstheme="minorHAnsi"/>
          <w:sz w:val="20"/>
          <w:szCs w:val="20"/>
        </w:rPr>
        <w:tab/>
      </w:r>
      <w:r w:rsidRPr="00B06331">
        <w:rPr>
          <w:rFonts w:cstheme="minorHAnsi"/>
          <w:sz w:val="20"/>
          <w:szCs w:val="20"/>
        </w:rPr>
        <w:tab/>
      </w:r>
      <w:r w:rsidRPr="00B06331">
        <w:rPr>
          <w:rFonts w:cstheme="minorHAnsi"/>
          <w:sz w:val="20"/>
          <w:szCs w:val="20"/>
        </w:rPr>
        <w:tab/>
        <w:t>Renewable Energy</w:t>
      </w:r>
    </w:p>
    <w:p w:rsidR="00697D55" w:rsidRPr="00B06331" w:rsidRDefault="00697D55" w:rsidP="00697D55">
      <w:pPr>
        <w:spacing w:before="120" w:after="0"/>
        <w:ind w:left="1440" w:hanging="1440"/>
        <w:contextualSpacing/>
        <w:rPr>
          <w:rFonts w:cstheme="minorHAnsi"/>
          <w:sz w:val="20"/>
          <w:szCs w:val="20"/>
        </w:rPr>
      </w:pPr>
      <w:r w:rsidRPr="00B06331">
        <w:rPr>
          <w:rFonts w:eastAsia="MS Mincho" w:cstheme="minorHAnsi"/>
          <w:sz w:val="20"/>
          <w:szCs w:val="20"/>
        </w:rPr>
        <w:t xml:space="preserve">RELO </w:t>
      </w:r>
      <w:r w:rsidRPr="00B06331">
        <w:rPr>
          <w:rFonts w:eastAsia="MS Mincho" w:cstheme="minorHAnsi"/>
          <w:sz w:val="20"/>
          <w:szCs w:val="20"/>
        </w:rPr>
        <w:tab/>
      </w:r>
      <w:r w:rsidRPr="00B06331">
        <w:rPr>
          <w:rFonts w:eastAsia="MS Mincho" w:cstheme="minorHAnsi"/>
          <w:sz w:val="20"/>
          <w:szCs w:val="20"/>
        </w:rPr>
        <w:tab/>
      </w:r>
      <w:r w:rsidRPr="00B06331">
        <w:rPr>
          <w:rFonts w:eastAsia="MS Mincho" w:cstheme="minorHAnsi"/>
          <w:sz w:val="20"/>
          <w:szCs w:val="20"/>
        </w:rPr>
        <w:tab/>
        <w:t xml:space="preserve">Research–Extension Liaison Office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RH</w:t>
      </w:r>
      <w:r w:rsidRPr="00B06331">
        <w:rPr>
          <w:rFonts w:cstheme="minorHAnsi"/>
          <w:sz w:val="20"/>
          <w:szCs w:val="20"/>
        </w:rPr>
        <w:tab/>
      </w:r>
      <w:r w:rsidRPr="00B06331">
        <w:rPr>
          <w:rFonts w:cstheme="minorHAnsi"/>
          <w:sz w:val="20"/>
          <w:szCs w:val="20"/>
        </w:rPr>
        <w:tab/>
      </w:r>
      <w:r w:rsidRPr="00B06331">
        <w:rPr>
          <w:rFonts w:cstheme="minorHAnsi"/>
          <w:sz w:val="20"/>
          <w:szCs w:val="20"/>
        </w:rPr>
        <w:tab/>
        <w:t>Relative Humidity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RTS</w:t>
      </w:r>
      <w:r w:rsidRPr="00B06331">
        <w:rPr>
          <w:rFonts w:cstheme="minorHAnsi"/>
          <w:sz w:val="20"/>
          <w:szCs w:val="20"/>
        </w:rPr>
        <w:tab/>
      </w:r>
      <w:r w:rsidRPr="00B06331">
        <w:rPr>
          <w:rFonts w:cstheme="minorHAnsi"/>
          <w:sz w:val="20"/>
          <w:szCs w:val="20"/>
        </w:rPr>
        <w:tab/>
      </w:r>
      <w:r w:rsidRPr="00B06331">
        <w:rPr>
          <w:rFonts w:cstheme="minorHAnsi"/>
          <w:sz w:val="20"/>
          <w:szCs w:val="20"/>
        </w:rPr>
        <w:tab/>
        <w:t>Rapid Transit System</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SBCC</w:t>
      </w:r>
      <w:r w:rsidRPr="00B06331">
        <w:rPr>
          <w:rFonts w:cstheme="minorHAnsi"/>
          <w:sz w:val="20"/>
          <w:szCs w:val="20"/>
        </w:rPr>
        <w:tab/>
      </w:r>
      <w:r w:rsidRPr="00B06331">
        <w:rPr>
          <w:rFonts w:cstheme="minorHAnsi"/>
          <w:sz w:val="20"/>
          <w:szCs w:val="20"/>
        </w:rPr>
        <w:tab/>
      </w:r>
      <w:r w:rsidRPr="00B06331">
        <w:rPr>
          <w:rFonts w:cstheme="minorHAnsi"/>
          <w:sz w:val="20"/>
          <w:szCs w:val="20"/>
        </w:rPr>
        <w:tab/>
        <w:t>Social and Behavioural Change Communication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SDGs</w:t>
      </w:r>
      <w:r w:rsidRPr="00B06331">
        <w:rPr>
          <w:rFonts w:cstheme="minorHAnsi"/>
          <w:sz w:val="20"/>
          <w:szCs w:val="20"/>
        </w:rPr>
        <w:tab/>
      </w:r>
      <w:r w:rsidRPr="00B06331">
        <w:rPr>
          <w:rFonts w:cstheme="minorHAnsi"/>
          <w:sz w:val="20"/>
          <w:szCs w:val="20"/>
        </w:rPr>
        <w:tab/>
      </w:r>
      <w:r w:rsidRPr="00B06331">
        <w:rPr>
          <w:rFonts w:cstheme="minorHAnsi"/>
          <w:sz w:val="20"/>
          <w:szCs w:val="20"/>
        </w:rPr>
        <w:tab/>
        <w:t>Sustainable Development Goals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SICs</w:t>
      </w:r>
      <w:r w:rsidRPr="00B06331">
        <w:rPr>
          <w:rFonts w:cstheme="minorHAnsi"/>
          <w:sz w:val="20"/>
          <w:szCs w:val="20"/>
        </w:rPr>
        <w:tab/>
      </w:r>
      <w:r w:rsidRPr="00B06331">
        <w:rPr>
          <w:rFonts w:cstheme="minorHAnsi"/>
          <w:sz w:val="20"/>
          <w:szCs w:val="20"/>
        </w:rPr>
        <w:tab/>
      </w:r>
      <w:r w:rsidRPr="00B06331">
        <w:rPr>
          <w:rFonts w:cstheme="minorHAnsi"/>
          <w:sz w:val="20"/>
          <w:szCs w:val="20"/>
        </w:rPr>
        <w:tab/>
        <w:t>Special Incentive Certificates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SIG</w:t>
      </w:r>
      <w:r w:rsidRPr="00B06331">
        <w:rPr>
          <w:rFonts w:cstheme="minorHAnsi"/>
          <w:sz w:val="20"/>
          <w:szCs w:val="20"/>
        </w:rPr>
        <w:tab/>
      </w:r>
      <w:r w:rsidRPr="00B06331">
        <w:rPr>
          <w:rFonts w:cstheme="minorHAnsi"/>
          <w:sz w:val="20"/>
          <w:szCs w:val="20"/>
        </w:rPr>
        <w:tab/>
      </w:r>
      <w:r w:rsidRPr="00B06331">
        <w:rPr>
          <w:rFonts w:cstheme="minorHAnsi"/>
          <w:sz w:val="20"/>
          <w:szCs w:val="20"/>
        </w:rPr>
        <w:tab/>
        <w:t>School Improvement Grant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SIS</w:t>
      </w:r>
      <w:r w:rsidRPr="00B06331">
        <w:rPr>
          <w:rFonts w:cstheme="minorHAnsi"/>
          <w:sz w:val="20"/>
          <w:szCs w:val="20"/>
        </w:rPr>
        <w:tab/>
      </w:r>
      <w:r w:rsidRPr="00B06331">
        <w:rPr>
          <w:rFonts w:cstheme="minorHAnsi"/>
          <w:sz w:val="20"/>
          <w:szCs w:val="20"/>
        </w:rPr>
        <w:tab/>
      </w:r>
      <w:r w:rsidRPr="00B06331">
        <w:rPr>
          <w:rFonts w:cstheme="minorHAnsi"/>
          <w:sz w:val="20"/>
          <w:szCs w:val="20"/>
        </w:rPr>
        <w:tab/>
        <w:t>State Intelligence Services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SMC</w:t>
      </w:r>
      <w:r w:rsidRPr="00B06331">
        <w:rPr>
          <w:rFonts w:cstheme="minorHAnsi"/>
          <w:sz w:val="20"/>
          <w:szCs w:val="20"/>
        </w:rPr>
        <w:tab/>
      </w:r>
      <w:r w:rsidRPr="00B06331">
        <w:rPr>
          <w:rFonts w:cstheme="minorHAnsi"/>
          <w:sz w:val="20"/>
          <w:szCs w:val="20"/>
        </w:rPr>
        <w:tab/>
      </w:r>
      <w:r w:rsidRPr="00B06331">
        <w:rPr>
          <w:rFonts w:cstheme="minorHAnsi"/>
          <w:sz w:val="20"/>
          <w:szCs w:val="20"/>
        </w:rPr>
        <w:tab/>
        <w:t>Seasonal Malaria Chemoprevention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SMEs</w:t>
      </w:r>
      <w:r w:rsidRPr="00B06331">
        <w:rPr>
          <w:rFonts w:cstheme="minorHAnsi"/>
          <w:sz w:val="20"/>
          <w:szCs w:val="20"/>
        </w:rPr>
        <w:tab/>
      </w:r>
      <w:r w:rsidRPr="00B06331">
        <w:rPr>
          <w:rFonts w:cstheme="minorHAnsi"/>
          <w:sz w:val="20"/>
          <w:szCs w:val="20"/>
        </w:rPr>
        <w:tab/>
      </w:r>
      <w:r w:rsidRPr="00B06331">
        <w:rPr>
          <w:rFonts w:cstheme="minorHAnsi"/>
          <w:sz w:val="20"/>
          <w:szCs w:val="20"/>
        </w:rPr>
        <w:tab/>
        <w:t>Small Medium Enterprises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SOEs</w:t>
      </w:r>
      <w:r w:rsidRPr="00B06331">
        <w:rPr>
          <w:rFonts w:cstheme="minorHAnsi"/>
          <w:sz w:val="20"/>
          <w:szCs w:val="20"/>
        </w:rPr>
        <w:tab/>
      </w:r>
      <w:r w:rsidRPr="00B06331">
        <w:rPr>
          <w:rFonts w:cstheme="minorHAnsi"/>
          <w:sz w:val="20"/>
          <w:szCs w:val="20"/>
        </w:rPr>
        <w:tab/>
      </w:r>
      <w:r w:rsidRPr="00B06331">
        <w:rPr>
          <w:rFonts w:cstheme="minorHAnsi"/>
          <w:sz w:val="20"/>
          <w:szCs w:val="20"/>
        </w:rPr>
        <w:tab/>
        <w:t>State Owned Enterprises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SP</w:t>
      </w:r>
      <w:r w:rsidRPr="00B06331">
        <w:rPr>
          <w:rFonts w:cstheme="minorHAnsi"/>
          <w:sz w:val="20"/>
          <w:szCs w:val="20"/>
        </w:rPr>
        <w:tab/>
      </w:r>
      <w:r w:rsidRPr="00B06331">
        <w:rPr>
          <w:rFonts w:cstheme="minorHAnsi"/>
          <w:sz w:val="20"/>
          <w:szCs w:val="20"/>
        </w:rPr>
        <w:tab/>
      </w:r>
      <w:r w:rsidRPr="00B06331">
        <w:rPr>
          <w:rFonts w:cstheme="minorHAnsi"/>
          <w:sz w:val="20"/>
          <w:szCs w:val="20"/>
        </w:rPr>
        <w:tab/>
        <w:t>Social Protection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SPS</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Sanitary and Phyto –Sanitary Standards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SRH</w:t>
      </w:r>
      <w:r w:rsidRPr="00B06331">
        <w:rPr>
          <w:rFonts w:cstheme="minorHAnsi"/>
          <w:sz w:val="20"/>
          <w:szCs w:val="20"/>
        </w:rPr>
        <w:tab/>
      </w:r>
      <w:r w:rsidRPr="00B06331">
        <w:rPr>
          <w:rFonts w:cstheme="minorHAnsi"/>
          <w:sz w:val="20"/>
          <w:szCs w:val="20"/>
        </w:rPr>
        <w:tab/>
      </w:r>
      <w:r w:rsidRPr="00B06331">
        <w:rPr>
          <w:rFonts w:cstheme="minorHAnsi"/>
          <w:sz w:val="20"/>
          <w:szCs w:val="20"/>
        </w:rPr>
        <w:tab/>
        <w:t>Sexual and Reproductive Health</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SSA</w:t>
      </w:r>
      <w:r w:rsidRPr="00B06331">
        <w:rPr>
          <w:rFonts w:cstheme="minorHAnsi"/>
          <w:sz w:val="20"/>
          <w:szCs w:val="20"/>
        </w:rPr>
        <w:tab/>
      </w:r>
      <w:r w:rsidRPr="00B06331">
        <w:rPr>
          <w:rFonts w:cstheme="minorHAnsi"/>
          <w:sz w:val="20"/>
          <w:szCs w:val="20"/>
        </w:rPr>
        <w:tab/>
      </w:r>
      <w:r w:rsidRPr="00B06331">
        <w:rPr>
          <w:rFonts w:cstheme="minorHAnsi"/>
          <w:sz w:val="20"/>
          <w:szCs w:val="20"/>
        </w:rPr>
        <w:tab/>
        <w:t>Sub-Saharan Africa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SSHFC</w:t>
      </w:r>
      <w:r w:rsidRPr="00B06331">
        <w:rPr>
          <w:rFonts w:cstheme="minorHAnsi"/>
          <w:sz w:val="20"/>
          <w:szCs w:val="20"/>
        </w:rPr>
        <w:tab/>
      </w:r>
      <w:r w:rsidRPr="00B06331">
        <w:rPr>
          <w:rFonts w:cstheme="minorHAnsi"/>
          <w:sz w:val="20"/>
          <w:szCs w:val="20"/>
        </w:rPr>
        <w:tab/>
      </w:r>
      <w:r w:rsidRPr="00B06331">
        <w:rPr>
          <w:rFonts w:cstheme="minorHAnsi"/>
          <w:sz w:val="20"/>
          <w:szCs w:val="20"/>
        </w:rPr>
        <w:tab/>
        <w:t>Social Security and Housing Finance Corporation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STEM</w:t>
      </w:r>
      <w:r w:rsidR="00163424" w:rsidRPr="00B06331">
        <w:rPr>
          <w:rFonts w:cstheme="minorHAnsi"/>
          <w:sz w:val="20"/>
          <w:szCs w:val="20"/>
        </w:rPr>
        <w:tab/>
      </w:r>
      <w:r w:rsidR="00163424" w:rsidRPr="00B06331">
        <w:rPr>
          <w:rFonts w:cstheme="minorHAnsi"/>
          <w:sz w:val="20"/>
          <w:szCs w:val="20"/>
        </w:rPr>
        <w:tab/>
      </w:r>
      <w:r w:rsidR="00163424" w:rsidRPr="00B06331">
        <w:rPr>
          <w:rFonts w:cstheme="minorHAnsi"/>
          <w:sz w:val="20"/>
          <w:szCs w:val="20"/>
        </w:rPr>
        <w:tab/>
        <w:t>Science, T</w:t>
      </w:r>
      <w:r w:rsidR="00746561" w:rsidRPr="00B06331">
        <w:rPr>
          <w:rFonts w:cstheme="minorHAnsi"/>
          <w:sz w:val="20"/>
          <w:szCs w:val="20"/>
        </w:rPr>
        <w:t>echnology, Engineering and Mathematics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STH </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Soil Transmitted </w:t>
      </w:r>
      <w:r w:rsidR="00746561" w:rsidRPr="00B06331">
        <w:rPr>
          <w:rFonts w:cstheme="minorHAnsi"/>
          <w:sz w:val="20"/>
          <w:szCs w:val="20"/>
        </w:rPr>
        <w:t>Helminthes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STEP</w:t>
      </w:r>
      <w:r w:rsidRPr="00B06331">
        <w:rPr>
          <w:rFonts w:cstheme="minorHAnsi"/>
          <w:sz w:val="20"/>
          <w:szCs w:val="20"/>
        </w:rPr>
        <w:tab/>
      </w:r>
      <w:r w:rsidRPr="00B06331">
        <w:rPr>
          <w:rFonts w:cstheme="minorHAnsi"/>
          <w:sz w:val="20"/>
          <w:szCs w:val="20"/>
        </w:rPr>
        <w:tab/>
      </w:r>
      <w:r w:rsidRPr="00B06331">
        <w:rPr>
          <w:rFonts w:cstheme="minorHAnsi"/>
          <w:sz w:val="20"/>
          <w:szCs w:val="20"/>
        </w:rPr>
        <w:tab/>
        <w:t>Skills Toward Employment and Productivity</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STI</w:t>
      </w:r>
      <w:r w:rsidRPr="00B06331">
        <w:rPr>
          <w:rFonts w:cstheme="minorHAnsi"/>
          <w:sz w:val="20"/>
          <w:szCs w:val="20"/>
        </w:rPr>
        <w:tab/>
      </w:r>
      <w:r w:rsidRPr="00B06331">
        <w:rPr>
          <w:rFonts w:cstheme="minorHAnsi"/>
          <w:sz w:val="20"/>
          <w:szCs w:val="20"/>
        </w:rPr>
        <w:tab/>
      </w:r>
      <w:r w:rsidRPr="00B06331">
        <w:rPr>
          <w:rFonts w:cstheme="minorHAnsi"/>
          <w:sz w:val="20"/>
          <w:szCs w:val="20"/>
        </w:rPr>
        <w:tab/>
        <w:t>Science Technology and Innovation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SWDCs</w:t>
      </w:r>
      <w:r w:rsidRPr="00B06331">
        <w:rPr>
          <w:rFonts w:cstheme="minorHAnsi"/>
          <w:sz w:val="20"/>
          <w:szCs w:val="20"/>
        </w:rPr>
        <w:tab/>
      </w:r>
      <w:r w:rsidRPr="00B06331">
        <w:rPr>
          <w:rFonts w:cstheme="minorHAnsi"/>
          <w:sz w:val="20"/>
          <w:szCs w:val="20"/>
        </w:rPr>
        <w:tab/>
      </w:r>
      <w:r w:rsidRPr="00B06331">
        <w:rPr>
          <w:rFonts w:cstheme="minorHAnsi"/>
          <w:sz w:val="20"/>
          <w:szCs w:val="20"/>
        </w:rPr>
        <w:tab/>
        <w:t>Sub-Ward Development Committee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T&amp;D</w:t>
      </w:r>
      <w:r w:rsidRPr="00B06331">
        <w:rPr>
          <w:rFonts w:cstheme="minorHAnsi"/>
          <w:sz w:val="20"/>
          <w:szCs w:val="20"/>
        </w:rPr>
        <w:tab/>
      </w:r>
      <w:r w:rsidRPr="00B06331">
        <w:rPr>
          <w:rFonts w:cstheme="minorHAnsi"/>
          <w:sz w:val="20"/>
          <w:szCs w:val="20"/>
        </w:rPr>
        <w:tab/>
      </w:r>
      <w:r w:rsidRPr="00B06331">
        <w:rPr>
          <w:rFonts w:cstheme="minorHAnsi"/>
          <w:sz w:val="20"/>
          <w:szCs w:val="20"/>
        </w:rPr>
        <w:tab/>
        <w:t>Transmission and Distribution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TB</w:t>
      </w:r>
      <w:r w:rsidRPr="00B06331">
        <w:rPr>
          <w:rFonts w:cstheme="minorHAnsi"/>
          <w:sz w:val="20"/>
          <w:szCs w:val="20"/>
        </w:rPr>
        <w:tab/>
      </w:r>
      <w:r w:rsidRPr="00B06331">
        <w:rPr>
          <w:rFonts w:cstheme="minorHAnsi"/>
          <w:sz w:val="20"/>
          <w:szCs w:val="20"/>
        </w:rPr>
        <w:tab/>
      </w:r>
      <w:r w:rsidRPr="00B06331">
        <w:rPr>
          <w:rFonts w:cstheme="minorHAnsi"/>
          <w:sz w:val="20"/>
          <w:szCs w:val="20"/>
        </w:rPr>
        <w:tab/>
        <w:t>Tuberculosis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TBT</w:t>
      </w:r>
      <w:r w:rsidRPr="00B06331">
        <w:rPr>
          <w:rFonts w:cstheme="minorHAnsi"/>
          <w:sz w:val="20"/>
          <w:szCs w:val="20"/>
        </w:rPr>
        <w:tab/>
      </w:r>
      <w:r w:rsidRPr="00B06331">
        <w:rPr>
          <w:rFonts w:cstheme="minorHAnsi"/>
          <w:sz w:val="20"/>
          <w:szCs w:val="20"/>
        </w:rPr>
        <w:tab/>
      </w:r>
      <w:r w:rsidRPr="00B06331">
        <w:rPr>
          <w:rFonts w:cstheme="minorHAnsi"/>
          <w:sz w:val="20"/>
          <w:szCs w:val="20"/>
        </w:rPr>
        <w:tab/>
        <w:t>Technical Barriers to Trade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TCP</w:t>
      </w:r>
      <w:r w:rsidRPr="00B06331">
        <w:rPr>
          <w:rFonts w:cstheme="minorHAnsi"/>
          <w:sz w:val="20"/>
          <w:szCs w:val="20"/>
        </w:rPr>
        <w:tab/>
      </w:r>
      <w:r w:rsidRPr="00B06331">
        <w:rPr>
          <w:rFonts w:cstheme="minorHAnsi"/>
          <w:sz w:val="20"/>
          <w:szCs w:val="20"/>
        </w:rPr>
        <w:tab/>
      </w:r>
      <w:r w:rsidRPr="00B06331">
        <w:rPr>
          <w:rFonts w:cstheme="minorHAnsi"/>
          <w:sz w:val="20"/>
          <w:szCs w:val="20"/>
        </w:rPr>
        <w:tab/>
        <w:t>Technical Cooperation Programme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TDAs</w:t>
      </w:r>
      <w:r w:rsidRPr="00B06331">
        <w:rPr>
          <w:rFonts w:cstheme="minorHAnsi"/>
          <w:sz w:val="20"/>
          <w:szCs w:val="20"/>
        </w:rPr>
        <w:tab/>
      </w:r>
      <w:r w:rsidRPr="00B06331">
        <w:rPr>
          <w:rFonts w:cstheme="minorHAnsi"/>
          <w:sz w:val="20"/>
          <w:szCs w:val="20"/>
        </w:rPr>
        <w:tab/>
      </w:r>
      <w:r w:rsidRPr="00B06331">
        <w:rPr>
          <w:rFonts w:cstheme="minorHAnsi"/>
          <w:sz w:val="20"/>
          <w:szCs w:val="20"/>
        </w:rPr>
        <w:tab/>
        <w:t>Tourism Development Areas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TFA</w:t>
      </w:r>
      <w:r w:rsidRPr="00B06331">
        <w:rPr>
          <w:rFonts w:cstheme="minorHAnsi"/>
          <w:sz w:val="20"/>
          <w:szCs w:val="20"/>
        </w:rPr>
        <w:tab/>
      </w:r>
      <w:r w:rsidRPr="00B06331">
        <w:rPr>
          <w:rFonts w:cstheme="minorHAnsi"/>
          <w:sz w:val="20"/>
          <w:szCs w:val="20"/>
        </w:rPr>
        <w:tab/>
      </w:r>
      <w:r w:rsidRPr="00B06331">
        <w:rPr>
          <w:rFonts w:cstheme="minorHAnsi"/>
          <w:sz w:val="20"/>
          <w:szCs w:val="20"/>
        </w:rPr>
        <w:tab/>
        <w:t>Trade Facilitation Agreement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TGSB</w:t>
      </w:r>
      <w:r w:rsidRPr="00B06331">
        <w:rPr>
          <w:rFonts w:cstheme="minorHAnsi"/>
          <w:sz w:val="20"/>
          <w:szCs w:val="20"/>
        </w:rPr>
        <w:tab/>
      </w:r>
      <w:r w:rsidRPr="00B06331">
        <w:rPr>
          <w:rFonts w:cstheme="minorHAnsi"/>
          <w:sz w:val="20"/>
          <w:szCs w:val="20"/>
        </w:rPr>
        <w:tab/>
      </w:r>
      <w:r w:rsidRPr="00B06331">
        <w:rPr>
          <w:rFonts w:cstheme="minorHAnsi"/>
          <w:sz w:val="20"/>
          <w:szCs w:val="20"/>
        </w:rPr>
        <w:tab/>
        <w:t>The Gambia Standards Bureau</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TPD</w:t>
      </w:r>
      <w:r w:rsidRPr="00B06331">
        <w:rPr>
          <w:rFonts w:cstheme="minorHAnsi"/>
          <w:sz w:val="20"/>
          <w:szCs w:val="20"/>
        </w:rPr>
        <w:tab/>
      </w:r>
      <w:r w:rsidRPr="00B06331">
        <w:rPr>
          <w:rFonts w:cstheme="minorHAnsi"/>
          <w:sz w:val="20"/>
          <w:szCs w:val="20"/>
        </w:rPr>
        <w:tab/>
      </w:r>
      <w:r w:rsidRPr="00B06331">
        <w:rPr>
          <w:rFonts w:cstheme="minorHAnsi"/>
          <w:sz w:val="20"/>
          <w:szCs w:val="20"/>
        </w:rPr>
        <w:tab/>
        <w:t>Total Public Debt</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TRC</w:t>
      </w:r>
      <w:r w:rsidRPr="00B06331">
        <w:rPr>
          <w:rFonts w:cstheme="minorHAnsi"/>
          <w:sz w:val="20"/>
          <w:szCs w:val="20"/>
        </w:rPr>
        <w:tab/>
      </w:r>
      <w:r w:rsidRPr="00B06331">
        <w:rPr>
          <w:rFonts w:cstheme="minorHAnsi"/>
          <w:sz w:val="20"/>
          <w:szCs w:val="20"/>
        </w:rPr>
        <w:tab/>
      </w:r>
      <w:r w:rsidRPr="00B06331">
        <w:rPr>
          <w:rFonts w:cstheme="minorHAnsi"/>
          <w:sz w:val="20"/>
          <w:szCs w:val="20"/>
        </w:rPr>
        <w:tab/>
        <w:t>Truth and Reconciliation Commission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TSA</w:t>
      </w:r>
      <w:r w:rsidRPr="00B06331">
        <w:rPr>
          <w:rFonts w:cstheme="minorHAnsi"/>
          <w:sz w:val="20"/>
          <w:szCs w:val="20"/>
        </w:rPr>
        <w:tab/>
      </w:r>
      <w:r w:rsidRPr="00B06331">
        <w:rPr>
          <w:rFonts w:cstheme="minorHAnsi"/>
          <w:sz w:val="20"/>
          <w:szCs w:val="20"/>
        </w:rPr>
        <w:tab/>
      </w:r>
      <w:r w:rsidRPr="00B06331">
        <w:rPr>
          <w:rFonts w:cstheme="minorHAnsi"/>
          <w:sz w:val="20"/>
          <w:szCs w:val="20"/>
        </w:rPr>
        <w:tab/>
        <w:t>Tourism Satellite Accounts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TV</w:t>
      </w:r>
      <w:r w:rsidRPr="00B06331">
        <w:rPr>
          <w:rFonts w:cstheme="minorHAnsi"/>
          <w:sz w:val="20"/>
          <w:szCs w:val="20"/>
        </w:rPr>
        <w:tab/>
      </w:r>
      <w:r w:rsidRPr="00B06331">
        <w:rPr>
          <w:rFonts w:cstheme="minorHAnsi"/>
          <w:sz w:val="20"/>
          <w:szCs w:val="20"/>
        </w:rPr>
        <w:tab/>
      </w:r>
      <w:r w:rsidRPr="00B06331">
        <w:rPr>
          <w:rFonts w:cstheme="minorHAnsi"/>
          <w:sz w:val="20"/>
          <w:szCs w:val="20"/>
        </w:rPr>
        <w:tab/>
        <w:t>Television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TVET</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Technical and Vocational Education and Training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TWGs</w:t>
      </w:r>
      <w:r w:rsidRPr="00B06331">
        <w:rPr>
          <w:rFonts w:cstheme="minorHAnsi"/>
          <w:sz w:val="20"/>
          <w:szCs w:val="20"/>
        </w:rPr>
        <w:tab/>
      </w:r>
      <w:r w:rsidRPr="00B06331">
        <w:rPr>
          <w:rFonts w:cstheme="minorHAnsi"/>
          <w:sz w:val="20"/>
          <w:szCs w:val="20"/>
        </w:rPr>
        <w:tab/>
      </w:r>
      <w:r w:rsidRPr="00B06331">
        <w:rPr>
          <w:rFonts w:cstheme="minorHAnsi"/>
          <w:sz w:val="20"/>
          <w:szCs w:val="20"/>
        </w:rPr>
        <w:tab/>
        <w:t>Thematic Working Groups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UN</w:t>
      </w:r>
      <w:r w:rsidRPr="00B06331">
        <w:rPr>
          <w:rFonts w:cstheme="minorHAnsi"/>
          <w:sz w:val="20"/>
          <w:szCs w:val="20"/>
        </w:rPr>
        <w:tab/>
      </w:r>
      <w:r w:rsidRPr="00B06331">
        <w:rPr>
          <w:rFonts w:cstheme="minorHAnsi"/>
          <w:sz w:val="20"/>
          <w:szCs w:val="20"/>
        </w:rPr>
        <w:tab/>
      </w:r>
      <w:r w:rsidRPr="00B06331">
        <w:rPr>
          <w:rFonts w:cstheme="minorHAnsi"/>
          <w:sz w:val="20"/>
          <w:szCs w:val="20"/>
        </w:rPr>
        <w:tab/>
        <w:t>United Nations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UNDP</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United Nations Development Programme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lastRenderedPageBreak/>
        <w:t>UNESCO</w:t>
      </w:r>
      <w:r w:rsidRPr="00B06331">
        <w:rPr>
          <w:rFonts w:cstheme="minorHAnsi"/>
          <w:sz w:val="20"/>
          <w:szCs w:val="20"/>
        </w:rPr>
        <w:tab/>
      </w:r>
      <w:r w:rsidRPr="00B06331">
        <w:rPr>
          <w:rFonts w:cstheme="minorHAnsi"/>
          <w:sz w:val="20"/>
          <w:szCs w:val="20"/>
        </w:rPr>
        <w:tab/>
      </w:r>
      <w:r w:rsidRPr="00B06331">
        <w:rPr>
          <w:rFonts w:cstheme="minorHAnsi"/>
          <w:sz w:val="20"/>
          <w:szCs w:val="20"/>
        </w:rPr>
        <w:tab/>
        <w:t>United Nations Educational Scientific Cultural Organization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UNFCCC</w:t>
      </w:r>
      <w:r w:rsidRPr="00B06331">
        <w:rPr>
          <w:rFonts w:cstheme="minorHAnsi"/>
          <w:sz w:val="20"/>
          <w:szCs w:val="20"/>
        </w:rPr>
        <w:tab/>
      </w:r>
      <w:r w:rsidRPr="00B06331">
        <w:rPr>
          <w:rFonts w:cstheme="minorHAnsi"/>
          <w:sz w:val="20"/>
          <w:szCs w:val="20"/>
        </w:rPr>
        <w:tab/>
      </w:r>
      <w:r w:rsidRPr="00B06331">
        <w:rPr>
          <w:rFonts w:cstheme="minorHAnsi"/>
          <w:sz w:val="20"/>
          <w:szCs w:val="20"/>
        </w:rPr>
        <w:tab/>
        <w:t>United Nations Framework Convention on Climate Change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UNICEF</w:t>
      </w:r>
      <w:r w:rsidRPr="00B06331">
        <w:rPr>
          <w:rFonts w:cstheme="minorHAnsi"/>
          <w:sz w:val="20"/>
          <w:szCs w:val="20"/>
        </w:rPr>
        <w:tab/>
      </w:r>
      <w:r w:rsidRPr="00B06331">
        <w:rPr>
          <w:rFonts w:cstheme="minorHAnsi"/>
          <w:sz w:val="20"/>
          <w:szCs w:val="20"/>
        </w:rPr>
        <w:tab/>
      </w:r>
      <w:r w:rsidRPr="00B06331">
        <w:rPr>
          <w:rFonts w:cstheme="minorHAnsi"/>
          <w:sz w:val="20"/>
          <w:szCs w:val="20"/>
        </w:rPr>
        <w:tab/>
      </w:r>
      <w:r w:rsidRPr="00B06331">
        <w:rPr>
          <w:sz w:val="20"/>
          <w:szCs w:val="20"/>
        </w:rPr>
        <w:t>United Nations Children’s Fund</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UNIDO</w:t>
      </w:r>
      <w:r w:rsidRPr="00B06331">
        <w:rPr>
          <w:rFonts w:cstheme="minorHAnsi"/>
          <w:sz w:val="20"/>
          <w:szCs w:val="20"/>
        </w:rPr>
        <w:tab/>
      </w:r>
      <w:r w:rsidRPr="00B06331">
        <w:rPr>
          <w:rFonts w:cstheme="minorHAnsi"/>
          <w:sz w:val="20"/>
          <w:szCs w:val="20"/>
        </w:rPr>
        <w:tab/>
      </w:r>
      <w:r w:rsidRPr="00B06331">
        <w:rPr>
          <w:rFonts w:cstheme="minorHAnsi"/>
          <w:sz w:val="20"/>
          <w:szCs w:val="20"/>
        </w:rPr>
        <w:tab/>
        <w:t>United Nations Industrial Development Organization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URR</w:t>
      </w:r>
      <w:r w:rsidRPr="00B06331">
        <w:rPr>
          <w:rFonts w:cstheme="minorHAnsi"/>
          <w:sz w:val="20"/>
          <w:szCs w:val="20"/>
        </w:rPr>
        <w:tab/>
      </w:r>
      <w:r w:rsidRPr="00B06331">
        <w:rPr>
          <w:rFonts w:cstheme="minorHAnsi"/>
          <w:sz w:val="20"/>
          <w:szCs w:val="20"/>
        </w:rPr>
        <w:tab/>
      </w:r>
      <w:r w:rsidRPr="00B06331">
        <w:rPr>
          <w:rFonts w:cstheme="minorHAnsi"/>
          <w:sz w:val="20"/>
          <w:szCs w:val="20"/>
        </w:rPr>
        <w:tab/>
        <w:t>Upper River Region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UTG</w:t>
      </w:r>
      <w:r w:rsidRPr="00B06331">
        <w:rPr>
          <w:rFonts w:cstheme="minorHAnsi"/>
          <w:sz w:val="20"/>
          <w:szCs w:val="20"/>
        </w:rPr>
        <w:tab/>
      </w:r>
      <w:r w:rsidRPr="00B06331">
        <w:rPr>
          <w:rFonts w:cstheme="minorHAnsi"/>
          <w:sz w:val="20"/>
          <w:szCs w:val="20"/>
        </w:rPr>
        <w:tab/>
      </w:r>
      <w:r w:rsidRPr="00B06331">
        <w:rPr>
          <w:rFonts w:cstheme="minorHAnsi"/>
          <w:sz w:val="20"/>
          <w:szCs w:val="20"/>
        </w:rPr>
        <w:tab/>
        <w:t>University of The Gambia</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VAMU</w:t>
      </w:r>
      <w:r w:rsidRPr="00B06331">
        <w:rPr>
          <w:rFonts w:cstheme="minorHAnsi"/>
          <w:sz w:val="20"/>
          <w:szCs w:val="20"/>
        </w:rPr>
        <w:tab/>
      </w:r>
      <w:r w:rsidRPr="00B06331">
        <w:rPr>
          <w:rFonts w:cstheme="minorHAnsi"/>
          <w:sz w:val="20"/>
          <w:szCs w:val="20"/>
        </w:rPr>
        <w:tab/>
      </w:r>
      <w:r w:rsidRPr="00B06331">
        <w:rPr>
          <w:rFonts w:cstheme="minorHAnsi"/>
          <w:sz w:val="20"/>
          <w:szCs w:val="20"/>
        </w:rPr>
        <w:tab/>
        <w:t>Vulnerability in Urban Areas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VCAs</w:t>
      </w:r>
      <w:r w:rsidRPr="00B06331">
        <w:rPr>
          <w:rFonts w:cstheme="minorHAnsi"/>
          <w:sz w:val="20"/>
          <w:szCs w:val="20"/>
        </w:rPr>
        <w:tab/>
      </w:r>
      <w:r w:rsidRPr="00B06331">
        <w:rPr>
          <w:rFonts w:cstheme="minorHAnsi"/>
          <w:sz w:val="20"/>
          <w:szCs w:val="20"/>
        </w:rPr>
        <w:tab/>
      </w:r>
      <w:r w:rsidRPr="00B06331">
        <w:rPr>
          <w:rFonts w:cstheme="minorHAnsi"/>
          <w:sz w:val="20"/>
          <w:szCs w:val="20"/>
        </w:rPr>
        <w:tab/>
        <w:t>Value Chain Actors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VDCs</w:t>
      </w:r>
      <w:r w:rsidRPr="00B06331">
        <w:rPr>
          <w:rFonts w:cstheme="minorHAnsi"/>
          <w:sz w:val="20"/>
          <w:szCs w:val="20"/>
        </w:rPr>
        <w:tab/>
      </w:r>
      <w:r w:rsidRPr="00B06331">
        <w:rPr>
          <w:rFonts w:cstheme="minorHAnsi"/>
          <w:sz w:val="20"/>
          <w:szCs w:val="20"/>
        </w:rPr>
        <w:tab/>
      </w:r>
      <w:r w:rsidRPr="00B06331">
        <w:rPr>
          <w:rFonts w:cstheme="minorHAnsi"/>
          <w:sz w:val="20"/>
          <w:szCs w:val="20"/>
        </w:rPr>
        <w:tab/>
        <w:t>Village Development Committee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VISACAs</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Village Savings and Credit Association </w:t>
      </w:r>
    </w:p>
    <w:p w:rsidR="00697D55" w:rsidRPr="00B06331" w:rsidRDefault="00697D55" w:rsidP="00697D55">
      <w:pPr>
        <w:spacing w:before="120" w:after="0"/>
        <w:ind w:left="2880" w:hanging="2880"/>
        <w:contextualSpacing/>
        <w:rPr>
          <w:rFonts w:cstheme="minorHAnsi"/>
          <w:sz w:val="20"/>
          <w:szCs w:val="20"/>
        </w:rPr>
      </w:pPr>
      <w:r w:rsidRPr="00B06331">
        <w:rPr>
          <w:rFonts w:cstheme="minorHAnsi"/>
          <w:sz w:val="20"/>
          <w:szCs w:val="20"/>
        </w:rPr>
        <w:t>WASCAL</w:t>
      </w:r>
      <w:r w:rsidRPr="00B06331">
        <w:rPr>
          <w:rFonts w:cstheme="minorHAnsi"/>
          <w:sz w:val="20"/>
          <w:szCs w:val="20"/>
        </w:rPr>
        <w:tab/>
        <w:t>West African Science Service Center on Climate Change and Adapted Land Use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WASH</w:t>
      </w:r>
      <w:r w:rsidRPr="00B06331">
        <w:rPr>
          <w:rFonts w:cstheme="minorHAnsi"/>
          <w:sz w:val="20"/>
          <w:szCs w:val="20"/>
        </w:rPr>
        <w:tab/>
      </w:r>
      <w:r w:rsidRPr="00B06331">
        <w:rPr>
          <w:rFonts w:cstheme="minorHAnsi"/>
          <w:sz w:val="20"/>
          <w:szCs w:val="20"/>
        </w:rPr>
        <w:tab/>
      </w:r>
      <w:r w:rsidRPr="00B06331">
        <w:rPr>
          <w:rFonts w:cstheme="minorHAnsi"/>
          <w:sz w:val="20"/>
          <w:szCs w:val="20"/>
        </w:rPr>
        <w:tab/>
        <w:t>Water Sanitation and Hygiene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WB</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World Bank </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WCR</w:t>
      </w:r>
      <w:r w:rsidRPr="00B06331">
        <w:rPr>
          <w:rFonts w:cstheme="minorHAnsi"/>
          <w:sz w:val="20"/>
          <w:szCs w:val="20"/>
        </w:rPr>
        <w:tab/>
      </w:r>
      <w:r w:rsidRPr="00B06331">
        <w:rPr>
          <w:rFonts w:cstheme="minorHAnsi"/>
          <w:sz w:val="20"/>
          <w:szCs w:val="20"/>
        </w:rPr>
        <w:tab/>
      </w:r>
      <w:r w:rsidRPr="00B06331">
        <w:rPr>
          <w:rFonts w:cstheme="minorHAnsi"/>
          <w:sz w:val="20"/>
          <w:szCs w:val="20"/>
        </w:rPr>
        <w:tab/>
        <w:t>West Coast Region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WDCs</w:t>
      </w:r>
      <w:r w:rsidRPr="00B06331">
        <w:rPr>
          <w:rFonts w:cstheme="minorHAnsi"/>
          <w:sz w:val="20"/>
          <w:szCs w:val="20"/>
        </w:rPr>
        <w:tab/>
      </w:r>
      <w:r w:rsidRPr="00B06331">
        <w:rPr>
          <w:rFonts w:cstheme="minorHAnsi"/>
          <w:sz w:val="20"/>
          <w:szCs w:val="20"/>
        </w:rPr>
        <w:tab/>
      </w:r>
      <w:r w:rsidRPr="00B06331">
        <w:rPr>
          <w:rFonts w:cstheme="minorHAnsi"/>
          <w:sz w:val="20"/>
          <w:szCs w:val="20"/>
        </w:rPr>
        <w:tab/>
        <w:t>Ward Development Committee</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WiMAX</w:t>
      </w:r>
      <w:r w:rsidRPr="00B06331">
        <w:rPr>
          <w:rFonts w:cstheme="minorHAnsi"/>
          <w:sz w:val="20"/>
          <w:szCs w:val="20"/>
        </w:rPr>
        <w:tab/>
      </w:r>
      <w:r w:rsidRPr="00B06331">
        <w:rPr>
          <w:rFonts w:cstheme="minorHAnsi"/>
          <w:sz w:val="20"/>
          <w:szCs w:val="20"/>
        </w:rPr>
        <w:tab/>
      </w:r>
      <w:r w:rsidRPr="00B06331">
        <w:rPr>
          <w:rFonts w:cstheme="minorHAnsi"/>
          <w:sz w:val="20"/>
          <w:szCs w:val="20"/>
        </w:rPr>
        <w:tab/>
        <w:t>Worldwide interoperability for Microwave Access</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 xml:space="preserve">WHO </w:t>
      </w:r>
      <w:r w:rsidRPr="00B06331">
        <w:rPr>
          <w:rFonts w:cstheme="minorHAnsi"/>
          <w:sz w:val="20"/>
          <w:szCs w:val="20"/>
        </w:rPr>
        <w:tab/>
      </w:r>
      <w:r w:rsidRPr="00B06331">
        <w:rPr>
          <w:rFonts w:cstheme="minorHAnsi"/>
          <w:sz w:val="20"/>
          <w:szCs w:val="20"/>
        </w:rPr>
        <w:tab/>
      </w:r>
      <w:r w:rsidRPr="00B06331">
        <w:rPr>
          <w:rFonts w:cstheme="minorHAnsi"/>
          <w:sz w:val="20"/>
          <w:szCs w:val="20"/>
        </w:rPr>
        <w:tab/>
        <w:t>World Health Organization</w:t>
      </w:r>
    </w:p>
    <w:p w:rsidR="00697D55" w:rsidRPr="00B06331" w:rsidRDefault="00697D55" w:rsidP="00697D55">
      <w:pPr>
        <w:spacing w:before="120" w:after="0"/>
        <w:ind w:left="1440" w:hanging="1440"/>
        <w:contextualSpacing/>
        <w:rPr>
          <w:rFonts w:cstheme="minorHAnsi"/>
          <w:sz w:val="20"/>
          <w:szCs w:val="20"/>
        </w:rPr>
      </w:pPr>
      <w:r w:rsidRPr="00B06331">
        <w:rPr>
          <w:rFonts w:cstheme="minorHAnsi"/>
          <w:sz w:val="20"/>
          <w:szCs w:val="20"/>
        </w:rPr>
        <w:t>WTO</w:t>
      </w:r>
      <w:r w:rsidRPr="00B06331">
        <w:rPr>
          <w:rFonts w:cstheme="minorHAnsi"/>
          <w:sz w:val="20"/>
          <w:szCs w:val="20"/>
        </w:rPr>
        <w:tab/>
      </w:r>
      <w:r w:rsidRPr="00B06331">
        <w:rPr>
          <w:rFonts w:cstheme="minorHAnsi"/>
          <w:sz w:val="20"/>
          <w:szCs w:val="20"/>
        </w:rPr>
        <w:tab/>
      </w:r>
      <w:r w:rsidRPr="00B06331">
        <w:rPr>
          <w:rFonts w:cstheme="minorHAnsi"/>
          <w:sz w:val="20"/>
          <w:szCs w:val="20"/>
        </w:rPr>
        <w:tab/>
        <w:t xml:space="preserve">World Trade Organization </w:t>
      </w:r>
    </w:p>
    <w:p w:rsidR="004B62FD" w:rsidRPr="00B06331" w:rsidRDefault="004B62FD" w:rsidP="004B62FD">
      <w:pPr>
        <w:tabs>
          <w:tab w:val="left" w:pos="2415"/>
        </w:tabs>
        <w:rPr>
          <w:color w:val="4472C4" w:themeColor="accent1"/>
          <w:sz w:val="28"/>
        </w:rPr>
        <w:sectPr w:rsidR="004B62FD" w:rsidRPr="00B06331" w:rsidSect="00054460">
          <w:pgSz w:w="12240" w:h="15840"/>
          <w:pgMar w:top="1440" w:right="1440" w:bottom="1440" w:left="1440" w:header="720" w:footer="720" w:gutter="0"/>
          <w:cols w:space="720"/>
          <w:docGrid w:linePitch="360"/>
        </w:sectPr>
      </w:pPr>
    </w:p>
    <w:p w:rsidR="00C65598" w:rsidRPr="00B06331" w:rsidRDefault="00965AD2" w:rsidP="00C65598">
      <w:pPr>
        <w:rPr>
          <w:rFonts w:ascii="Avenir Book" w:hAnsi="Avenir Book"/>
          <w:i/>
          <w:sz w:val="24"/>
          <w:szCs w:val="24"/>
        </w:rPr>
      </w:pPr>
      <w:r w:rsidRPr="00B06331">
        <w:rPr>
          <w:rFonts w:ascii="Avenir Book" w:hAnsi="Avenir Book"/>
          <w:i/>
          <w:noProof/>
          <w:sz w:val="24"/>
          <w:szCs w:val="24"/>
        </w:rPr>
        <w:lastRenderedPageBreak/>
        <w:pict>
          <v:group id="Group 30" o:spid="_x0000_s1046" style="position:absolute;margin-left:.25pt;margin-top:18.45pt;width:305.25pt;height:738.7pt;z-index:251655168;mso-wrap-distance-left:36pt;mso-wrap-distance-right:36pt;mso-position-horizontal-relative:page;mso-position-vertical-relative:page;mso-width-relative:margin" coordsize="29709,9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">
            <v:group id="Group 180" o:spid="_x0000_s1047"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181" o:spid="_x0000_s1049" style="position:absolute;width:9144;height:93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9Q8QA&#10;AADbAAAADwAAAGRycy9kb3ducmV2LnhtbESPQWvCQBSE7wX/w/IEb7oxRVtTVzEFi9BToxSPj+xr&#10;Nph9G7JrTP+9KxR6HGbmG2a9HWwjeup87VjBfJaAIC6drrlScDrup68gfEDW2DgmBb/kYbsZPa0x&#10;0+7GX9QXoRIRwj5DBSaENpPSl4Ys+plriaP34zqLIcqukrrDW4TbRqZJspQWa44LBlt6N1ReiqtV&#10;8P0ZXsy5zdPVKe+P/SVPd4X5UGoyHnZvIAIN4T/81z5oBYtneHy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vUPEAAAA2wAAAA8AAAAAAAAAAAAAAAAAmAIAAGRycy9k&#10;b3ducmV2LnhtbFBLBQYAAAAABAAEAPUAAACJAwAAAAA=&#10;" stroked="f" strokeweight="2pt">
                <v:fill opacity="0"/>
              </v:rect>
              <v:group id="Group 182" o:spid="_x0000_s104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Rectangle 5" o:spid="_x0000_s1032"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nzcQA&#10;AADbAAAADwAAAGRycy9kb3ducmV2LnhtbESPQWvCQBSE7wX/w/KE3pqNgrFEN0G0hdJL0bZ4fWZf&#10;k9Ds27i7avrvu4LgcZiZb5hlOZhOnMn51rKCSZKCIK6sbrlW8PX5+vQMwgdkjZ1lUvBHHspi9LDE&#10;XNsLb+m8C7WIEPY5KmhC6HMpfdWQQZ/Ynjh6P9YZDFG6WmqHlwg3nZymaSYNthwXGuxp3VD1uzsZ&#10;BR+9P07n+7Bp99n7t89O7kVuDko9jofVAkSgIdzDt/abVjCbwfV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J83EAAAA2wAAAA8AAAAAAAAAAAAAAAAAmAIAAGRycy9k&#10;b3ducmV2LnhtbFBLBQYAAAAABAAEAPUAAACJAwAAAAA=&#10;" path="m,l667707,v4,1323975,-219068,3990702,-219064,5314677c448639,7111854,667711,7566279,667707,9363456l,9363456,,xe" fillcolor="#4f81bd" stroked="f" strokeweight="2pt">
                  <v:path arrowok="t" o:connecttype="custom" o:connectlocs="0,0;67,0;45,531;67,936;0,936;0,0" o:connectangles="0,0,0,0,0,0"/>
                </v:shape>
                <v:rect id="Rectangle 184" o:spid="_x0000_s1033" style="position:absolute;width:6858;height:93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ZO8UA&#10;AADbAAAADwAAAGRycy9kb3ducmV2LnhtbESPQWvCQBSE7wX/w/IEL6IbC7aSuooUCsFLaiy0x0f2&#10;mUSzb8PuNon/vlso9DjMzDfMdj+aVvTkfGNZwWqZgCAurW64UvBxfltsQPiArLG1TAru5GG/mzxs&#10;MdV24BP1RahEhLBPUUEdQpdK6cuaDPql7Yijd7HOYIjSVVI7HCLctPIxSZ6kwYbjQo0dvdZU3opv&#10;o+DzOvTzY3E+jatc6jKff71bzJSaTcfDC4hAY/gP/7UzrWD9DL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k7xQAAANsAAAAPAAAAAAAAAAAAAAAAAJgCAABkcnMv&#10;ZG93bnJldi54bWxQSwUGAAAAAAQABAD1AAAAigMAAAAA&#10;" stroked="f" strokeweight="2pt">
                  <v:fill r:id="rId15" o:title="" recolor="t" rotate="t" type="frame"/>
                </v:rect>
              </v:group>
            </v:group>
            <v:shape id="Text Box 185" o:spid="_x0000_s1034" type="#_x0000_t202" style="position:absolute;left:9226;top:5203;width:20483;height:88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inset="0,0,0,0">
                <w:txbxContent>
                  <w:p w:rsidR="00FD4AC6" w:rsidRPr="00163424" w:rsidRDefault="00FD4AC6" w:rsidP="00C65598">
                    <w:pPr>
                      <w:pStyle w:val="Heading1"/>
                      <w:rPr>
                        <w:rFonts w:asciiTheme="minorHAnsi" w:hAnsiTheme="minorHAnsi"/>
                        <w:b/>
                        <w:sz w:val="24"/>
                        <w:szCs w:val="24"/>
                      </w:rPr>
                    </w:pPr>
                    <w:bookmarkStart w:id="8" w:name="_Toc488689290"/>
                    <w:bookmarkStart w:id="9" w:name="_Toc492364718"/>
                    <w:r w:rsidRPr="00163424">
                      <w:rPr>
                        <w:rFonts w:asciiTheme="minorHAnsi" w:hAnsiTheme="minorHAnsi"/>
                        <w:b/>
                        <w:sz w:val="24"/>
                        <w:szCs w:val="24"/>
                      </w:rPr>
                      <w:t>PART I: Plan Context, Overview, and Situational Analysis</w:t>
                    </w:r>
                    <w:bookmarkEnd w:id="8"/>
                    <w:bookmarkEnd w:id="9"/>
                  </w:p>
                  <w:p w:rsidR="00FD4AC6" w:rsidRPr="00920675" w:rsidRDefault="00FD4AC6" w:rsidP="00C65598"/>
                  <w:p w:rsidR="00FD4AC6" w:rsidRPr="00860EC7" w:rsidRDefault="00FD4AC6" w:rsidP="00C65598">
                    <w:pPr>
                      <w:jc w:val="both"/>
                      <w:rPr>
                        <w:color w:val="7F7F7F"/>
                        <w:sz w:val="24"/>
                        <w:szCs w:val="20"/>
                      </w:rPr>
                    </w:pPr>
                    <w:r w:rsidRPr="00860EC7">
                      <w:rPr>
                        <w:color w:val="7F7F7F"/>
                        <w:sz w:val="24"/>
                        <w:szCs w:val="20"/>
                      </w:rPr>
                      <w:t>Part I treats the plan context and presents the situational an</w:t>
                    </w:r>
                    <w:r>
                      <w:rPr>
                        <w:color w:val="7F7F7F"/>
                        <w:sz w:val="24"/>
                        <w:szCs w:val="20"/>
                      </w:rPr>
                      <w:t>alysis. The part covers six (6</w:t>
                    </w:r>
                    <w:r w:rsidRPr="00860EC7">
                      <w:rPr>
                        <w:color w:val="7F7F7F"/>
                        <w:sz w:val="24"/>
                        <w:szCs w:val="20"/>
                      </w:rPr>
                      <w:t xml:space="preserve">) Chapters. </w:t>
                    </w:r>
                  </w:p>
                  <w:p w:rsidR="00FD4AC6" w:rsidRPr="00860EC7" w:rsidRDefault="00FD4AC6" w:rsidP="00C65598">
                    <w:pPr>
                      <w:jc w:val="both"/>
                      <w:rPr>
                        <w:color w:val="7F7F7F"/>
                        <w:sz w:val="24"/>
                        <w:szCs w:val="20"/>
                      </w:rPr>
                    </w:pPr>
                    <w:r w:rsidRPr="00860EC7">
                      <w:rPr>
                        <w:color w:val="7F7F7F"/>
                        <w:sz w:val="24"/>
                        <w:szCs w:val="20"/>
                      </w:rPr>
                      <w:t>Chapter 1 serves as an introduction and presents the prevailing context of the Plan in terms of the endogenous and exogenous factors that inform the priorities. The Chapter further provides a b</w:t>
                    </w:r>
                    <w:r>
                      <w:rPr>
                        <w:color w:val="7F7F7F"/>
                        <w:sz w:val="24"/>
                        <w:szCs w:val="20"/>
                      </w:rPr>
                      <w:t>rief overview of the plan</w:t>
                    </w:r>
                    <w:r w:rsidRPr="00860EC7">
                      <w:rPr>
                        <w:color w:val="7F7F7F"/>
                        <w:sz w:val="24"/>
                        <w:szCs w:val="20"/>
                      </w:rPr>
                      <w:t>, laying out</w:t>
                    </w:r>
                    <w:r>
                      <w:rPr>
                        <w:color w:val="7F7F7F"/>
                        <w:sz w:val="24"/>
                        <w:szCs w:val="20"/>
                      </w:rPr>
                      <w:t xml:space="preserve"> the vision and goal</w:t>
                    </w:r>
                    <w:r w:rsidRPr="00860EC7">
                      <w:rPr>
                        <w:color w:val="7F7F7F"/>
                        <w:sz w:val="24"/>
                        <w:szCs w:val="20"/>
                      </w:rPr>
                      <w:t>. It also briefly describes the key lessons from implementing the previous plan – PAGE, and finally outlines the structure of the document.</w:t>
                    </w:r>
                  </w:p>
                  <w:p w:rsidR="00FD4AC6" w:rsidRPr="00860EC7" w:rsidRDefault="00FD4AC6" w:rsidP="00C65598">
                    <w:pPr>
                      <w:jc w:val="both"/>
                      <w:rPr>
                        <w:color w:val="7F7F7F"/>
                        <w:sz w:val="24"/>
                        <w:szCs w:val="20"/>
                      </w:rPr>
                    </w:pPr>
                    <w:r w:rsidRPr="00860EC7">
                      <w:rPr>
                        <w:color w:val="7F7F7F"/>
                        <w:sz w:val="24"/>
                        <w:szCs w:val="20"/>
                      </w:rPr>
                      <w:t>Chapter</w:t>
                    </w:r>
                    <w:r>
                      <w:rPr>
                        <w:color w:val="7F7F7F"/>
                        <w:sz w:val="24"/>
                        <w:szCs w:val="20"/>
                      </w:rPr>
                      <w:t>s</w:t>
                    </w:r>
                    <w:r w:rsidRPr="00860EC7">
                      <w:rPr>
                        <w:color w:val="7F7F7F"/>
                        <w:sz w:val="24"/>
                        <w:szCs w:val="20"/>
                      </w:rPr>
                      <w:t xml:space="preserve"> 2</w:t>
                    </w:r>
                    <w:r>
                      <w:rPr>
                        <w:color w:val="7F7F7F"/>
                        <w:sz w:val="24"/>
                        <w:szCs w:val="20"/>
                      </w:rPr>
                      <w:t xml:space="preserve"> -5</w:t>
                    </w:r>
                    <w:r w:rsidRPr="00860EC7">
                      <w:rPr>
                        <w:color w:val="7F7F7F"/>
                        <w:sz w:val="24"/>
                        <w:szCs w:val="20"/>
                      </w:rPr>
                      <w:t xml:space="preserve"> provide a detailed situational analysis and review the political, economic, social, and environmental situation in the country, and identif</w:t>
                    </w:r>
                    <w:r>
                      <w:rPr>
                        <w:color w:val="7F7F7F"/>
                        <w:sz w:val="24"/>
                        <w:szCs w:val="20"/>
                      </w:rPr>
                      <w:t>y the key issues to be addressed</w:t>
                    </w:r>
                    <w:r w:rsidRPr="00860EC7">
                      <w:rPr>
                        <w:color w:val="7F7F7F"/>
                        <w:sz w:val="24"/>
                        <w:szCs w:val="20"/>
                      </w:rPr>
                      <w:t xml:space="preserve">. </w:t>
                    </w:r>
                    <w:r>
                      <w:rPr>
                        <w:color w:val="7F7F7F"/>
                        <w:sz w:val="24"/>
                        <w:szCs w:val="20"/>
                      </w:rPr>
                      <w:t>In</w:t>
                    </w:r>
                    <w:r w:rsidRPr="00860EC7">
                      <w:rPr>
                        <w:color w:val="7F7F7F"/>
                        <w:sz w:val="24"/>
                        <w:szCs w:val="20"/>
                      </w:rPr>
                      <w:t xml:space="preserve"> Chapter</w:t>
                    </w:r>
                    <w:r>
                      <w:rPr>
                        <w:color w:val="7F7F7F"/>
                        <w:sz w:val="24"/>
                        <w:szCs w:val="20"/>
                      </w:rPr>
                      <w:t xml:space="preserve"> 6some of the main</w:t>
                    </w:r>
                    <w:r w:rsidRPr="00860EC7">
                      <w:rPr>
                        <w:color w:val="7F7F7F"/>
                        <w:sz w:val="24"/>
                        <w:szCs w:val="20"/>
                      </w:rPr>
                      <w:t xml:space="preserve"> findings of the Integrated Household Survey</w:t>
                    </w:r>
                    <w:r>
                      <w:rPr>
                        <w:color w:val="7F7F7F"/>
                        <w:sz w:val="24"/>
                        <w:szCs w:val="20"/>
                      </w:rPr>
                      <w:t xml:space="preserve"> (IHS), </w:t>
                    </w:r>
                    <w:r w:rsidRPr="00860EC7">
                      <w:rPr>
                        <w:color w:val="7F7F7F"/>
                        <w:sz w:val="24"/>
                        <w:szCs w:val="20"/>
                      </w:rPr>
                      <w:t>(2015/16)</w:t>
                    </w:r>
                    <w:r>
                      <w:rPr>
                        <w:color w:val="7F7F7F"/>
                        <w:sz w:val="24"/>
                        <w:szCs w:val="20"/>
                      </w:rPr>
                      <w:t>,Demographic Health Survey (DHS), and the 2013 Censusare presented and</w:t>
                    </w:r>
                    <w:r w:rsidRPr="00860EC7">
                      <w:rPr>
                        <w:color w:val="7F7F7F"/>
                        <w:sz w:val="24"/>
                        <w:szCs w:val="20"/>
                      </w:rPr>
                      <w:t xml:space="preserve"> their policy implications</w:t>
                    </w:r>
                    <w:r>
                      <w:rPr>
                        <w:color w:val="7F7F7F"/>
                        <w:sz w:val="24"/>
                        <w:szCs w:val="20"/>
                      </w:rPr>
                      <w:t xml:space="preserve"> analyzed</w:t>
                    </w:r>
                    <w:r w:rsidRPr="00860EC7">
                      <w:rPr>
                        <w:color w:val="7F7F7F"/>
                        <w:sz w:val="24"/>
                        <w:szCs w:val="20"/>
                      </w:rPr>
                      <w:t xml:space="preserve">. </w:t>
                    </w:r>
                  </w:p>
                  <w:p w:rsidR="00FD4AC6" w:rsidRPr="00860EC7" w:rsidRDefault="00FD4AC6" w:rsidP="00C65598">
                    <w:pPr>
                      <w:jc w:val="both"/>
                      <w:rPr>
                        <w:color w:val="7F7F7F"/>
                        <w:sz w:val="24"/>
                        <w:szCs w:val="20"/>
                      </w:rPr>
                    </w:pPr>
                    <w:r w:rsidRPr="00860EC7">
                      <w:rPr>
                        <w:color w:val="7F7F7F"/>
                        <w:sz w:val="24"/>
                        <w:szCs w:val="20"/>
                      </w:rPr>
                      <w:t xml:space="preserve">Part I thus, lays the foundations of the plan – i.e. the </w:t>
                    </w:r>
                    <w:r>
                      <w:rPr>
                        <w:color w:val="7F7F7F"/>
                        <w:sz w:val="24"/>
                        <w:szCs w:val="20"/>
                      </w:rPr>
                      <w:t xml:space="preserve">strategic </w:t>
                    </w:r>
                    <w:r w:rsidRPr="00860EC7">
                      <w:rPr>
                        <w:color w:val="7F7F7F"/>
                        <w:sz w:val="24"/>
                        <w:szCs w:val="20"/>
                      </w:rPr>
                      <w:t>priorities, outcomes and interventions proposed in Part II, which treats the plan itself.</w:t>
                    </w:r>
                  </w:p>
                  <w:p w:rsidR="00FD4AC6" w:rsidRPr="00860EC7" w:rsidRDefault="00FD4AC6" w:rsidP="00C65598">
                    <w:pPr>
                      <w:jc w:val="both"/>
                      <w:rPr>
                        <w:color w:val="7F7F7F"/>
                        <w:sz w:val="28"/>
                        <w:szCs w:val="20"/>
                      </w:rPr>
                    </w:pPr>
                  </w:p>
                </w:txbxContent>
              </v:textbox>
            </v:shape>
            <w10:wrap type="square" anchorx="page" anchory="page"/>
          </v:group>
        </w:pict>
      </w:r>
    </w:p>
    <w:p w:rsidR="00C65598" w:rsidRPr="00B06331" w:rsidRDefault="00C65598" w:rsidP="00C65598">
      <w:pPr>
        <w:rPr>
          <w:rFonts w:ascii="Avenir Book" w:hAnsi="Avenir Book"/>
          <w:b/>
          <w:sz w:val="24"/>
          <w:szCs w:val="24"/>
        </w:rPr>
      </w:pPr>
    </w:p>
    <w:p w:rsidR="00C65598" w:rsidRPr="00B06331" w:rsidRDefault="00C65598" w:rsidP="00C65598">
      <w:pPr>
        <w:rPr>
          <w:rFonts w:ascii="Avenir Book" w:hAnsi="Avenir Book"/>
          <w:b/>
          <w:sz w:val="24"/>
          <w:szCs w:val="24"/>
        </w:rPr>
        <w:sectPr w:rsidR="00C65598" w:rsidRPr="00B06331" w:rsidSect="00054460">
          <w:pgSz w:w="12240" w:h="15840"/>
          <w:pgMar w:top="1440" w:right="1440" w:bottom="1440" w:left="1440" w:header="720" w:footer="720" w:gutter="0"/>
          <w:cols w:space="720"/>
          <w:docGrid w:linePitch="360"/>
        </w:sectPr>
      </w:pPr>
    </w:p>
    <w:p w:rsidR="00C65598" w:rsidRPr="00B06331" w:rsidRDefault="00C65598" w:rsidP="00C65598">
      <w:pPr>
        <w:pStyle w:val="Heading1"/>
        <w:jc w:val="center"/>
        <w:rPr>
          <w:b/>
          <w:sz w:val="22"/>
          <w:szCs w:val="22"/>
        </w:rPr>
      </w:pPr>
      <w:bookmarkStart w:id="10" w:name="_Toc488689291"/>
      <w:bookmarkStart w:id="11" w:name="_Toc492364719"/>
      <w:r w:rsidRPr="00B06331">
        <w:rPr>
          <w:b/>
          <w:sz w:val="22"/>
          <w:szCs w:val="22"/>
        </w:rPr>
        <w:lastRenderedPageBreak/>
        <w:t>Chapter 1: Plan Context and Overview</w:t>
      </w:r>
      <w:bookmarkEnd w:id="10"/>
      <w:bookmarkEnd w:id="11"/>
    </w:p>
    <w:p w:rsidR="00C65598" w:rsidRPr="00B06331" w:rsidRDefault="00C65598" w:rsidP="00C65598">
      <w:pPr>
        <w:pStyle w:val="Heading2"/>
        <w:rPr>
          <w:rFonts w:ascii="Calibri" w:hAnsi="Calibri" w:cs="Calibri"/>
          <w:sz w:val="22"/>
          <w:szCs w:val="22"/>
        </w:rPr>
      </w:pPr>
      <w:bookmarkStart w:id="12" w:name="_Toc488689292"/>
      <w:bookmarkStart w:id="13" w:name="_Toc492364720"/>
      <w:r w:rsidRPr="00B06331">
        <w:rPr>
          <w:rFonts w:ascii="Calibri" w:hAnsi="Calibri" w:cs="Calibri"/>
          <w:sz w:val="22"/>
          <w:szCs w:val="22"/>
        </w:rPr>
        <w:t>1.1 The Context</w:t>
      </w:r>
      <w:bookmarkEnd w:id="12"/>
      <w:bookmarkEnd w:id="13"/>
    </w:p>
    <w:p w:rsidR="00C65598" w:rsidRPr="00B06331" w:rsidRDefault="00C65598" w:rsidP="00C65598">
      <w:pPr>
        <w:jc w:val="both"/>
        <w:rPr>
          <w:rFonts w:ascii="Avenir Book" w:hAnsi="Avenir Book"/>
        </w:rPr>
      </w:pPr>
      <w:r w:rsidRPr="00B06331">
        <w:rPr>
          <w:rFonts w:ascii="Avenir Book" w:hAnsi="Avenir Book"/>
        </w:rPr>
        <w:t xml:space="preserve">The National Development Plan of The Gambia (2018-2021) presented in this document has been elaborated and will be implemented in aunique context shaped by a combination of endogenous and exogenous factors. The endogenous factors are the recent political developments in the country and internal economic and social challenges stemming from decades of bad governance. Exogenous factors include the global environment and regional and international frameworks the country has committed itself to implement (i.e. the African Union Agenda 2063, Istanbul Plan of </w:t>
      </w:r>
      <w:r w:rsidR="005E4B12" w:rsidRPr="00B06331">
        <w:rPr>
          <w:rFonts w:ascii="Avenir Book" w:hAnsi="Avenir Book"/>
        </w:rPr>
        <w:t>Action,</w:t>
      </w:r>
      <w:r w:rsidRPr="00B06331">
        <w:rPr>
          <w:rFonts w:ascii="Avenir Book" w:hAnsi="Avenir Book"/>
        </w:rPr>
        <w:t xml:space="preserve"> and the Sustainable Development Goals (SDGs)). These factors briefly highlighted below, as well as lessons derived from implementing the PAGE,underpin, and inform the priorities of Government over the plan period (2018-2021). </w:t>
      </w:r>
    </w:p>
    <w:p w:rsidR="00C65598" w:rsidRPr="00B06331" w:rsidRDefault="00C65598" w:rsidP="00C65598">
      <w:pPr>
        <w:jc w:val="both"/>
        <w:rPr>
          <w:rFonts w:ascii="Avenir Book" w:hAnsi="Avenir Book"/>
          <w:b/>
        </w:rPr>
      </w:pPr>
      <w:r w:rsidRPr="00B06331">
        <w:rPr>
          <w:rFonts w:ascii="Avenir Book" w:hAnsi="Avenir Book"/>
          <w:b/>
        </w:rPr>
        <w:t>Endogenous Factors</w:t>
      </w:r>
    </w:p>
    <w:p w:rsidR="00C65598" w:rsidRPr="00B06331" w:rsidRDefault="00C65598" w:rsidP="00C65598">
      <w:pPr>
        <w:jc w:val="both"/>
        <w:rPr>
          <w:rFonts w:ascii="Avenir Book" w:hAnsi="Avenir Book"/>
          <w:i/>
        </w:rPr>
      </w:pPr>
      <w:r w:rsidRPr="00B06331">
        <w:rPr>
          <w:rFonts w:ascii="Avenir Book" w:hAnsi="Avenir Book"/>
          <w:i/>
        </w:rPr>
        <w:t>Political Developments</w:t>
      </w:r>
    </w:p>
    <w:p w:rsidR="00C65598" w:rsidRPr="00B06331" w:rsidRDefault="00C65598" w:rsidP="00C65598">
      <w:pPr>
        <w:jc w:val="both"/>
        <w:rPr>
          <w:rFonts w:ascii="Avenir Book" w:hAnsi="Avenir Book"/>
        </w:rPr>
      </w:pPr>
      <w:r w:rsidRPr="00B06331">
        <w:rPr>
          <w:rFonts w:ascii="Avenir Book" w:hAnsi="Avenir Book"/>
        </w:rPr>
        <w:t>Following the historic election victory of the Coalition of nine (9) political parties on 2</w:t>
      </w:r>
      <w:r w:rsidRPr="00B06331">
        <w:rPr>
          <w:rFonts w:ascii="Avenir Book" w:hAnsi="Avenir Book"/>
          <w:vertAlign w:val="superscript"/>
        </w:rPr>
        <w:t>nd</w:t>
      </w:r>
      <w:r w:rsidRPr="00B06331">
        <w:rPr>
          <w:rFonts w:ascii="Avenir Book" w:hAnsi="Avenir Book"/>
        </w:rPr>
        <w:t xml:space="preserve"> December 2016 and a protracted standoff peacefully resolved through the intervention of ECOWAS, a new Government was installed in The Gambia, ending 22 years of dictatorship, and marking the movement towards the 3</w:t>
      </w:r>
      <w:r w:rsidRPr="00B06331">
        <w:rPr>
          <w:rFonts w:ascii="Avenir Book" w:hAnsi="Avenir Book"/>
          <w:vertAlign w:val="superscript"/>
        </w:rPr>
        <w:t>rd</w:t>
      </w:r>
      <w:r w:rsidRPr="00B06331">
        <w:rPr>
          <w:rFonts w:ascii="Avenir Book" w:hAnsi="Avenir Book"/>
        </w:rPr>
        <w:t xml:space="preserve"> Republic in the country’s political history and evolution since independence in 1965. In addition, the National Assembly elections held subsequently in April 2017 saw a radical shift in the balance of power with the former ruling party holding on to only 5 out of the 53 seats in the Assembly. Similar changes have occurred with the ongoing professionalization of thepublic-sectorinstitutions as well as the Judiciary.  </w:t>
      </w:r>
    </w:p>
    <w:p w:rsidR="00C65598" w:rsidRPr="00B06331" w:rsidRDefault="00C65598" w:rsidP="00C65598">
      <w:pPr>
        <w:jc w:val="both"/>
        <w:rPr>
          <w:rFonts w:ascii="Avenir Book" w:hAnsi="Avenir Book"/>
        </w:rPr>
      </w:pPr>
      <w:r w:rsidRPr="00B06331">
        <w:rPr>
          <w:rFonts w:ascii="Avenir Book" w:hAnsi="Avenir Book"/>
        </w:rPr>
        <w:t xml:space="preserve">However, thehistoric change that ushered in a new democratic dispensation with the promise of expanded freedoms, security and safety for citizens also underscoresthe urgent need for vigorous action to tackle the country’s myriad of political, social, and economic problems. The systematic breakdown of the country’s laws and institutions, the crisis in the economy, the need for national reconciliation to heal the wounds and divisions arising from decades of a brutal dictatorship, the rising frustration of all segments of society, but particularly so with the youth, all require immediate attention on the part of the new Government. </w:t>
      </w:r>
    </w:p>
    <w:p w:rsidR="00C65598" w:rsidRPr="00B06331" w:rsidRDefault="00C65598" w:rsidP="00C65598">
      <w:pPr>
        <w:jc w:val="both"/>
        <w:rPr>
          <w:rFonts w:ascii="Avenir Book" w:hAnsi="Avenir Book"/>
          <w:i/>
        </w:rPr>
      </w:pPr>
      <w:r w:rsidRPr="00B06331">
        <w:rPr>
          <w:rFonts w:ascii="Avenir Book" w:hAnsi="Avenir Book"/>
          <w:i/>
        </w:rPr>
        <w:t>Internal Economic and Social Factors</w:t>
      </w:r>
    </w:p>
    <w:p w:rsidR="00C65598" w:rsidRPr="00B06331" w:rsidRDefault="00C65598" w:rsidP="00C65598">
      <w:pPr>
        <w:jc w:val="both"/>
        <w:rPr>
          <w:rFonts w:ascii="Avenir Book" w:hAnsi="Avenir Book"/>
        </w:rPr>
      </w:pPr>
      <w:r w:rsidRPr="00B06331">
        <w:rPr>
          <w:rFonts w:ascii="Avenir Book" w:hAnsi="Avenir Book"/>
        </w:rPr>
        <w:t>Notwithstanding the promise of a more positive future, the new governmenthas inherited a dire economic and social situation and faces a daunting task of rebuilding a virtually destroyed economy:</w:t>
      </w:r>
    </w:p>
    <w:p w:rsidR="00C65598" w:rsidRPr="00B06331" w:rsidRDefault="00C65598" w:rsidP="00BA5F5B">
      <w:pPr>
        <w:pStyle w:val="ListParagraph"/>
        <w:numPr>
          <w:ilvl w:val="0"/>
          <w:numId w:val="106"/>
        </w:numPr>
        <w:jc w:val="both"/>
        <w:rPr>
          <w:rFonts w:ascii="Avenir Book" w:hAnsi="Avenir Book"/>
        </w:rPr>
      </w:pPr>
      <w:r w:rsidRPr="00B06331">
        <w:rPr>
          <w:rFonts w:ascii="Avenir Book" w:hAnsi="Avenir Book"/>
        </w:rPr>
        <w:t xml:space="preserve">An urgent balance of payments need arising from several shocks: a poor 2016/17 agricultural season which reduced the groundnut crop by 50%; a severe contraction of tourism receipts during the traditional high season, triggered by the political impasse of December 2016/January 2017 following the Presidential elections; and volatile oil and commodity prices are examples of </w:t>
      </w:r>
      <w:r w:rsidR="005E4B12" w:rsidRPr="00B06331">
        <w:rPr>
          <w:rFonts w:ascii="Avenir Book" w:hAnsi="Avenir Book"/>
        </w:rPr>
        <w:lastRenderedPageBreak/>
        <w:t xml:space="preserve">these shocks. </w:t>
      </w:r>
      <w:r w:rsidRPr="00B06331">
        <w:rPr>
          <w:rFonts w:ascii="Avenir Book" w:hAnsi="Avenir Book"/>
        </w:rPr>
        <w:t>Estimates by IMF put the combined losses from these shocks at $31 million or 3% of GDP. Furthermore, gross international reserves declined to $60 million or 1.6 months import cover (2016).</w:t>
      </w:r>
    </w:p>
    <w:p w:rsidR="00C65598" w:rsidRPr="00B06331" w:rsidRDefault="00C65598" w:rsidP="00BA5F5B">
      <w:pPr>
        <w:pStyle w:val="ListParagraph"/>
        <w:numPr>
          <w:ilvl w:val="0"/>
          <w:numId w:val="106"/>
        </w:numPr>
        <w:jc w:val="both"/>
        <w:rPr>
          <w:rFonts w:ascii="Avenir Book" w:hAnsi="Avenir Book"/>
        </w:rPr>
      </w:pPr>
      <w:r w:rsidRPr="00B06331">
        <w:rPr>
          <w:rFonts w:ascii="Avenir Book" w:hAnsi="Avenir Book"/>
        </w:rPr>
        <w:t>Economic mismanagement and massive theft by the previous regime has resulted in further fiscal shocks. Theft from State Owned Enterprises (SOEs) has been estimated at 4% GDP per year since mid-2014.</w:t>
      </w:r>
    </w:p>
    <w:p w:rsidR="00C65598" w:rsidRPr="00B06331" w:rsidRDefault="00C65598" w:rsidP="00BA5F5B">
      <w:pPr>
        <w:pStyle w:val="ListParagraph"/>
        <w:numPr>
          <w:ilvl w:val="0"/>
          <w:numId w:val="106"/>
        </w:numPr>
        <w:jc w:val="both"/>
        <w:rPr>
          <w:rFonts w:ascii="Avenir Book" w:hAnsi="Avenir Book"/>
        </w:rPr>
      </w:pPr>
      <w:r w:rsidRPr="00B06331">
        <w:rPr>
          <w:rFonts w:ascii="Avenir Book" w:hAnsi="Avenir Book"/>
        </w:rPr>
        <w:t xml:space="preserve">An elevated public debt with Debt Sustainability Analysis (DSA) indicating that the country is in external debt distress with an unsustainable public debt which, stands at $480 million or 120% of GDP. Because of high debt to GDP ratio, in particular, domestic debt, debt servicing eats up a huge chunk of government revenues (42%), which together with recurrent costs, leavesvery limited fiscal space (10%) for financing </w:t>
      </w:r>
      <w:r w:rsidR="00E5443A" w:rsidRPr="00B06331">
        <w:rPr>
          <w:rFonts w:ascii="Avenir Book" w:hAnsi="Avenir Book"/>
        </w:rPr>
        <w:t xml:space="preserve">critical </w:t>
      </w:r>
      <w:r w:rsidR="005E4B12" w:rsidRPr="00B06331">
        <w:rPr>
          <w:rFonts w:ascii="Avenir Book" w:hAnsi="Avenir Book"/>
        </w:rPr>
        <w:t xml:space="preserve">infrastructure and human capital </w:t>
      </w:r>
      <w:r w:rsidRPr="00B06331">
        <w:rPr>
          <w:rFonts w:ascii="Avenir Book" w:hAnsi="Avenir Book"/>
        </w:rPr>
        <w:t>development</w:t>
      </w:r>
      <w:r w:rsidR="005E4B12" w:rsidRPr="00B06331">
        <w:rPr>
          <w:rFonts w:ascii="Avenir Book" w:hAnsi="Avenir Book"/>
        </w:rPr>
        <w:t xml:space="preserve"> needs</w:t>
      </w:r>
      <w:r w:rsidRPr="00B06331">
        <w:rPr>
          <w:rFonts w:ascii="Avenir Book" w:hAnsi="Avenir Book"/>
        </w:rPr>
        <w:t xml:space="preserve">. </w:t>
      </w:r>
    </w:p>
    <w:p w:rsidR="00C65598" w:rsidRPr="00B06331" w:rsidRDefault="00C65598" w:rsidP="00C65598">
      <w:pPr>
        <w:jc w:val="both"/>
        <w:rPr>
          <w:rFonts w:ascii="Avenir Book" w:hAnsi="Avenir Book"/>
        </w:rPr>
      </w:pPr>
      <w:r w:rsidRPr="00B06331">
        <w:rPr>
          <w:rFonts w:ascii="Avenir Book" w:hAnsi="Avenir Book"/>
        </w:rPr>
        <w:t xml:space="preserve">At the household level, the recently released Integrated Household Survey of The Gambia (2015/16) shows that poverty has remained flat in the last decade (48.4% in 2010 and 48.65 in 2015) with the 3% GDP growth barely keeping up with population growth. The number of poor Gambians has risen by over 150,000 in the period. There is a rising rural poverty and a growing gap between rural and urban Gambia illustrated by the fact that while the proportion of the households living below the poverty line is 31.6% in </w:t>
      </w:r>
      <w:r w:rsidR="005E4B12" w:rsidRPr="00B06331">
        <w:rPr>
          <w:rFonts w:ascii="Avenir Book" w:hAnsi="Avenir Book"/>
        </w:rPr>
        <w:t>u</w:t>
      </w:r>
      <w:r w:rsidRPr="00B06331">
        <w:rPr>
          <w:rFonts w:ascii="Avenir Book" w:hAnsi="Avenir Book"/>
        </w:rPr>
        <w:t xml:space="preserve">rban areas, the proportion rises to 69.5% for rural Gambia. Although the rural areas account for45% of the country’s population, they hold 60% of the country’s poor. Key indicators related to access to health and education, basic services, all show this East-West divide. The new Government needs to act decisively to close this growing gap between the predominantly urban </w:t>
      </w:r>
      <w:r w:rsidR="005E4B12" w:rsidRPr="00B06331">
        <w:rPr>
          <w:rFonts w:ascii="Avenir Book" w:hAnsi="Avenir Book"/>
        </w:rPr>
        <w:t>w</w:t>
      </w:r>
      <w:r w:rsidRPr="00B06331">
        <w:rPr>
          <w:rFonts w:ascii="Avenir Book" w:hAnsi="Avenir Book"/>
        </w:rPr>
        <w:t xml:space="preserve">estern part of the country, and the rural poor predominantly found in the </w:t>
      </w:r>
      <w:r w:rsidR="005E4B12" w:rsidRPr="00B06331">
        <w:rPr>
          <w:rFonts w:ascii="Avenir Book" w:hAnsi="Avenir Book"/>
        </w:rPr>
        <w:t>e</w:t>
      </w:r>
      <w:r w:rsidRPr="00B06331">
        <w:rPr>
          <w:rFonts w:ascii="Avenir Book" w:hAnsi="Avenir Book"/>
        </w:rPr>
        <w:t xml:space="preserve">ast of the country.  </w:t>
      </w:r>
    </w:p>
    <w:p w:rsidR="00C65598" w:rsidRPr="00B06331" w:rsidRDefault="00C65598" w:rsidP="00C65598">
      <w:pPr>
        <w:jc w:val="both"/>
        <w:rPr>
          <w:rFonts w:ascii="Avenir Book" w:hAnsi="Avenir Book"/>
        </w:rPr>
      </w:pPr>
      <w:r w:rsidRPr="00B06331">
        <w:rPr>
          <w:rFonts w:ascii="Avenir Book" w:hAnsi="Avenir Book"/>
        </w:rPr>
        <w:t xml:space="preserve">However, there are positive factors; the new government is committed to serious economic reforms and the historic transition to democracy </w:t>
      </w:r>
      <w:r w:rsidR="005E4B12" w:rsidRPr="00B06331">
        <w:rPr>
          <w:rFonts w:ascii="Avenir Book" w:hAnsi="Avenir Book"/>
        </w:rPr>
        <w:t>opens</w:t>
      </w:r>
      <w:r w:rsidRPr="00B06331">
        <w:rPr>
          <w:rFonts w:ascii="Avenir Book" w:hAnsi="Avenir Book"/>
        </w:rPr>
        <w:t xml:space="preserve"> many possibilities, and could spur growth and assist the country restore economic stability.  Already there has been a significant reduction in government domestic borrowing which has brought down the prime interest rate; from 23% before the elections in December 2016, to 15% in June 2017.</w:t>
      </w:r>
    </w:p>
    <w:p w:rsidR="00C65598" w:rsidRPr="00B06331" w:rsidRDefault="00C65598" w:rsidP="00C65598">
      <w:pPr>
        <w:jc w:val="both"/>
        <w:rPr>
          <w:rFonts w:ascii="Avenir Book" w:hAnsi="Avenir Book"/>
          <w:b/>
        </w:rPr>
      </w:pPr>
      <w:r w:rsidRPr="00B06331">
        <w:rPr>
          <w:rFonts w:ascii="Avenir Book" w:hAnsi="Avenir Book"/>
          <w:b/>
        </w:rPr>
        <w:t>Exogenous Factors</w:t>
      </w:r>
    </w:p>
    <w:p w:rsidR="00C65598" w:rsidRPr="00B06331" w:rsidRDefault="00C65598" w:rsidP="00C65598">
      <w:pPr>
        <w:jc w:val="both"/>
        <w:rPr>
          <w:rFonts w:ascii="Avenir Book" w:hAnsi="Avenir Book"/>
          <w:i/>
        </w:rPr>
      </w:pPr>
      <w:r w:rsidRPr="00B06331">
        <w:rPr>
          <w:rFonts w:ascii="Avenir Book" w:hAnsi="Avenir Book"/>
          <w:i/>
        </w:rPr>
        <w:t>The Global Environment</w:t>
      </w:r>
    </w:p>
    <w:p w:rsidR="00C65598" w:rsidRPr="00B06331" w:rsidRDefault="00C65598" w:rsidP="00C65598">
      <w:pPr>
        <w:jc w:val="both"/>
        <w:rPr>
          <w:rFonts w:ascii="Avenir Book" w:hAnsi="Avenir Book"/>
        </w:rPr>
      </w:pPr>
      <w:r w:rsidRPr="00B06331">
        <w:rPr>
          <w:rFonts w:ascii="Avenir Book" w:hAnsi="Avenir Book"/>
        </w:rPr>
        <w:t>The global environment currently presents many challenges from a political, economic and security standpoint. Politically, there is increased fragmentation and uncertainty with regards to international cooperation and solidarity that threaten some of the key gains realized in combating global problems and building global public goods. The setback with respect to the Paris Accord on Climate Change</w:t>
      </w:r>
      <w:r w:rsidR="005E4B12" w:rsidRPr="00B06331">
        <w:rPr>
          <w:rFonts w:ascii="Avenir Book" w:hAnsi="Avenir Book"/>
        </w:rPr>
        <w:t xml:space="preserve">, triggered by the withdrawal of the USA from it, </w:t>
      </w:r>
      <w:r w:rsidRPr="00B06331">
        <w:rPr>
          <w:rFonts w:ascii="Avenir Book" w:hAnsi="Avenir Book"/>
        </w:rPr>
        <w:t>is a case in point. The global economy has shown signs of recovery with the IMF forecasting growth of 3.4%. However, the underlying weaknesses in the global economy persists with weak growth forecast for the key economies that are drivers of global economic growth, as well as weak recovery of the price of commodities and other dampening factors. Finally, rising security threats both at global and regional levels create further uncertainties.</w:t>
      </w:r>
    </w:p>
    <w:p w:rsidR="00C65598" w:rsidRPr="00B06331" w:rsidRDefault="00C65598" w:rsidP="00C65598">
      <w:pPr>
        <w:jc w:val="both"/>
        <w:rPr>
          <w:rFonts w:ascii="Avenir Book" w:hAnsi="Avenir Book"/>
          <w:i/>
        </w:rPr>
      </w:pPr>
      <w:r w:rsidRPr="00B06331">
        <w:rPr>
          <w:rFonts w:ascii="Avenir Book" w:hAnsi="Avenir Book"/>
          <w:i/>
        </w:rPr>
        <w:lastRenderedPageBreak/>
        <w:t>Regional and International Commitments</w:t>
      </w:r>
    </w:p>
    <w:p w:rsidR="00C65598" w:rsidRPr="00B06331" w:rsidRDefault="00C65598" w:rsidP="00C65598">
      <w:pPr>
        <w:jc w:val="both"/>
        <w:rPr>
          <w:rFonts w:ascii="Avenir Book" w:hAnsi="Avenir Book"/>
        </w:rPr>
      </w:pPr>
      <w:r w:rsidRPr="00B06331">
        <w:rPr>
          <w:rFonts w:ascii="Avenir Book" w:hAnsi="Avenir Book"/>
        </w:rPr>
        <w:t>While, the strategic thrust of Gambia’s National Development Plan (NDP) is primarily driven by the need to respond to challenges the country is facing following years of dictatorship and the transition to democracy, the plan also seeks to accommodate regional and the international commitments, which the government seeks to domesticate and implement.At regional level, African countries in January 2015 adopted Agenda 2063 and in July of the same year adopted its First Ten Year Implementation Plan. Since then, with the assistance of the African Union Commission, many countries have embarked on a process of internal domestication, which seeks to embed the Agenda’s aspirations, goals, priorities, and targets into national development plans. The Gambia demonstrated its commitment when it requested a technical assistance mission in early 2016</w:t>
      </w:r>
      <w:r w:rsidR="005E4B12" w:rsidRPr="00B06331">
        <w:rPr>
          <w:rFonts w:ascii="Avenir Book" w:hAnsi="Avenir Book"/>
        </w:rPr>
        <w:t>to</w:t>
      </w:r>
      <w:r w:rsidRPr="00B06331">
        <w:rPr>
          <w:rFonts w:ascii="Avenir Book" w:hAnsi="Avenir Book"/>
        </w:rPr>
        <w:t xml:space="preserve"> domesticate this important agenda.</w:t>
      </w:r>
    </w:p>
    <w:tbl>
      <w:tblPr>
        <w:tblpPr w:leftFromText="180" w:rightFromText="180" w:vertAnchor="text" w:horzAnchor="margin" w:tblpXSpec="right" w:tblpY="131"/>
        <w:tblOverlap w:val="never"/>
        <w:tblW w:w="0" w:type="auto"/>
        <w:tblLook w:val="04A0"/>
      </w:tblPr>
      <w:tblGrid>
        <w:gridCol w:w="5499"/>
      </w:tblGrid>
      <w:tr w:rsidR="00C65598" w:rsidRPr="00B06331" w:rsidTr="00054460">
        <w:tc>
          <w:tcPr>
            <w:tcW w:w="5499" w:type="dxa"/>
            <w:shd w:val="clear" w:color="auto" w:fill="000000"/>
          </w:tcPr>
          <w:p w:rsidR="00C65598" w:rsidRPr="00B06331" w:rsidRDefault="00C65598" w:rsidP="00054460">
            <w:pPr>
              <w:jc w:val="center"/>
              <w:rPr>
                <w:rFonts w:ascii="Avenir Book" w:hAnsi="Avenir Book"/>
                <w:b/>
                <w:sz w:val="20"/>
                <w:szCs w:val="24"/>
              </w:rPr>
            </w:pPr>
            <w:r w:rsidRPr="00B06331">
              <w:rPr>
                <w:rFonts w:ascii="Avenir Book" w:hAnsi="Avenir Book"/>
                <w:b/>
                <w:sz w:val="20"/>
                <w:szCs w:val="24"/>
              </w:rPr>
              <w:t>Box 1: The Gambia: Fragilities</w:t>
            </w:r>
          </w:p>
        </w:tc>
      </w:tr>
      <w:tr w:rsidR="00C65598" w:rsidRPr="00B06331" w:rsidTr="00054460">
        <w:tc>
          <w:tcPr>
            <w:tcW w:w="5499" w:type="dxa"/>
          </w:tcPr>
          <w:p w:rsidR="00C65598" w:rsidRPr="00B06331" w:rsidRDefault="00C65598" w:rsidP="00BA5F5B">
            <w:pPr>
              <w:pStyle w:val="ListParagraph"/>
              <w:numPr>
                <w:ilvl w:val="0"/>
                <w:numId w:val="107"/>
              </w:numPr>
              <w:spacing w:after="0"/>
              <w:jc w:val="both"/>
              <w:rPr>
                <w:rFonts w:ascii="Avenir Book" w:hAnsi="Avenir Book"/>
                <w:color w:val="4F81BD"/>
                <w:sz w:val="20"/>
                <w:szCs w:val="24"/>
              </w:rPr>
            </w:pPr>
            <w:r w:rsidRPr="00B06331">
              <w:rPr>
                <w:rFonts w:ascii="Avenir Book" w:hAnsi="Avenir Book"/>
                <w:color w:val="4F81BD"/>
                <w:sz w:val="20"/>
                <w:szCs w:val="24"/>
              </w:rPr>
              <w:t>A deterioration in governance with the country’s ranking in the Mo Ibrahim index declining from 19th to 35th of 54 African countries between 2009 and 2016 (WB 2017)</w:t>
            </w:r>
          </w:p>
          <w:p w:rsidR="00C65598" w:rsidRPr="00B06331" w:rsidRDefault="00C65598" w:rsidP="00BA5F5B">
            <w:pPr>
              <w:pStyle w:val="ListParagraph"/>
              <w:numPr>
                <w:ilvl w:val="0"/>
                <w:numId w:val="107"/>
              </w:numPr>
              <w:spacing w:after="0"/>
              <w:jc w:val="both"/>
              <w:rPr>
                <w:rFonts w:ascii="Avenir Book" w:hAnsi="Avenir Book"/>
                <w:color w:val="4F81BD"/>
                <w:sz w:val="20"/>
                <w:szCs w:val="24"/>
              </w:rPr>
            </w:pPr>
            <w:r w:rsidRPr="00B06331">
              <w:rPr>
                <w:rFonts w:ascii="Avenir Book" w:hAnsi="Avenir Book"/>
                <w:color w:val="4F81BD"/>
                <w:sz w:val="20"/>
                <w:szCs w:val="24"/>
              </w:rPr>
              <w:t>A historic transition to democracy ending 22 years of dictatorship but with lingering tensions</w:t>
            </w:r>
          </w:p>
          <w:p w:rsidR="00C65598" w:rsidRPr="00B06331" w:rsidRDefault="00C65598" w:rsidP="00BA5F5B">
            <w:pPr>
              <w:pStyle w:val="ListParagraph"/>
              <w:numPr>
                <w:ilvl w:val="0"/>
                <w:numId w:val="107"/>
              </w:numPr>
              <w:spacing w:after="0"/>
              <w:jc w:val="both"/>
              <w:rPr>
                <w:rFonts w:ascii="Avenir Book" w:hAnsi="Avenir Book"/>
                <w:color w:val="4F81BD"/>
                <w:sz w:val="20"/>
                <w:szCs w:val="24"/>
              </w:rPr>
            </w:pPr>
            <w:r w:rsidRPr="00B06331">
              <w:rPr>
                <w:rFonts w:ascii="Avenir Book" w:hAnsi="Avenir Book"/>
                <w:color w:val="4F81BD"/>
                <w:sz w:val="20"/>
                <w:szCs w:val="24"/>
              </w:rPr>
              <w:t>An economy highly susceptible to weather-related shocks, fiscal slippages and worsened by a history of executive mismanagement and weak institutions</w:t>
            </w:r>
          </w:p>
          <w:p w:rsidR="00C65598" w:rsidRPr="00B06331" w:rsidRDefault="00C65598" w:rsidP="00BA5F5B">
            <w:pPr>
              <w:pStyle w:val="ListParagraph"/>
              <w:numPr>
                <w:ilvl w:val="0"/>
                <w:numId w:val="107"/>
              </w:numPr>
              <w:spacing w:after="0"/>
              <w:jc w:val="both"/>
              <w:rPr>
                <w:rFonts w:ascii="Avenir Book" w:hAnsi="Avenir Book"/>
                <w:color w:val="4F81BD"/>
                <w:sz w:val="20"/>
                <w:szCs w:val="24"/>
              </w:rPr>
            </w:pPr>
            <w:r w:rsidRPr="00B06331">
              <w:rPr>
                <w:rFonts w:ascii="Avenir Book" w:hAnsi="Avenir Book"/>
                <w:color w:val="4F81BD"/>
                <w:sz w:val="20"/>
                <w:szCs w:val="24"/>
              </w:rPr>
              <w:t>Inadequate provision of vital infrastructure services such as electricity, water and sanitation and waste management</w:t>
            </w:r>
          </w:p>
          <w:p w:rsidR="00C65598" w:rsidRPr="00B06331" w:rsidRDefault="00C65598" w:rsidP="00BA5F5B">
            <w:pPr>
              <w:pStyle w:val="ListParagraph"/>
              <w:numPr>
                <w:ilvl w:val="0"/>
                <w:numId w:val="107"/>
              </w:numPr>
              <w:spacing w:after="0"/>
              <w:jc w:val="both"/>
              <w:rPr>
                <w:rFonts w:ascii="Avenir Book" w:hAnsi="Avenir Book"/>
                <w:color w:val="4F81BD"/>
                <w:sz w:val="20"/>
                <w:szCs w:val="24"/>
              </w:rPr>
            </w:pPr>
            <w:r w:rsidRPr="00B06331">
              <w:rPr>
                <w:rFonts w:ascii="Avenir Book" w:hAnsi="Avenir Book"/>
                <w:color w:val="4F81BD"/>
                <w:sz w:val="20"/>
                <w:szCs w:val="24"/>
              </w:rPr>
              <w:t>Weakened social fabric with heightened community tensions</w:t>
            </w:r>
          </w:p>
          <w:p w:rsidR="00C65598" w:rsidRPr="00B06331" w:rsidRDefault="00C65598" w:rsidP="00BA5F5B">
            <w:pPr>
              <w:pStyle w:val="ListParagraph"/>
              <w:numPr>
                <w:ilvl w:val="0"/>
                <w:numId w:val="107"/>
              </w:numPr>
              <w:spacing w:after="0"/>
              <w:jc w:val="both"/>
              <w:rPr>
                <w:rFonts w:ascii="Avenir Book" w:hAnsi="Avenir Book"/>
                <w:color w:val="4F81BD"/>
                <w:sz w:val="20"/>
                <w:szCs w:val="24"/>
              </w:rPr>
            </w:pPr>
            <w:r w:rsidRPr="00B06331">
              <w:rPr>
                <w:rFonts w:ascii="Avenir Book" w:hAnsi="Avenir Book"/>
                <w:color w:val="4F81BD"/>
                <w:sz w:val="20"/>
                <w:szCs w:val="24"/>
              </w:rPr>
              <w:t>Limited progress in reducing poverty in the face of growing rural poverty – the proportion of the population below the poverty line has remained flat at around 48% between 2010 and 2015</w:t>
            </w:r>
          </w:p>
          <w:p w:rsidR="00C65598" w:rsidRPr="00B06331" w:rsidRDefault="00C65598" w:rsidP="00BA5F5B">
            <w:pPr>
              <w:pStyle w:val="ListParagraph"/>
              <w:numPr>
                <w:ilvl w:val="0"/>
                <w:numId w:val="107"/>
              </w:numPr>
              <w:spacing w:after="0"/>
              <w:jc w:val="both"/>
              <w:rPr>
                <w:rFonts w:ascii="Avenir Book" w:hAnsi="Avenir Book"/>
                <w:sz w:val="20"/>
                <w:szCs w:val="24"/>
              </w:rPr>
            </w:pPr>
            <w:r w:rsidRPr="00B06331">
              <w:rPr>
                <w:rFonts w:ascii="Avenir Book" w:hAnsi="Avenir Book"/>
                <w:color w:val="4F81BD"/>
                <w:sz w:val="20"/>
                <w:szCs w:val="24"/>
              </w:rPr>
              <w:t xml:space="preserve">A widening poverty and access to services gap between urban and rural Gambia - while the proportion is at 31.6% for </w:t>
            </w:r>
            <w:r w:rsidR="0021516E" w:rsidRPr="00B06331">
              <w:rPr>
                <w:rFonts w:ascii="Avenir Book" w:hAnsi="Avenir Book"/>
                <w:color w:val="4F81BD"/>
                <w:sz w:val="20"/>
                <w:szCs w:val="24"/>
              </w:rPr>
              <w:t>urban</w:t>
            </w:r>
            <w:r w:rsidRPr="00B06331">
              <w:rPr>
                <w:rFonts w:ascii="Avenir Book" w:hAnsi="Avenir Book"/>
                <w:color w:val="4F81BD"/>
                <w:sz w:val="20"/>
                <w:szCs w:val="24"/>
              </w:rPr>
              <w:t xml:space="preserve"> areas, rural Gambia has 69.5% below the poverty line; with 45% of the population, it has 60% of the country’s poor.</w:t>
            </w:r>
          </w:p>
        </w:tc>
      </w:tr>
    </w:tbl>
    <w:p w:rsidR="005E4B12" w:rsidRPr="00B06331" w:rsidRDefault="00C65598" w:rsidP="00C65598">
      <w:pPr>
        <w:jc w:val="both"/>
        <w:rPr>
          <w:rFonts w:ascii="Avenir Book" w:hAnsi="Avenir Book"/>
          <w:szCs w:val="24"/>
        </w:rPr>
      </w:pPr>
      <w:r w:rsidRPr="00B06331">
        <w:rPr>
          <w:rFonts w:ascii="Avenir Book" w:hAnsi="Avenir Book"/>
          <w:szCs w:val="24"/>
        </w:rPr>
        <w:t xml:space="preserve">The United Nations General Assembly in September 2015 also adopted the Sustainable Development Goals (SDGS) as a successor to the MDGs. Since then many countries, including The Gambia have embarked upon the process of integrating the SDGs into their national plans, with assistance mainly from the United Nations system. Similarly, the Gambia supports the Paris Climate Change Accord agreed in 2016, and the Istanbul Declarations which are additional instruments being domesticated by the Gambia asa signatory. </w:t>
      </w:r>
    </w:p>
    <w:p w:rsidR="00C65598" w:rsidRPr="00B06331" w:rsidRDefault="00C65598" w:rsidP="00C65598">
      <w:pPr>
        <w:jc w:val="both"/>
        <w:rPr>
          <w:rFonts w:ascii="Avenir Book" w:hAnsi="Avenir Book"/>
          <w:b/>
          <w:szCs w:val="24"/>
        </w:rPr>
      </w:pPr>
      <w:r w:rsidRPr="00B06331">
        <w:rPr>
          <w:rFonts w:ascii="Avenir Book" w:hAnsi="Avenir Book"/>
          <w:b/>
          <w:szCs w:val="24"/>
        </w:rPr>
        <w:t>Conclusion</w:t>
      </w:r>
    </w:p>
    <w:p w:rsidR="00C65598" w:rsidRPr="00B06331" w:rsidRDefault="00C65598" w:rsidP="00C65598">
      <w:pPr>
        <w:jc w:val="both"/>
        <w:rPr>
          <w:rFonts w:ascii="Avenir Book" w:hAnsi="Avenir Book"/>
          <w:szCs w:val="24"/>
        </w:rPr>
      </w:pPr>
      <w:r w:rsidRPr="00B06331">
        <w:rPr>
          <w:rFonts w:ascii="Avenir Book" w:hAnsi="Avenir Book"/>
          <w:szCs w:val="24"/>
        </w:rPr>
        <w:t>From the foregoing brief overview, it is clear the context for the plan is marked by a mixture of opportunities, and challenges. These challenges have resulted in key fragilitiessummarized in Box 1.</w:t>
      </w:r>
    </w:p>
    <w:p w:rsidR="00C65598" w:rsidRPr="00B06331" w:rsidRDefault="00C65598" w:rsidP="00C65598">
      <w:pPr>
        <w:jc w:val="both"/>
        <w:rPr>
          <w:rFonts w:ascii="Avenir Book" w:hAnsi="Avenir Book"/>
          <w:szCs w:val="24"/>
        </w:rPr>
      </w:pPr>
      <w:r w:rsidRPr="00B06331">
        <w:rPr>
          <w:rFonts w:ascii="Avenir Book" w:hAnsi="Avenir Book"/>
          <w:szCs w:val="24"/>
        </w:rPr>
        <w:t xml:space="preserve">Fortunately, there are many opportunities, notwithstanding these fragilities. There is a clear road map - the Coalition Manifesto and the Government Compact developed during a Cabinet retreat (5-7 May 2017)provide the overarching guide and anchor for the new plan. The country also </w:t>
      </w:r>
      <w:r w:rsidR="00E318CC" w:rsidRPr="00B06331">
        <w:rPr>
          <w:rFonts w:ascii="Avenir Book" w:hAnsi="Avenir Book"/>
          <w:szCs w:val="24"/>
        </w:rPr>
        <w:t>enjoys tremendous</w:t>
      </w:r>
      <w:r w:rsidRPr="00B06331">
        <w:rPr>
          <w:rFonts w:ascii="Avenir Book" w:hAnsi="Avenir Book"/>
          <w:szCs w:val="24"/>
        </w:rPr>
        <w:t xml:space="preserve"> goodwill globally and regionally.</w:t>
      </w:r>
    </w:p>
    <w:p w:rsidR="00C65598" w:rsidRPr="00B06331" w:rsidRDefault="00C65598" w:rsidP="00C65598">
      <w:pPr>
        <w:pStyle w:val="Heading2"/>
        <w:rPr>
          <w:rFonts w:ascii="Avenir Book" w:hAnsi="Avenir Book"/>
          <w:b w:val="0"/>
          <w:bCs w:val="0"/>
          <w:sz w:val="24"/>
          <w:szCs w:val="24"/>
          <w:lang w:val="en-US"/>
        </w:rPr>
      </w:pPr>
      <w:bookmarkStart w:id="14" w:name="_Toc488689293"/>
    </w:p>
    <w:p w:rsidR="00E318CC" w:rsidRPr="00B06331" w:rsidRDefault="00E318CC" w:rsidP="00C65598">
      <w:pPr>
        <w:pStyle w:val="Heading2"/>
        <w:rPr>
          <w:rFonts w:ascii="Avenir Book" w:hAnsi="Avenir Book"/>
          <w:b w:val="0"/>
          <w:bCs w:val="0"/>
          <w:sz w:val="24"/>
          <w:szCs w:val="24"/>
          <w:lang w:val="en-US"/>
        </w:rPr>
      </w:pPr>
    </w:p>
    <w:p w:rsidR="00C65598" w:rsidRPr="00B06331" w:rsidRDefault="00C65598" w:rsidP="00C65598">
      <w:pPr>
        <w:pStyle w:val="Heading2"/>
        <w:rPr>
          <w:rFonts w:ascii="Avenir Book" w:hAnsi="Avenir Book"/>
          <w:bCs w:val="0"/>
          <w:sz w:val="22"/>
          <w:szCs w:val="24"/>
          <w:lang w:val="en-US"/>
        </w:rPr>
      </w:pPr>
      <w:bookmarkStart w:id="15" w:name="_Toc492364721"/>
      <w:r w:rsidRPr="00B06331">
        <w:rPr>
          <w:rFonts w:ascii="Avenir Book" w:hAnsi="Avenir Book"/>
          <w:bCs w:val="0"/>
          <w:sz w:val="22"/>
          <w:szCs w:val="24"/>
          <w:lang w:val="en-US"/>
        </w:rPr>
        <w:t>1.2 Progress and Lessons from implementing the PAGE (2012-2015)</w:t>
      </w:r>
      <w:bookmarkEnd w:id="14"/>
      <w:bookmarkEnd w:id="15"/>
    </w:p>
    <w:p w:rsidR="00C65598" w:rsidRPr="00B06331" w:rsidRDefault="00C65598" w:rsidP="00C65598">
      <w:pPr>
        <w:ind w:left="-5" w:right="97"/>
        <w:jc w:val="both"/>
        <w:rPr>
          <w:rFonts w:ascii="Avenir Book" w:hAnsi="Avenir Book"/>
          <w:szCs w:val="24"/>
        </w:rPr>
      </w:pPr>
      <w:r w:rsidRPr="00B06331">
        <w:rPr>
          <w:rFonts w:ascii="Avenir Book" w:hAnsi="Avenir Book"/>
          <w:szCs w:val="24"/>
        </w:rPr>
        <w:t xml:space="preserve">The </w:t>
      </w:r>
      <w:r w:rsidR="00AC7328" w:rsidRPr="00B06331">
        <w:rPr>
          <w:rFonts w:ascii="Avenir Book" w:hAnsi="Avenir Book"/>
          <w:szCs w:val="24"/>
        </w:rPr>
        <w:t>Gambia Government (GoTG) approved the Programme for Accelerated Growth and Employment (PAGE</w:t>
      </w:r>
      <w:r w:rsidRPr="00B06331">
        <w:rPr>
          <w:rFonts w:ascii="Avenir Book" w:hAnsi="Avenir Book"/>
          <w:szCs w:val="24"/>
        </w:rPr>
        <w:t xml:space="preserve">) in December 2011. Implementation started in January 2012 to end in December 2015, but </w:t>
      </w:r>
      <w:r w:rsidR="00E318CC" w:rsidRPr="00B06331">
        <w:rPr>
          <w:rFonts w:ascii="Avenir Book" w:hAnsi="Avenir Book"/>
          <w:szCs w:val="24"/>
        </w:rPr>
        <w:t xml:space="preserve">was </w:t>
      </w:r>
      <w:r w:rsidRPr="00B06331">
        <w:rPr>
          <w:rFonts w:ascii="Avenir Book" w:hAnsi="Avenir Book"/>
          <w:szCs w:val="24"/>
        </w:rPr>
        <w:t xml:space="preserve">extended to 2016. An MTE was conducted in December 2013, but no final evaluation was undertaken. </w:t>
      </w:r>
    </w:p>
    <w:p w:rsidR="00C65598" w:rsidRPr="00B06331" w:rsidRDefault="00C65598" w:rsidP="00C65598">
      <w:pPr>
        <w:ind w:left="-5" w:right="97"/>
        <w:jc w:val="both"/>
        <w:rPr>
          <w:rFonts w:ascii="Avenir Book" w:hAnsi="Avenir Book"/>
          <w:szCs w:val="24"/>
        </w:rPr>
      </w:pPr>
      <w:r w:rsidRPr="00B06331">
        <w:rPr>
          <w:rFonts w:ascii="Avenir Book" w:hAnsi="Avenir Book"/>
          <w:szCs w:val="24"/>
        </w:rPr>
        <w:t>The main findings and conclusions of the MTE are summarized below.</w:t>
      </w:r>
    </w:p>
    <w:p w:rsidR="00C65598" w:rsidRPr="00B06331" w:rsidRDefault="00C65598" w:rsidP="00BA5F5B">
      <w:pPr>
        <w:pStyle w:val="ListParagraph"/>
        <w:numPr>
          <w:ilvl w:val="0"/>
          <w:numId w:val="110"/>
        </w:numPr>
        <w:spacing w:after="0"/>
        <w:ind w:right="97"/>
        <w:jc w:val="both"/>
        <w:rPr>
          <w:rFonts w:ascii="Avenir Book" w:hAnsi="Avenir Book"/>
          <w:szCs w:val="24"/>
        </w:rPr>
      </w:pPr>
      <w:r w:rsidRPr="00B06331">
        <w:rPr>
          <w:rFonts w:ascii="Avenir Book" w:hAnsi="Avenir Book"/>
          <w:szCs w:val="24"/>
        </w:rPr>
        <w:t xml:space="preserve">The level of poverty reduction, increase in employment and raising per capita income of Gambians planned </w:t>
      </w:r>
      <w:r w:rsidR="00E318CC" w:rsidRPr="00B06331">
        <w:rPr>
          <w:rFonts w:ascii="Avenir Book" w:hAnsi="Avenir Book"/>
          <w:szCs w:val="24"/>
        </w:rPr>
        <w:t xml:space="preserve">for </w:t>
      </w:r>
      <w:r w:rsidRPr="00B06331">
        <w:rPr>
          <w:rFonts w:ascii="Avenir Book" w:hAnsi="Avenir Book"/>
          <w:szCs w:val="24"/>
        </w:rPr>
        <w:t xml:space="preserve">were not attained and not likely to be so by 2015. Two reasons behind the growth rate shortfall were: (i) drought in 2011 that held back better performance during the PAGE period; and, (ii) overoptimistic projections of annual rates under PAGE that set high growth target without having adequate growth drivers to make significant shifts in the baseline level. </w:t>
      </w:r>
    </w:p>
    <w:p w:rsidR="00C65598" w:rsidRPr="00B06331" w:rsidRDefault="00C65598" w:rsidP="00BA5F5B">
      <w:pPr>
        <w:pStyle w:val="ListParagraph"/>
        <w:numPr>
          <w:ilvl w:val="0"/>
          <w:numId w:val="110"/>
        </w:numPr>
        <w:spacing w:after="0"/>
        <w:jc w:val="both"/>
        <w:rPr>
          <w:rFonts w:ascii="Avenir Book" w:hAnsi="Avenir Book"/>
          <w:szCs w:val="24"/>
        </w:rPr>
      </w:pPr>
      <w:r w:rsidRPr="00B06331">
        <w:rPr>
          <w:rFonts w:ascii="Avenir Book" w:hAnsi="Avenir Book"/>
          <w:szCs w:val="24"/>
        </w:rPr>
        <w:t xml:space="preserve">PAGE sought to consolidate the macroeconomic environment as a condition for further inclusive growth but instead witnessed serious slippages emanating from widening budget and current account deficits. Proactive policies and strategies have been developed for improving </w:t>
      </w:r>
      <w:r w:rsidR="00E318CC" w:rsidRPr="00B06331">
        <w:rPr>
          <w:rFonts w:ascii="Avenir Book" w:hAnsi="Avenir Book"/>
          <w:szCs w:val="24"/>
        </w:rPr>
        <w:t>competitiveness</w:t>
      </w:r>
      <w:r w:rsidRPr="00B06331">
        <w:rPr>
          <w:rFonts w:ascii="Avenir Book" w:hAnsi="Avenir Book"/>
          <w:szCs w:val="24"/>
        </w:rPr>
        <w:t xml:space="preserve"> and to engender value addition in agro-processing, with steady gains registered in the number of new companies. However, the targets set under Pillar 1 for consolidating the macroeconomic framework were not achieved while strengthening the main sources of economic growth and improving competitiveness presented a mixed bag of achievements.  </w:t>
      </w:r>
    </w:p>
    <w:p w:rsidR="00C65598" w:rsidRPr="00B06331" w:rsidRDefault="00C65598" w:rsidP="00BA5F5B">
      <w:pPr>
        <w:pStyle w:val="ListParagraph"/>
        <w:numPr>
          <w:ilvl w:val="0"/>
          <w:numId w:val="110"/>
        </w:numPr>
        <w:spacing w:after="33"/>
        <w:ind w:right="107"/>
        <w:jc w:val="both"/>
        <w:rPr>
          <w:rFonts w:ascii="Avenir Book" w:hAnsi="Avenir Book"/>
          <w:szCs w:val="24"/>
        </w:rPr>
      </w:pPr>
      <w:r w:rsidRPr="00B06331">
        <w:rPr>
          <w:rFonts w:ascii="Avenir Book" w:hAnsi="Avenir Book"/>
          <w:szCs w:val="24"/>
        </w:rPr>
        <w:t xml:space="preserve">Under Pillar 2, improving and modernizing infrastructure in transport, energy and information and communications technology was largely achieved by heavy public and private sector investments with major road projects completed. The Africa Coast to Europe (ACE) Submarine Cable project facilitating broadband connectivity was also fully operational. </w:t>
      </w:r>
    </w:p>
    <w:p w:rsidR="00C65598" w:rsidRPr="00B06331" w:rsidRDefault="00E318CC" w:rsidP="00BA5F5B">
      <w:pPr>
        <w:pStyle w:val="ListParagraph"/>
        <w:numPr>
          <w:ilvl w:val="0"/>
          <w:numId w:val="110"/>
        </w:numPr>
        <w:spacing w:after="3"/>
        <w:ind w:right="92"/>
        <w:jc w:val="both"/>
        <w:rPr>
          <w:rFonts w:ascii="Avenir Book" w:hAnsi="Avenir Book"/>
          <w:szCs w:val="24"/>
        </w:rPr>
      </w:pPr>
      <w:r w:rsidRPr="00B06331">
        <w:rPr>
          <w:rFonts w:ascii="Avenir Book" w:hAnsi="Avenir Book"/>
          <w:szCs w:val="24"/>
        </w:rPr>
        <w:t xml:space="preserve">Access to </w:t>
      </w:r>
      <w:r w:rsidR="00C65598" w:rsidRPr="00B06331">
        <w:rPr>
          <w:rFonts w:ascii="Avenir Book" w:hAnsi="Avenir Book"/>
          <w:szCs w:val="24"/>
        </w:rPr>
        <w:t xml:space="preserve">quality to basic services under Pillar 3 consisting of education, health, water, and sanitation were improved with universal access to primary education and gender parity (1:1) in primary and secondary schools under the Millennium Development Goals (MDGs) achieved. Secondary education, seen as a basis for employment under PAGE, made satisfactory progress, but quality needs improvement by ensuring that teachers are qualified, and a pupil -text book ratio of 1:1 is reached, among others. Access to health services and doctors had improved registering significant gains in reducing child and maternal mortality. However, the latter remains one of the most formidable challenges of the health sector, along with financial access and the ability to purchase prescribed drugs. </w:t>
      </w:r>
    </w:p>
    <w:p w:rsidR="00C65598" w:rsidRPr="00B06331" w:rsidRDefault="00C65598" w:rsidP="00BA5F5B">
      <w:pPr>
        <w:pStyle w:val="ListParagraph"/>
        <w:numPr>
          <w:ilvl w:val="0"/>
          <w:numId w:val="110"/>
        </w:numPr>
        <w:spacing w:after="3"/>
        <w:ind w:right="92"/>
        <w:jc w:val="both"/>
        <w:rPr>
          <w:rFonts w:ascii="Avenir Book" w:hAnsi="Avenir Book"/>
          <w:szCs w:val="24"/>
        </w:rPr>
      </w:pPr>
      <w:r w:rsidRPr="00B06331">
        <w:rPr>
          <w:rFonts w:ascii="Avenir Book" w:hAnsi="Avenir Book"/>
          <w:szCs w:val="24"/>
        </w:rPr>
        <w:t xml:space="preserve">Targets under Pillar 4:  to improve governance and fighting corruption - The Gambia scored 3.3 out of a maximum possible score of 6 in the 2013 Country Policy and Institutional Assessment (CPIA) report by the World Bank. The score was above the average of the 39 countries categorized under Sub-Saharan African countries eligible for International Development Association (IDA) credit. The country had done better than the CPIA average on Public Sector </w:t>
      </w:r>
      <w:r w:rsidRPr="00B06331">
        <w:rPr>
          <w:rFonts w:ascii="Avenir Book" w:hAnsi="Avenir Book"/>
          <w:szCs w:val="24"/>
        </w:rPr>
        <w:lastRenderedPageBreak/>
        <w:t xml:space="preserve">Management and Institutions but lost ground on quality on public administration and transparency, accountability, and corruption in Public Sector between 2011 and 2013. The process of decentralization had experienced considerable setbacks due to reduced commitment to pursue decentralization by devolution, and inadequate human and institutional capacity on the part of the local councils to discharge responsibilities </w:t>
      </w:r>
    </w:p>
    <w:p w:rsidR="00C65598" w:rsidRPr="00B06331" w:rsidRDefault="00C65598" w:rsidP="00BA5F5B">
      <w:pPr>
        <w:pStyle w:val="ListParagraph"/>
        <w:numPr>
          <w:ilvl w:val="0"/>
          <w:numId w:val="110"/>
        </w:numPr>
        <w:spacing w:after="0"/>
        <w:ind w:right="97"/>
        <w:jc w:val="both"/>
        <w:rPr>
          <w:rFonts w:ascii="Avenir Book" w:hAnsi="Avenir Book"/>
          <w:szCs w:val="24"/>
        </w:rPr>
      </w:pPr>
      <w:r w:rsidRPr="00B06331">
        <w:rPr>
          <w:rFonts w:ascii="Avenir Book" w:hAnsi="Avenir Book"/>
          <w:szCs w:val="24"/>
        </w:rPr>
        <w:t xml:space="preserve">On Cross-Cutting issues, by mid-term into PAGE implementation, the Gambia, registered a myriad of achievements that put gender equality and women empowerment on a sound legal and institutional footing including the Sexual Offenses Act 2013, Domestic Violence Act of 2013, and Women‘s Amendment Act 2012. These bills domesticated international best practices/instruments such as the Convention for the Elimination of Discrimination Against Women (CEDAW) that The Gambia ratified in 1979. With respect to environment and natural resources, Gambia’s forests have been steadily degraded over the past two decades due to the practice of clearing land for agriculture, habitation and for household energy needs.  However, laws passed in the 1980s making logging illegal have reduced the incidence of deforestation, leading to an increase in the forest cover to between 43 and 48 percent of the country's total land area. </w:t>
      </w:r>
    </w:p>
    <w:p w:rsidR="00C65598" w:rsidRPr="00B06331" w:rsidRDefault="00C65598" w:rsidP="00BA5F5B">
      <w:pPr>
        <w:pStyle w:val="ListParagraph"/>
        <w:numPr>
          <w:ilvl w:val="0"/>
          <w:numId w:val="110"/>
        </w:numPr>
        <w:spacing w:after="226"/>
        <w:ind w:right="101"/>
        <w:jc w:val="both"/>
        <w:rPr>
          <w:rFonts w:ascii="Avenir Book" w:hAnsi="Avenir Book"/>
          <w:szCs w:val="24"/>
        </w:rPr>
      </w:pPr>
      <w:r w:rsidRPr="00B06331">
        <w:rPr>
          <w:rFonts w:ascii="Avenir Book" w:hAnsi="Avenir Book"/>
          <w:szCs w:val="24"/>
        </w:rPr>
        <w:t>The institutional arrangements proposed by PAGE were hardly implemented and planning units instrumental at the sector level barely had the human and material resources to perform. Sustainability of PAGE financing was constrained as taxes were already deemed too high, debt burden increasing, and grants were quite volatile. The requisite institutional framework and processes (Medium-Term Expenditure Framework (MTEF) and Programme Budgeting) to strengthen sustainability were relatively weak.</w:t>
      </w:r>
    </w:p>
    <w:p w:rsidR="00C65598" w:rsidRPr="00B06331" w:rsidRDefault="00C65598" w:rsidP="00C65598">
      <w:pPr>
        <w:jc w:val="both"/>
        <w:rPr>
          <w:rFonts w:ascii="Avenir Book" w:hAnsi="Avenir Book"/>
          <w:szCs w:val="24"/>
        </w:rPr>
      </w:pPr>
      <w:r w:rsidRPr="00B06331">
        <w:rPr>
          <w:rFonts w:ascii="Avenir Book" w:hAnsi="Avenir Book"/>
          <w:szCs w:val="24"/>
        </w:rPr>
        <w:t>Overall, PAGE was found to be highly relevant to stakeholders but effectiveness in achieving development results and consolidating macroeconomic management was low. The effectiveness of PAGE regarding results on Education, Health and Water was rated high while growth sources in achieving PAGE targets and selected global indices under all other Pillars were moderate.</w:t>
      </w:r>
    </w:p>
    <w:p w:rsidR="00C65598" w:rsidRPr="00B06331" w:rsidRDefault="00C65598" w:rsidP="00C65598">
      <w:pPr>
        <w:jc w:val="both"/>
        <w:rPr>
          <w:rFonts w:ascii="Avenir Book" w:hAnsi="Avenir Book"/>
          <w:szCs w:val="24"/>
        </w:rPr>
      </w:pPr>
      <w:r w:rsidRPr="00B06331">
        <w:rPr>
          <w:rFonts w:ascii="Avenir Book" w:hAnsi="Avenir Book"/>
          <w:szCs w:val="24"/>
        </w:rPr>
        <w:t xml:space="preserve">On balance, an economic contraction due to poor rains combined with the fallout from Ebola in neighboring countries on tourism and trade in 2014 lingering into 2015 worsened the moderate rating to low as foreign private investment and remittances did not increase and partners did not intervene through budget support to uphold achievements. Poor governance and economic mismanagement lay at the heart of the poor results achieved and the resulting slide into </w:t>
      </w:r>
      <w:r w:rsidR="00355000" w:rsidRPr="00B06331">
        <w:rPr>
          <w:rFonts w:ascii="Avenir Book" w:hAnsi="Avenir Book"/>
          <w:szCs w:val="24"/>
        </w:rPr>
        <w:t xml:space="preserve">social and </w:t>
      </w:r>
      <w:r w:rsidRPr="00B06331">
        <w:rPr>
          <w:rFonts w:ascii="Avenir Book" w:hAnsi="Avenir Book"/>
          <w:szCs w:val="24"/>
        </w:rPr>
        <w:t>econom</w:t>
      </w:r>
      <w:r w:rsidR="00355000" w:rsidRPr="00B06331">
        <w:rPr>
          <w:rFonts w:ascii="Avenir Book" w:hAnsi="Avenir Book"/>
          <w:szCs w:val="24"/>
        </w:rPr>
        <w:t>ic decline</w:t>
      </w:r>
      <w:r w:rsidRPr="00B06331">
        <w:rPr>
          <w:rFonts w:ascii="Avenir Book" w:hAnsi="Avenir Book"/>
          <w:szCs w:val="24"/>
        </w:rPr>
        <w:t xml:space="preserve">. </w:t>
      </w:r>
    </w:p>
    <w:p w:rsidR="00C65598" w:rsidRPr="00B06331" w:rsidRDefault="00C65598" w:rsidP="00C65598">
      <w:pPr>
        <w:pStyle w:val="Heading2"/>
        <w:spacing w:line="276" w:lineRule="auto"/>
        <w:jc w:val="both"/>
        <w:rPr>
          <w:rFonts w:ascii="Avenir Book" w:hAnsi="Avenir Book"/>
          <w:bCs w:val="0"/>
          <w:sz w:val="22"/>
          <w:szCs w:val="24"/>
          <w:lang w:val="en-US"/>
        </w:rPr>
      </w:pPr>
      <w:bookmarkStart w:id="16" w:name="_Toc488689294"/>
      <w:bookmarkStart w:id="17" w:name="_Toc492364722"/>
      <w:r w:rsidRPr="00B06331">
        <w:rPr>
          <w:rFonts w:ascii="Calibri" w:hAnsi="Calibri" w:cs="Calibri"/>
          <w:sz w:val="22"/>
          <w:szCs w:val="22"/>
        </w:rPr>
        <w:t>1.</w:t>
      </w:r>
      <w:r w:rsidRPr="00B06331">
        <w:rPr>
          <w:rFonts w:ascii="Avenir Book" w:hAnsi="Avenir Book"/>
          <w:bCs w:val="0"/>
          <w:sz w:val="22"/>
          <w:szCs w:val="24"/>
          <w:lang w:val="en-US"/>
        </w:rPr>
        <w:t>3 Plan Formulation Process</w:t>
      </w:r>
      <w:bookmarkEnd w:id="16"/>
      <w:bookmarkEnd w:id="17"/>
    </w:p>
    <w:p w:rsidR="00C65598" w:rsidRPr="00B06331" w:rsidRDefault="00C65598" w:rsidP="00C65598">
      <w:pPr>
        <w:jc w:val="both"/>
        <w:rPr>
          <w:rFonts w:ascii="Avenir Book" w:hAnsi="Avenir Book"/>
          <w:szCs w:val="24"/>
        </w:rPr>
      </w:pPr>
      <w:r w:rsidRPr="00B06331">
        <w:rPr>
          <w:rFonts w:ascii="Avenir Book" w:hAnsi="Avenir Book"/>
          <w:szCs w:val="24"/>
        </w:rPr>
        <w:t>Plan formulation was undertaken in two phases.</w:t>
      </w:r>
    </w:p>
    <w:p w:rsidR="00C65598" w:rsidRPr="00B06331" w:rsidRDefault="00C65598" w:rsidP="00C65598">
      <w:pPr>
        <w:jc w:val="both"/>
        <w:rPr>
          <w:rFonts w:ascii="Avenir Book" w:hAnsi="Avenir Book"/>
          <w:szCs w:val="24"/>
        </w:rPr>
      </w:pPr>
      <w:r w:rsidRPr="00B06331">
        <w:rPr>
          <w:rFonts w:ascii="Avenir Book" w:hAnsi="Avenir Book"/>
          <w:szCs w:val="24"/>
        </w:rPr>
        <w:t xml:space="preserve">Phase I: Under the previous government, the Programme for Accelerated Growth and Employment (PAGE) had ended and efforts were launched in 2015 to elaborate a successor plan. The process involved setting up of 12 Thematic Working Groups, consultations with key segments of society, culminating in the preparation of a draft PAGE II (2017-2020). This draft plan was meant to be the last </w:t>
      </w:r>
      <w:r w:rsidRPr="00B06331">
        <w:rPr>
          <w:rFonts w:ascii="Avenir Book" w:hAnsi="Avenir Book"/>
          <w:szCs w:val="24"/>
        </w:rPr>
        <w:lastRenderedPageBreak/>
        <w:t>of the country’s medium-term plans to realize Vision 2020 developed under the previous government.  The political impasse in the country in December 2016-January 2017 meant that the plan never got official validation and approval.</w:t>
      </w:r>
    </w:p>
    <w:p w:rsidR="00C65598" w:rsidRPr="00B06331" w:rsidRDefault="00C65598" w:rsidP="00C65598">
      <w:pPr>
        <w:jc w:val="both"/>
        <w:rPr>
          <w:rFonts w:ascii="Avenir Book" w:hAnsi="Avenir Book"/>
          <w:szCs w:val="24"/>
        </w:rPr>
      </w:pPr>
      <w:r w:rsidRPr="00B06331">
        <w:rPr>
          <w:rFonts w:ascii="Avenir Book" w:hAnsi="Avenir Book"/>
          <w:szCs w:val="24"/>
        </w:rPr>
        <w:t xml:space="preserve">Phase II: with the coming in of the new government, it was evident that the draft PAGE II was ill suited to the new context and that a fresh National Development Plan had to be drawn up that took account of the momentous changes the country had gone through, the vision of the new government and the expectations of the country’s citizens. The election of a new government and the National Assembly elections that followed in April 2017, as well as transformations within the Judiciary resulted in wholesale changes within the three centers of power under the Constitution of The Gambia. </w:t>
      </w:r>
    </w:p>
    <w:p w:rsidR="00C65598" w:rsidRPr="00B06331" w:rsidRDefault="00C65598" w:rsidP="00C65598">
      <w:pPr>
        <w:jc w:val="both"/>
        <w:rPr>
          <w:rFonts w:ascii="Avenir Book" w:hAnsi="Avenir Book"/>
          <w:szCs w:val="24"/>
        </w:rPr>
      </w:pPr>
      <w:r w:rsidRPr="00B06331">
        <w:rPr>
          <w:rFonts w:ascii="Avenir Book" w:hAnsi="Avenir Book"/>
          <w:szCs w:val="24"/>
        </w:rPr>
        <w:t xml:space="preserve">The need for a new plan was further made necessary as the existing draft had shortcomings due to </w:t>
      </w:r>
      <w:r w:rsidR="00E5443A" w:rsidRPr="00B06331">
        <w:rPr>
          <w:rFonts w:ascii="Avenir Book" w:hAnsi="Avenir Book"/>
          <w:szCs w:val="24"/>
        </w:rPr>
        <w:t xml:space="preserve">the need to address the </w:t>
      </w:r>
      <w:r w:rsidRPr="00B06331">
        <w:rPr>
          <w:rFonts w:ascii="Avenir Book" w:hAnsi="Avenir Book"/>
          <w:szCs w:val="24"/>
        </w:rPr>
        <w:t>majordeficits in gove</w:t>
      </w:r>
      <w:r w:rsidR="00E5443A" w:rsidRPr="00B06331">
        <w:rPr>
          <w:rFonts w:ascii="Avenir Book" w:hAnsi="Avenir Book"/>
          <w:szCs w:val="24"/>
        </w:rPr>
        <w:t>rnance and accountability, and</w:t>
      </w:r>
      <w:r w:rsidRPr="00B06331">
        <w:rPr>
          <w:rFonts w:ascii="Avenir Book" w:hAnsi="Avenir Book"/>
          <w:szCs w:val="24"/>
        </w:rPr>
        <w:t xml:space="preserve"> the critical economic stabilization and management issues facing the country. Technically, the draft document suffered from a weakness in terms of clarity as to what was to be delivered and key expected outcomes.The new government therefore, opted to draw up a new plan that better reflect current realities, but drew upon elements of the previous draft PAGE II where appropriate.</w:t>
      </w:r>
    </w:p>
    <w:p w:rsidR="00C65598" w:rsidRPr="00B06331" w:rsidRDefault="00C65598" w:rsidP="00C65598">
      <w:pPr>
        <w:jc w:val="both"/>
        <w:rPr>
          <w:rFonts w:ascii="Avenir Book" w:hAnsi="Avenir Book"/>
          <w:szCs w:val="24"/>
        </w:rPr>
      </w:pPr>
      <w:r w:rsidRPr="00B06331">
        <w:rPr>
          <w:rFonts w:ascii="Avenir Book" w:hAnsi="Avenir Book"/>
          <w:szCs w:val="24"/>
        </w:rPr>
        <w:t>The process of developing the new plan was initiated with a landmark Cabinet retreat that took place 5-7 May 2017, which resulted in a Government compact settin</w:t>
      </w:r>
      <w:r w:rsidR="00E5443A" w:rsidRPr="00B06331">
        <w:rPr>
          <w:rFonts w:ascii="Avenir Book" w:hAnsi="Avenir Book"/>
          <w:szCs w:val="24"/>
        </w:rPr>
        <w:t>g out the priorities and some</w:t>
      </w:r>
      <w:r w:rsidRPr="00B06331">
        <w:rPr>
          <w:rFonts w:ascii="Avenir Book" w:hAnsi="Avenir Book"/>
          <w:szCs w:val="24"/>
        </w:rPr>
        <w:t xml:space="preserve"> guiding principles. The Government compact, coalition manifesto and other key documents formed the basis for the revision of the plan. </w:t>
      </w:r>
    </w:p>
    <w:p w:rsidR="00C65598" w:rsidRPr="00B06331" w:rsidRDefault="00C65598" w:rsidP="00C65598">
      <w:pPr>
        <w:jc w:val="both"/>
        <w:rPr>
          <w:rFonts w:ascii="Avenir Book" w:hAnsi="Avenir Book"/>
          <w:szCs w:val="24"/>
        </w:rPr>
      </w:pPr>
      <w:r w:rsidRPr="00B06331">
        <w:rPr>
          <w:rFonts w:ascii="Avenir Book" w:hAnsi="Avenir Book"/>
          <w:szCs w:val="24"/>
        </w:rPr>
        <w:t>An accelerated process was thereafter launched to revise the draft NDP through the following:</w:t>
      </w:r>
    </w:p>
    <w:p w:rsidR="00C65598" w:rsidRPr="00B06331" w:rsidRDefault="00C65598" w:rsidP="00C65598">
      <w:pPr>
        <w:pStyle w:val="ListParagraph"/>
        <w:numPr>
          <w:ilvl w:val="0"/>
          <w:numId w:val="105"/>
        </w:numPr>
        <w:jc w:val="both"/>
        <w:rPr>
          <w:rFonts w:ascii="Avenir Book" w:hAnsi="Avenir Book"/>
          <w:szCs w:val="24"/>
        </w:rPr>
      </w:pPr>
      <w:r w:rsidRPr="00B06331">
        <w:rPr>
          <w:rFonts w:ascii="Avenir Book" w:hAnsi="Avenir Book"/>
          <w:szCs w:val="24"/>
        </w:rPr>
        <w:t>Revival of the 12 Thematic Working Groups; and the creation of additional ones focusing on Governance, Gender, Civil Society Organizations, and Data for Development. Furthermore, issues relating to disability were integrated into the work of the human capital thematic working group (social protection);</w:t>
      </w:r>
    </w:p>
    <w:p w:rsidR="00C65598" w:rsidRPr="00B06331" w:rsidRDefault="00E5443A" w:rsidP="00C65598">
      <w:pPr>
        <w:pStyle w:val="ListParagraph"/>
        <w:numPr>
          <w:ilvl w:val="0"/>
          <w:numId w:val="105"/>
        </w:numPr>
        <w:jc w:val="both"/>
        <w:rPr>
          <w:rFonts w:ascii="Avenir Book" w:hAnsi="Avenir Book"/>
          <w:szCs w:val="24"/>
        </w:rPr>
      </w:pPr>
      <w:r w:rsidRPr="00B06331">
        <w:rPr>
          <w:rFonts w:ascii="Avenir Book" w:hAnsi="Avenir Book"/>
          <w:szCs w:val="24"/>
        </w:rPr>
        <w:t xml:space="preserve">A technical team and a high - </w:t>
      </w:r>
      <w:r w:rsidR="00C65598" w:rsidRPr="00B06331">
        <w:rPr>
          <w:rFonts w:ascii="Avenir Book" w:hAnsi="Avenir Book"/>
          <w:szCs w:val="24"/>
        </w:rPr>
        <w:t>level policy oversight committee (comprised of Permanent Secretaries of Ministry of Finance and Economic Affairs, Office of the President, Office of the Vice President, Personnel Management Office, Higher Education and Solicitor General with the Director of Development Planning as secretary) were put in place to spearhead the plan revision process;</w:t>
      </w:r>
    </w:p>
    <w:p w:rsidR="00C65598" w:rsidRPr="00B06331" w:rsidRDefault="00C65598" w:rsidP="00C65598">
      <w:pPr>
        <w:pStyle w:val="ListParagraph"/>
        <w:numPr>
          <w:ilvl w:val="0"/>
          <w:numId w:val="105"/>
        </w:numPr>
        <w:jc w:val="both"/>
        <w:rPr>
          <w:rFonts w:ascii="Avenir Book" w:hAnsi="Avenir Book"/>
          <w:szCs w:val="24"/>
        </w:rPr>
      </w:pPr>
      <w:r w:rsidRPr="00B06331">
        <w:rPr>
          <w:rFonts w:ascii="Avenir Book" w:hAnsi="Avenir Book"/>
          <w:szCs w:val="24"/>
        </w:rPr>
        <w:t>Preparation of first revised draft during June/July 2017;</w:t>
      </w:r>
    </w:p>
    <w:p w:rsidR="00C65598" w:rsidRPr="00B06331" w:rsidRDefault="00C65598" w:rsidP="00C65598">
      <w:pPr>
        <w:pStyle w:val="ListParagraph"/>
        <w:numPr>
          <w:ilvl w:val="0"/>
          <w:numId w:val="105"/>
        </w:numPr>
        <w:jc w:val="both"/>
        <w:rPr>
          <w:rFonts w:ascii="Avenir Book" w:hAnsi="Avenir Book"/>
          <w:szCs w:val="24"/>
        </w:rPr>
      </w:pPr>
      <w:r w:rsidRPr="00B06331">
        <w:rPr>
          <w:rFonts w:ascii="Avenir Book" w:hAnsi="Avenir Book"/>
          <w:szCs w:val="24"/>
        </w:rPr>
        <w:t>Consultations with key national stakeholders such as the national assembly, private sector, civil society, independent electoral commission were held in the early part July 2017.</w:t>
      </w:r>
    </w:p>
    <w:p w:rsidR="00C65598" w:rsidRPr="00B06331" w:rsidRDefault="00C65598" w:rsidP="00C65598">
      <w:pPr>
        <w:pStyle w:val="ListParagraph"/>
        <w:numPr>
          <w:ilvl w:val="0"/>
          <w:numId w:val="105"/>
        </w:numPr>
        <w:jc w:val="both"/>
        <w:rPr>
          <w:rFonts w:ascii="Avenir Book" w:hAnsi="Avenir Book"/>
          <w:szCs w:val="24"/>
        </w:rPr>
      </w:pPr>
      <w:r w:rsidRPr="00B06331">
        <w:rPr>
          <w:rFonts w:ascii="Avenir Book" w:hAnsi="Avenir Book"/>
          <w:szCs w:val="24"/>
        </w:rPr>
        <w:t>A Consultation meeting with key development partners was held on 25 July to obtain feedback and gauge the degree of buy in;</w:t>
      </w:r>
    </w:p>
    <w:p w:rsidR="00C65598" w:rsidRPr="00B06331" w:rsidRDefault="00C65598" w:rsidP="00C65598">
      <w:pPr>
        <w:pStyle w:val="ListParagraph"/>
        <w:numPr>
          <w:ilvl w:val="0"/>
          <w:numId w:val="105"/>
        </w:numPr>
        <w:jc w:val="both"/>
        <w:rPr>
          <w:rFonts w:ascii="Avenir Book" w:hAnsi="Avenir Book"/>
          <w:szCs w:val="24"/>
        </w:rPr>
      </w:pPr>
      <w:r w:rsidRPr="00B06331">
        <w:rPr>
          <w:rFonts w:ascii="Avenir Book" w:hAnsi="Avenir Book"/>
          <w:szCs w:val="24"/>
        </w:rPr>
        <w:t>A validati</w:t>
      </w:r>
      <w:r w:rsidR="00E5443A" w:rsidRPr="00B06331">
        <w:rPr>
          <w:rFonts w:ascii="Avenir Book" w:hAnsi="Avenir Book"/>
          <w:szCs w:val="24"/>
        </w:rPr>
        <w:t>on meeting was held in October</w:t>
      </w:r>
      <w:r w:rsidRPr="00B06331">
        <w:rPr>
          <w:rFonts w:ascii="Avenir Book" w:hAnsi="Avenir Book"/>
          <w:szCs w:val="24"/>
        </w:rPr>
        <w:t xml:space="preserve"> 2017 and a final plan was prepared and submitted for Government approval.</w:t>
      </w:r>
    </w:p>
    <w:p w:rsidR="00C65598" w:rsidRPr="00B06331" w:rsidRDefault="00C65598" w:rsidP="00C65598">
      <w:pPr>
        <w:jc w:val="both"/>
        <w:rPr>
          <w:rFonts w:ascii="Avenir Book" w:hAnsi="Avenir Book"/>
          <w:szCs w:val="24"/>
        </w:rPr>
      </w:pPr>
      <w:r w:rsidRPr="00B06331">
        <w:rPr>
          <w:rFonts w:ascii="Avenir Book" w:hAnsi="Avenir Book"/>
          <w:szCs w:val="24"/>
        </w:rPr>
        <w:lastRenderedPageBreak/>
        <w:t>The Government subsequently plans to organize a donors’ Round Table to secure financing of the plan. C</w:t>
      </w:r>
      <w:r w:rsidR="00F643A2" w:rsidRPr="00B06331">
        <w:rPr>
          <w:rFonts w:ascii="Avenir Book" w:hAnsi="Avenir Book"/>
          <w:szCs w:val="24"/>
        </w:rPr>
        <w:t xml:space="preserve">oncurrent to plan revision, </w:t>
      </w:r>
      <w:r w:rsidRPr="00B06331">
        <w:rPr>
          <w:rFonts w:ascii="Avenir Book" w:hAnsi="Avenir Book"/>
          <w:szCs w:val="24"/>
        </w:rPr>
        <w:t>government also embarked upon a capacity needs assessment exercise and developed a capacity building strategy to strengthen implementation of the new revised plan.</w:t>
      </w:r>
    </w:p>
    <w:p w:rsidR="00C65598" w:rsidRPr="00B06331" w:rsidRDefault="00965AD2" w:rsidP="00054460">
      <w:pPr>
        <w:pStyle w:val="Heading2"/>
        <w:rPr>
          <w:rFonts w:asciiTheme="minorHAnsi" w:hAnsiTheme="minorHAnsi" w:cstheme="minorHAnsi"/>
          <w:sz w:val="22"/>
          <w:szCs w:val="22"/>
        </w:rPr>
      </w:pPr>
      <w:bookmarkStart w:id="18" w:name="_Toc492364723"/>
      <w:r w:rsidRPr="00B06331">
        <w:rPr>
          <w:rFonts w:asciiTheme="minorHAnsi" w:hAnsiTheme="minorHAnsi" w:cstheme="minorHAnsi"/>
          <w:noProof/>
          <w:sz w:val="22"/>
          <w:szCs w:val="22"/>
          <w:lang w:val="en-US"/>
        </w:rPr>
        <w:pict>
          <v:shape id="Text Box 29" o:spid="_x0000_s1035" type="#_x0000_t202" style="position:absolute;margin-left:117pt;margin-top:8.75pt;width:351pt;height:385.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" filled="f" stroked="f">
            <v:path arrowok="t"/>
            <v:textbox>
              <w:txbxContent>
                <w:p w:rsidR="00FD4AC6" w:rsidRPr="00A704B1" w:rsidRDefault="00FD4AC6" w:rsidP="00C65598">
                  <w:pPr>
                    <w:jc w:val="center"/>
                    <w:rPr>
                      <w:rFonts w:ascii="Avenir Book" w:hAnsi="Avenir Book"/>
                      <w:b/>
                      <w:i/>
                      <w:caps/>
                      <w:sz w:val="20"/>
                      <w:szCs w:val="20"/>
                    </w:rPr>
                  </w:pPr>
                  <w:r w:rsidRPr="00A704B1">
                    <w:rPr>
                      <w:rFonts w:ascii="Avenir Book" w:hAnsi="Avenir Book"/>
                      <w:b/>
                      <w:caps/>
                      <w:sz w:val="20"/>
                      <w:szCs w:val="20"/>
                    </w:rPr>
                    <w:t xml:space="preserve">THE VISION </w:t>
                  </w:r>
                </w:p>
                <w:p w:rsidR="00FD4AC6" w:rsidRPr="00860EC7" w:rsidRDefault="00FD4AC6" w:rsidP="00C65598">
                  <w:pPr>
                    <w:jc w:val="center"/>
                    <w:rPr>
                      <w:rFonts w:ascii="Avenir Book" w:hAnsi="Avenir Book"/>
                      <w:i/>
                      <w:color w:val="4F81BD"/>
                      <w:sz w:val="20"/>
                      <w:szCs w:val="20"/>
                    </w:rPr>
                  </w:pPr>
                  <w:r w:rsidRPr="00860EC7">
                    <w:rPr>
                      <w:rFonts w:ascii="Avenir Book" w:hAnsi="Avenir Book"/>
                      <w:i/>
                      <w:color w:val="4F81BD"/>
                      <w:sz w:val="20"/>
                      <w:szCs w:val="20"/>
                    </w:rPr>
                    <w:t>To transform The Gambia into a country where:</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All citizens enjoy the benefits of the highest standards of governance, are equal before the law, and freedom of expression is fully guaranteed;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The government is fully accountable to its citizens and the constitutional provision on separation of powers is fully respected;</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There is social cohesion and harmony among communities;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Citizens enjoy a high standard of living and access to health, education, food, quality basic services and housing is guaranteed to allow citizens to lead decent and dignified lives; </w:t>
                  </w:r>
                </w:p>
                <w:p w:rsidR="00FD4AC6" w:rsidRPr="00860EC7" w:rsidRDefault="00FD4AC6" w:rsidP="00BA5F5B">
                  <w:pPr>
                    <w:pStyle w:val="ListParagraph"/>
                    <w:numPr>
                      <w:ilvl w:val="0"/>
                      <w:numId w:val="108"/>
                    </w:numPr>
                    <w:jc w:val="both"/>
                    <w:rPr>
                      <w:rFonts w:ascii="Avenir Book" w:hAnsi="Avenir Book"/>
                      <w:i/>
                      <w:color w:val="4F81BD"/>
                      <w:sz w:val="20"/>
                      <w:szCs w:val="20"/>
                    </w:rPr>
                  </w:pPr>
                  <w:r>
                    <w:rPr>
                      <w:rFonts w:ascii="Avenir Book" w:hAnsi="Avenir Book"/>
                      <w:i/>
                      <w:color w:val="4F81BD"/>
                      <w:sz w:val="20"/>
                      <w:szCs w:val="20"/>
                    </w:rPr>
                    <w:t xml:space="preserve">Women, </w:t>
                  </w:r>
                  <w:r w:rsidRPr="00860EC7">
                    <w:rPr>
                      <w:rFonts w:ascii="Avenir Book" w:hAnsi="Avenir Book"/>
                      <w:i/>
                      <w:color w:val="4F81BD"/>
                      <w:sz w:val="20"/>
                      <w:szCs w:val="20"/>
                    </w:rPr>
                    <w:t>youth</w:t>
                  </w:r>
                  <w:r>
                    <w:rPr>
                      <w:rFonts w:ascii="Avenir Book" w:hAnsi="Avenir Book"/>
                      <w:i/>
                      <w:color w:val="4F81BD"/>
                      <w:sz w:val="20"/>
                      <w:szCs w:val="20"/>
                    </w:rPr>
                    <w:t xml:space="preserve"> and children</w:t>
                  </w:r>
                  <w:r w:rsidRPr="00860EC7">
                    <w:rPr>
                      <w:rFonts w:ascii="Avenir Book" w:hAnsi="Avenir Book"/>
                      <w:i/>
                      <w:color w:val="4F81BD"/>
                      <w:sz w:val="20"/>
                      <w:szCs w:val="20"/>
                    </w:rPr>
                    <w:t xml:space="preserve"> realize their full potential;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A caring and nurturing environment exists for children, persons with disability and the elderly;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An enabling environment is in place for the private sector to thrive and create decent jobs, especially for the young;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Our natural endowments and their resilience create lasting solutions to poverty;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Modern science, innovation and technology are harnessed to spur people-oriented development; and </w:t>
                  </w:r>
                </w:p>
                <w:p w:rsidR="00FD4AC6" w:rsidRPr="00860EC7" w:rsidRDefault="00FD4AC6" w:rsidP="00BA5F5B">
                  <w:pPr>
                    <w:pStyle w:val="ListParagraph"/>
                    <w:numPr>
                      <w:ilvl w:val="0"/>
                      <w:numId w:val="108"/>
                    </w:numPr>
                    <w:jc w:val="both"/>
                    <w:rPr>
                      <w:rFonts w:ascii="Avenir Book" w:hAnsi="Avenir Book"/>
                      <w:i/>
                      <w:color w:val="4F81BD"/>
                      <w:sz w:val="20"/>
                      <w:szCs w:val="20"/>
                    </w:rPr>
                  </w:pPr>
                  <w:r w:rsidRPr="00860EC7">
                    <w:rPr>
                      <w:rFonts w:ascii="Avenir Book" w:hAnsi="Avenir Book"/>
                      <w:i/>
                      <w:color w:val="4F81BD"/>
                      <w:sz w:val="20"/>
                      <w:szCs w:val="20"/>
                    </w:rPr>
                    <w:t xml:space="preserve">There is good neighborliness with all countries based on our cherished values of democracy and mutual tolerance. </w:t>
                  </w:r>
                </w:p>
                <w:p w:rsidR="00FD4AC6" w:rsidRPr="00A704B1" w:rsidRDefault="00FD4AC6" w:rsidP="00C65598">
                  <w:pPr>
                    <w:jc w:val="center"/>
                    <w:rPr>
                      <w:rFonts w:ascii="Avenir Book" w:hAnsi="Avenir Book"/>
                      <w:b/>
                      <w:caps/>
                      <w:sz w:val="20"/>
                      <w:szCs w:val="20"/>
                    </w:rPr>
                  </w:pPr>
                  <w:r w:rsidRPr="00A704B1">
                    <w:rPr>
                      <w:rFonts w:ascii="Avenir Book" w:hAnsi="Avenir Book"/>
                      <w:b/>
                      <w:caps/>
                      <w:sz w:val="20"/>
                      <w:szCs w:val="20"/>
                    </w:rPr>
                    <w:t xml:space="preserve">THE GOAL </w:t>
                  </w:r>
                </w:p>
                <w:p w:rsidR="00FD4AC6" w:rsidRPr="00860EC7" w:rsidRDefault="00FD4AC6" w:rsidP="00C65598">
                  <w:pPr>
                    <w:jc w:val="both"/>
                    <w:rPr>
                      <w:rFonts w:ascii="Avenir Book" w:hAnsi="Avenir Book"/>
                      <w:i/>
                      <w:color w:val="4F81BD"/>
                      <w:sz w:val="20"/>
                      <w:szCs w:val="20"/>
                    </w:rPr>
                  </w:pPr>
                  <w:r w:rsidRPr="00860EC7">
                    <w:rPr>
                      <w:rFonts w:ascii="Avenir Book" w:hAnsi="Avenir Book"/>
                      <w:i/>
                      <w:color w:val="4F81BD"/>
                      <w:sz w:val="20"/>
                      <w:szCs w:val="20"/>
                    </w:rPr>
                    <w:t>Deliver good governance and accountability, social cohesion, and national reconciliation and a revitalized and transformed economy for the wellbeing of all Gambians</w:t>
                  </w:r>
                </w:p>
                <w:p w:rsidR="00FD4AC6" w:rsidRDefault="00FD4AC6" w:rsidP="00C65598"/>
              </w:txbxContent>
            </v:textbox>
            <w10:wrap type="square"/>
          </v:shape>
        </w:pict>
      </w:r>
      <w:bookmarkStart w:id="19" w:name="_Toc488689295"/>
      <w:r w:rsidR="00C65598" w:rsidRPr="00B06331">
        <w:rPr>
          <w:rFonts w:asciiTheme="minorHAnsi" w:hAnsiTheme="minorHAnsi" w:cstheme="minorHAnsi"/>
          <w:sz w:val="22"/>
          <w:szCs w:val="22"/>
        </w:rPr>
        <w:t>1.4 The Vision &amp; Plan Framework</w:t>
      </w:r>
      <w:bookmarkEnd w:id="18"/>
      <w:bookmarkEnd w:id="19"/>
    </w:p>
    <w:p w:rsidR="00C65598" w:rsidRPr="00B06331" w:rsidRDefault="00C65598" w:rsidP="00C65598">
      <w:pPr>
        <w:jc w:val="both"/>
        <w:rPr>
          <w:rFonts w:ascii="Avenir Book" w:hAnsi="Avenir Book"/>
          <w:szCs w:val="24"/>
        </w:rPr>
      </w:pPr>
      <w:r w:rsidRPr="00B06331">
        <w:rPr>
          <w:rFonts w:ascii="Avenir Book" w:hAnsi="Avenir Book"/>
          <w:szCs w:val="24"/>
        </w:rPr>
        <w:t>Drawing upon the Government Compact of May 2017, and other declarations of the new government, a plan framework was developed, outlining the guiding vision, the overall goal, and strategic priorities to focus on during the next four years</w:t>
      </w:r>
      <w:r w:rsidR="00163424" w:rsidRPr="00B06331">
        <w:rPr>
          <w:rFonts w:ascii="Avenir Book" w:hAnsi="Avenir Book"/>
          <w:szCs w:val="24"/>
        </w:rPr>
        <w:t xml:space="preserve"> (2018-2021)</w:t>
      </w:r>
      <w:r w:rsidRPr="00B06331">
        <w:rPr>
          <w:rFonts w:ascii="Avenir Book" w:hAnsi="Avenir Book"/>
          <w:szCs w:val="24"/>
        </w:rPr>
        <w:t>. The plan framework which is presented in Figure 1 below is results-based, and designed to strengthen accountability for delivery and feedback on government performance.</w:t>
      </w:r>
    </w:p>
    <w:p w:rsidR="00C65598" w:rsidRPr="00B06331" w:rsidRDefault="00C65598" w:rsidP="00C65598">
      <w:pPr>
        <w:jc w:val="both"/>
        <w:rPr>
          <w:rFonts w:ascii="Avenir Book" w:hAnsi="Avenir Book"/>
          <w:szCs w:val="24"/>
        </w:rPr>
      </w:pPr>
    </w:p>
    <w:p w:rsidR="00C65598" w:rsidRPr="00B06331" w:rsidRDefault="00C65598" w:rsidP="00C65598">
      <w:pPr>
        <w:pStyle w:val="Heading2"/>
        <w:rPr>
          <w:rFonts w:ascii="Calibri" w:hAnsi="Calibri" w:cs="Calibri"/>
          <w:sz w:val="22"/>
          <w:szCs w:val="22"/>
        </w:rPr>
      </w:pPr>
      <w:bookmarkStart w:id="20" w:name="_Toc488689296"/>
      <w:bookmarkStart w:id="21" w:name="_Toc492364724"/>
      <w:r w:rsidRPr="00B06331">
        <w:rPr>
          <w:rFonts w:ascii="Calibri" w:hAnsi="Calibri" w:cs="Calibri"/>
          <w:sz w:val="22"/>
          <w:szCs w:val="22"/>
        </w:rPr>
        <w:t>1.5 Structure of the Document</w:t>
      </w:r>
      <w:bookmarkEnd w:id="20"/>
      <w:bookmarkEnd w:id="21"/>
    </w:p>
    <w:p w:rsidR="00C65598" w:rsidRPr="00B06331" w:rsidRDefault="00C65598" w:rsidP="00C65598">
      <w:pPr>
        <w:jc w:val="both"/>
        <w:rPr>
          <w:rFonts w:ascii="Avenir Book" w:hAnsi="Avenir Book"/>
        </w:rPr>
      </w:pPr>
      <w:r w:rsidRPr="00B06331">
        <w:rPr>
          <w:rFonts w:ascii="Avenir Book" w:hAnsi="Avenir Book"/>
        </w:rPr>
        <w:t>The document presents the Plan in two parts and 10 chapters, summarized below.</w:t>
      </w:r>
    </w:p>
    <w:p w:rsidR="00C65598" w:rsidRPr="00B06331" w:rsidRDefault="00C65598" w:rsidP="00BA5F5B">
      <w:pPr>
        <w:pStyle w:val="ListParagraph"/>
        <w:numPr>
          <w:ilvl w:val="0"/>
          <w:numId w:val="109"/>
        </w:numPr>
        <w:jc w:val="both"/>
        <w:rPr>
          <w:rFonts w:ascii="Avenir Book" w:hAnsi="Avenir Book"/>
        </w:rPr>
      </w:pPr>
      <w:r w:rsidRPr="00B06331">
        <w:rPr>
          <w:rFonts w:ascii="Avenir Book" w:hAnsi="Avenir Book"/>
          <w:u w:val="single"/>
        </w:rPr>
        <w:t>Part I:</w:t>
      </w:r>
      <w:r w:rsidRPr="00B06331">
        <w:rPr>
          <w:rFonts w:ascii="Avenir Book" w:hAnsi="Avenir Book"/>
        </w:rPr>
        <w:t xml:space="preserve"> covers the context of the plan, presents the overall vision and goal to be realized, as well as the process for plan elaboration. It also outlines the structure of the document</w:t>
      </w:r>
      <w:r w:rsidR="00163424" w:rsidRPr="00B06331">
        <w:rPr>
          <w:rFonts w:ascii="Avenir Book" w:hAnsi="Avenir Book"/>
        </w:rPr>
        <w:t>and presents</w:t>
      </w:r>
      <w:r w:rsidRPr="00B06331">
        <w:rPr>
          <w:rFonts w:ascii="Avenir Book" w:hAnsi="Avenir Book"/>
        </w:rPr>
        <w:t xml:space="preserve">a detailed situational analysis and diagnosis which underpins the plan priorities. </w:t>
      </w:r>
    </w:p>
    <w:p w:rsidR="00C65598" w:rsidRPr="00B06331" w:rsidRDefault="00C65598" w:rsidP="00BA5F5B">
      <w:pPr>
        <w:pStyle w:val="ListParagraph"/>
        <w:numPr>
          <w:ilvl w:val="0"/>
          <w:numId w:val="109"/>
        </w:numPr>
        <w:jc w:val="both"/>
        <w:rPr>
          <w:rFonts w:ascii="Avenir Book" w:hAnsi="Avenir Book"/>
        </w:rPr>
      </w:pPr>
      <w:r w:rsidRPr="00B06331">
        <w:rPr>
          <w:rFonts w:ascii="Avenir Book" w:hAnsi="Avenir Book"/>
          <w:u w:val="single"/>
        </w:rPr>
        <w:t>Part II</w:t>
      </w:r>
      <w:r w:rsidRPr="00B06331">
        <w:rPr>
          <w:rFonts w:ascii="Avenir Book" w:hAnsi="Avenir Book"/>
        </w:rPr>
        <w:t>: covers the main body of the plan, laying out the priorities, outcomes, and key interventions. Part II alsopresents the accountability framework and outlines measures to implement the plan, such as the institutional arrangements, the M&amp;E framework and resourcing the plan.</w:t>
      </w:r>
    </w:p>
    <w:p w:rsidR="00C65598" w:rsidRPr="00B06331" w:rsidRDefault="00C65598" w:rsidP="00C65598">
      <w:pPr>
        <w:pStyle w:val="ListParagraph"/>
        <w:ind w:left="360"/>
        <w:rPr>
          <w:rFonts w:ascii="Avenir Book" w:hAnsi="Avenir Book"/>
          <w:b/>
          <w:sz w:val="24"/>
          <w:szCs w:val="24"/>
        </w:rPr>
        <w:sectPr w:rsidR="00C65598" w:rsidRPr="00B06331" w:rsidSect="00054460">
          <w:pgSz w:w="12240" w:h="15840"/>
          <w:pgMar w:top="1440" w:right="1440" w:bottom="1440" w:left="1440" w:header="720" w:footer="720" w:gutter="0"/>
          <w:cols w:space="720"/>
          <w:docGrid w:linePitch="360"/>
        </w:sectPr>
      </w:pPr>
      <w:r w:rsidRPr="00B06331">
        <w:rPr>
          <w:noProof/>
        </w:rPr>
        <w:lastRenderedPageBreak/>
        <w:drawing>
          <wp:inline distT="0" distB="0" distL="0" distR="0">
            <wp:extent cx="5941060" cy="8425180"/>
            <wp:effectExtent l="0" t="0" r="2540" b="0"/>
            <wp:docPr id="28" name="Picture 28" descr="C:\Users\tijan\AppData\Local\Microsoft\Windows\INetCache\Content.Word\finance[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tijan\AppData\Local\Microsoft\Windows\INetCache\Content.Word\finance[798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425180"/>
                    </a:xfrm>
                    <a:prstGeom prst="rect">
                      <a:avLst/>
                    </a:prstGeom>
                    <a:noFill/>
                    <a:ln>
                      <a:noFill/>
                    </a:ln>
                  </pic:spPr>
                </pic:pic>
              </a:graphicData>
            </a:graphic>
          </wp:inline>
        </w:drawing>
      </w:r>
    </w:p>
    <w:p w:rsidR="003B3B17" w:rsidRPr="00B06331" w:rsidRDefault="003B3B17" w:rsidP="004432AB">
      <w:pPr>
        <w:pStyle w:val="Heading1"/>
        <w:rPr>
          <w:rFonts w:asciiTheme="minorHAnsi" w:hAnsiTheme="minorHAnsi" w:cstheme="minorHAnsi"/>
          <w:sz w:val="22"/>
          <w:szCs w:val="22"/>
        </w:rPr>
      </w:pPr>
      <w:bookmarkStart w:id="22" w:name="_Toc488689297"/>
      <w:bookmarkStart w:id="23" w:name="_Toc492364725"/>
      <w:r w:rsidRPr="00B06331">
        <w:rPr>
          <w:rFonts w:asciiTheme="minorHAnsi" w:hAnsiTheme="minorHAnsi" w:cstheme="minorHAnsi"/>
          <w:sz w:val="22"/>
          <w:szCs w:val="22"/>
        </w:rPr>
        <w:lastRenderedPageBreak/>
        <w:t xml:space="preserve">Chapter 2: Country Overview and Political </w:t>
      </w:r>
      <w:bookmarkEnd w:id="22"/>
      <w:r w:rsidRPr="00B06331">
        <w:rPr>
          <w:rFonts w:asciiTheme="minorHAnsi" w:hAnsiTheme="minorHAnsi" w:cstheme="minorHAnsi"/>
          <w:sz w:val="22"/>
          <w:szCs w:val="22"/>
        </w:rPr>
        <w:t>Governance</w:t>
      </w:r>
      <w:bookmarkEnd w:id="23"/>
    </w:p>
    <w:p w:rsidR="003B3B17" w:rsidRPr="00B06331" w:rsidRDefault="003B3B17" w:rsidP="003B3B17">
      <w:pPr>
        <w:pStyle w:val="Heading2"/>
        <w:rPr>
          <w:rFonts w:ascii="Avenir Book" w:hAnsi="Avenir Book"/>
          <w:bCs w:val="0"/>
          <w:color w:val="7030A0"/>
          <w:sz w:val="22"/>
          <w:szCs w:val="24"/>
        </w:rPr>
      </w:pPr>
      <w:bookmarkStart w:id="24" w:name="_Toc492364726"/>
      <w:bookmarkStart w:id="25" w:name="_Toc488689298"/>
      <w:r w:rsidRPr="00B06331">
        <w:rPr>
          <w:rFonts w:ascii="Avenir Book" w:hAnsi="Avenir Book"/>
          <w:bCs w:val="0"/>
          <w:color w:val="7030A0"/>
          <w:sz w:val="22"/>
          <w:szCs w:val="24"/>
        </w:rPr>
        <w:t>2.1 Introduction</w:t>
      </w:r>
      <w:bookmarkEnd w:id="24"/>
    </w:p>
    <w:p w:rsidR="003B3B17" w:rsidRPr="00B06331" w:rsidRDefault="003B3B17" w:rsidP="003B3B17">
      <w:pPr>
        <w:spacing w:before="100" w:beforeAutospacing="1" w:after="100" w:afterAutospacing="1"/>
        <w:jc w:val="both"/>
        <w:rPr>
          <w:rFonts w:ascii="Avenir Book" w:hAnsi="Avenir Book"/>
          <w:szCs w:val="24"/>
          <w:lang w:val="en-GB"/>
        </w:rPr>
      </w:pPr>
      <w:r w:rsidRPr="00B06331">
        <w:rPr>
          <w:rFonts w:ascii="Avenir Book" w:hAnsi="Avenir Book"/>
          <w:szCs w:val="24"/>
          <w:lang w:val="en-GB"/>
        </w:rPr>
        <w:t>Chapter 2 presents the country overview and governance challenges the country faces after 22 years of dictatorship (1994-2017). The impact of poor governance on the functioning of the country’s public institutions is also analysed.</w:t>
      </w:r>
    </w:p>
    <w:p w:rsidR="003B3B17" w:rsidRPr="00B06331" w:rsidRDefault="003B3B17" w:rsidP="003B3B17">
      <w:pPr>
        <w:pStyle w:val="Heading2"/>
        <w:rPr>
          <w:rFonts w:ascii="Avenir Book" w:hAnsi="Avenir Book"/>
          <w:bCs w:val="0"/>
          <w:color w:val="7030A0"/>
          <w:sz w:val="22"/>
          <w:szCs w:val="24"/>
        </w:rPr>
      </w:pPr>
      <w:bookmarkStart w:id="26" w:name="_Toc492364727"/>
      <w:r w:rsidRPr="00B06331">
        <w:rPr>
          <w:rFonts w:ascii="Avenir Book" w:hAnsi="Avenir Book"/>
          <w:bCs w:val="0"/>
          <w:color w:val="7030A0"/>
          <w:sz w:val="22"/>
          <w:szCs w:val="24"/>
        </w:rPr>
        <w:t>2.2 The Gambia – a Country Overview</w:t>
      </w:r>
      <w:bookmarkEnd w:id="25"/>
      <w:bookmarkEnd w:id="26"/>
    </w:p>
    <w:p w:rsidR="003B3B17" w:rsidRPr="00B06331" w:rsidRDefault="003B3B17" w:rsidP="003B3B17">
      <w:pPr>
        <w:spacing w:before="100" w:beforeAutospacing="1" w:after="100" w:afterAutospacing="1"/>
        <w:jc w:val="both"/>
        <w:rPr>
          <w:rFonts w:ascii="Avenir Book" w:hAnsi="Avenir Book"/>
          <w:szCs w:val="24"/>
          <w:lang w:val="en-GB"/>
        </w:rPr>
      </w:pPr>
      <w:r w:rsidRPr="00B06331">
        <w:rPr>
          <w:rFonts w:ascii="Avenir Book" w:hAnsi="Avenir Book"/>
          <w:szCs w:val="24"/>
          <w:lang w:val="en-GB"/>
        </w:rPr>
        <w:t xml:space="preserve">The Republic of The Gambia in Western Africa occupies an area of 11,365 </w:t>
      </w:r>
      <w:r w:rsidR="00AC7328" w:rsidRPr="00B06331">
        <w:rPr>
          <w:rFonts w:ascii="Avenir Book" w:hAnsi="Avenir Book"/>
          <w:szCs w:val="24"/>
          <w:lang w:val="en-GB"/>
        </w:rPr>
        <w:t>sq.</w:t>
      </w:r>
      <w:r w:rsidRPr="00B06331">
        <w:rPr>
          <w:rFonts w:ascii="Avenir Book" w:hAnsi="Avenir Book"/>
          <w:szCs w:val="24"/>
          <w:lang w:val="en-GB"/>
        </w:rPr>
        <w:t xml:space="preserve"> km. A small sub-tropical country between latitudes 13º28W and 16º36W, it is bordered to the north, south and east by Senegal and has an 80km coast on the Atlantic Ocean to the west. The country’s borders roughly correspond with the path of the River Gambia. The capital city is Banjul.</w:t>
      </w:r>
    </w:p>
    <w:p w:rsidR="003B3B17" w:rsidRPr="00B06331" w:rsidRDefault="003B3B17" w:rsidP="003B3B17">
      <w:pPr>
        <w:spacing w:before="100" w:beforeAutospacing="1" w:after="100" w:afterAutospacing="1"/>
        <w:jc w:val="both"/>
        <w:rPr>
          <w:rFonts w:ascii="Avenir Book" w:hAnsi="Avenir Book"/>
          <w:szCs w:val="24"/>
          <w:lang w:val="en-GB"/>
        </w:rPr>
      </w:pPr>
      <w:r w:rsidRPr="00B06331">
        <w:rPr>
          <w:rFonts w:ascii="Avenir Book" w:hAnsi="Avenir Book"/>
          <w:szCs w:val="24"/>
          <w:lang w:val="en-GB"/>
        </w:rPr>
        <w:t>The Gambia has a sub-tropical climate with two variations of distinct dry and rainy seasons. The dry season commonly known as ‘Harmattan’ usually starts mid-October and ends around mid-June every year with an average temperature of 32°C / 89.6°F. The rainy season usually starts around the mid- June and ends around the mid-October with August being the wettest month of the year, temperatures can reach up to 41°C/105.8°C.</w:t>
      </w:r>
    </w:p>
    <w:p w:rsidR="003B3B17" w:rsidRPr="00B06331" w:rsidRDefault="003B3B17" w:rsidP="003B3B17">
      <w:pPr>
        <w:spacing w:before="100" w:beforeAutospacing="1" w:after="100" w:afterAutospacing="1"/>
        <w:jc w:val="both"/>
        <w:rPr>
          <w:rFonts w:ascii="Avenir Book" w:hAnsi="Avenir Book"/>
          <w:szCs w:val="24"/>
          <w:lang w:val="en-GB"/>
        </w:rPr>
      </w:pPr>
      <w:r w:rsidRPr="00B06331">
        <w:rPr>
          <w:rFonts w:ascii="Avenir Book" w:hAnsi="Avenir Book"/>
          <w:szCs w:val="24"/>
          <w:lang w:val="en-GB"/>
        </w:rPr>
        <w:t>The Gambia has a total area: 11,300 km2 (4388 sq. miles) and out of this approximately 1,300 km2 is of water bodies with an80-km coastline and an exclusive fishing zone of 200 nautical miles with continental shelf. The agricultural land is 6,550 km2 and the arable land is 588,000 hectares of which 334,000 hectares are under cultivation. It has a forest area of 4750 km2 i.e. 47.5% of land area.</w:t>
      </w:r>
    </w:p>
    <w:p w:rsidR="003B3B17" w:rsidRPr="00B06331" w:rsidRDefault="003B3B17" w:rsidP="003B3B17">
      <w:pPr>
        <w:spacing w:before="100" w:beforeAutospacing="1" w:after="100" w:afterAutospacing="1"/>
        <w:jc w:val="both"/>
        <w:rPr>
          <w:rFonts w:ascii="Times" w:hAnsi="Times"/>
          <w:sz w:val="18"/>
          <w:szCs w:val="20"/>
          <w:lang w:val="en-GB"/>
        </w:rPr>
      </w:pPr>
      <w:r w:rsidRPr="00B06331">
        <w:rPr>
          <w:rFonts w:ascii="Avenir Book" w:hAnsi="Avenir Book"/>
          <w:szCs w:val="24"/>
          <w:lang w:val="en-GB"/>
        </w:rPr>
        <w:t xml:space="preserve">The official language of the country is English and the different local languages are Mandinka, Wollof, Fula, Jola, Sarahule, Serere, Manjago and Creole (krio). The Republic of the Gambia’s constitution guarantees freedom of religion. Christianity, Islam and Traditional Religion are the major faiths practiced in the country with the following representation: Christianity (8%), Islam (90%) and traditional religion (2%). The total population of the Gambia according to the 2013 National Census was estimated at 1,882,450 inhabitants with average annual growth rate of 3.3%. </w:t>
      </w:r>
    </w:p>
    <w:p w:rsidR="003B3B17" w:rsidRPr="00B06331" w:rsidRDefault="003B3B17" w:rsidP="003B3B17">
      <w:pPr>
        <w:pStyle w:val="Heading2"/>
        <w:rPr>
          <w:rFonts w:ascii="Calibri" w:hAnsi="Calibri" w:cs="Calibri"/>
          <w:color w:val="7030A0"/>
          <w:sz w:val="22"/>
          <w:szCs w:val="22"/>
        </w:rPr>
      </w:pPr>
      <w:bookmarkStart w:id="27" w:name="_Toc488689299"/>
      <w:bookmarkStart w:id="28" w:name="_Toc492364728"/>
      <w:r w:rsidRPr="00B06331">
        <w:rPr>
          <w:rFonts w:ascii="Calibri" w:hAnsi="Calibri" w:cs="Calibri"/>
          <w:color w:val="7030A0"/>
          <w:sz w:val="22"/>
          <w:szCs w:val="22"/>
        </w:rPr>
        <w:t xml:space="preserve">2.3 Political </w:t>
      </w:r>
      <w:bookmarkEnd w:id="27"/>
      <w:r w:rsidRPr="00B06331">
        <w:rPr>
          <w:rFonts w:ascii="Calibri" w:hAnsi="Calibri" w:cs="Calibri"/>
          <w:color w:val="7030A0"/>
          <w:sz w:val="22"/>
          <w:szCs w:val="22"/>
        </w:rPr>
        <w:t>Governance</w:t>
      </w:r>
      <w:bookmarkEnd w:id="28"/>
    </w:p>
    <w:p w:rsidR="003B3B17" w:rsidRPr="00B06331" w:rsidRDefault="003B3B17" w:rsidP="00FB2711">
      <w:pPr>
        <w:pStyle w:val="Heading3"/>
        <w:rPr>
          <w:rFonts w:asciiTheme="minorHAnsi" w:hAnsiTheme="minorHAnsi" w:cstheme="minorHAnsi"/>
          <w:b/>
          <w:caps/>
          <w:sz w:val="22"/>
          <w:szCs w:val="22"/>
        </w:rPr>
      </w:pPr>
      <w:bookmarkStart w:id="29" w:name="_Toc492364729"/>
      <w:r w:rsidRPr="00B06331">
        <w:rPr>
          <w:rFonts w:asciiTheme="minorHAnsi" w:hAnsiTheme="minorHAnsi" w:cstheme="minorHAnsi"/>
          <w:b/>
          <w:sz w:val="22"/>
          <w:szCs w:val="22"/>
        </w:rPr>
        <w:t>2.3.1 Governance</w:t>
      </w:r>
      <w:bookmarkEnd w:id="29"/>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Good governance, justice and respect for fundamental human rights are important national objectives set out in the 1997 Constitution of The Gambia. By this act, The Gambia signaled recognition of the positive co-relation between good governance and private sector-led growth, poverty reduction, inclusive service delivery, and economic and socio-political stability.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Notwithstanding, over the past two decades the country witnessed widespread deterioration of governance and the rule of law – leading to gross human rights violations, political fragility, economic </w:t>
      </w:r>
      <w:r w:rsidRPr="00B06331">
        <w:rPr>
          <w:rFonts w:ascii="Avenir Book" w:eastAsia="Cambria" w:hAnsi="Avenir Book"/>
          <w:szCs w:val="24"/>
        </w:rPr>
        <w:lastRenderedPageBreak/>
        <w:t xml:space="preserve">instability, growth volatility and widening inequality. During 22 years of authoritarian rule, average Gambians were held hostage to a deplorable system of governance where intimidation and coercion, favoritism across ethnic lines and diversion of public resources (especially through SOEs) for political purposes reigned supreme.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Not surprisingly, the country observed declining trends across various governance indicators. The Global Competitiveness Report 2015-16 ranks The Gambia 123 out of 138 countries and in the Mo Ibrahim </w:t>
      </w:r>
      <w:r w:rsidR="00392500" w:rsidRPr="00B06331">
        <w:rPr>
          <w:rFonts w:ascii="Avenir Book" w:eastAsia="Cambria" w:hAnsi="Avenir Book"/>
          <w:szCs w:val="24"/>
        </w:rPr>
        <w:t>index,</w:t>
      </w:r>
      <w:r w:rsidRPr="00B06331">
        <w:rPr>
          <w:rFonts w:ascii="Avenir Book" w:eastAsia="Cambria" w:hAnsi="Avenir Book"/>
          <w:szCs w:val="24"/>
        </w:rPr>
        <w:t xml:space="preserve"> the country’s ranking declined from 19th to 35th of 54 African countries between 2009 and 2016, with scores below the regional average for both rule of law and accountability. Similar trends were observed across the six dimensions (voice and accountability; political stability/absence of violence/terrorism; governance effectiveness; regulatory quality; rule of law and control of corruption) of the Worldwide Governance Indicators.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Key features of the former political and economic governance environment include but were not limited to the following: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eastAsia="Cambria" w:hAnsi="Avenir Book"/>
          <w:szCs w:val="24"/>
        </w:rPr>
        <w:t xml:space="preserve">A dominant Executive which subjugated the legislative and judiciary branches of Government, unlawfully influenced their decisions, and rendered ineffective the checks and balances to authority inherent in modern societies.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eastAsia="Cambria" w:hAnsi="Avenir Book"/>
          <w:szCs w:val="24"/>
        </w:rPr>
        <w:t xml:space="preserve">Although the 1997 constitution grants financial and administrative autonomy to the judiciary it was subjected to political interference in all aspects of its work – to the extent that public confidence declined, </w:t>
      </w:r>
      <w:r w:rsidRPr="00B06331">
        <w:rPr>
          <w:rFonts w:ascii="Avenir Book" w:hAnsi="Avenir Book"/>
          <w:szCs w:val="24"/>
        </w:rPr>
        <w:t xml:space="preserve">justice delivery was perverted and slow, and there has been a marked deficit in access to justice. Other alternative sources of justice such as the Ombudsman, National Agency for Legal Aid and the Alternative Dispute Resolution Secretariat were not properly funded resulting in weak execution of their respective mandates.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hAnsi="Avenir Book"/>
          <w:szCs w:val="24"/>
        </w:rPr>
        <w:t xml:space="preserve">While the National Assembly was democratically elected, the President nominates its Speaker and Deputy Speaker, who dictate legislative activity. The National Assembly during the years of dictatorship was a de facto extension of the Executive Branch; it exercised limited power and only served essentially to sustain the repressive governance that prevailed. </w:t>
      </w:r>
      <w:r w:rsidR="00392500" w:rsidRPr="00B06331">
        <w:rPr>
          <w:rFonts w:ascii="Avenir Book" w:hAnsi="Avenir Book"/>
          <w:szCs w:val="24"/>
        </w:rPr>
        <w:t>In a marked departure from the past, the newly elected National Assembly has demonstrated a serious intent to hold the Executive to account (despite the majority being of the ruling part) by raising 180 questions during just one out of its four annual sessions, as compared to only 17 questions raised by the previous Assembly during 22 years of dictatorship.</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eastAsia="Cambria" w:hAnsi="Avenir Book"/>
          <w:szCs w:val="24"/>
        </w:rPr>
        <w:t xml:space="preserve">Restrictive laws limited freedom of expression while coercive legislations also stifled freedom of the press. The 2016 Freedom House Index rated The Gambia as “not free” with a score of 6.5 out of 7 (7 worst) in civil liberties and political rights. Access to information was </w:t>
      </w:r>
      <w:r w:rsidR="00AC7328" w:rsidRPr="00B06331">
        <w:rPr>
          <w:rFonts w:ascii="Avenir Book" w:eastAsia="Cambria" w:hAnsi="Avenir Book"/>
          <w:szCs w:val="24"/>
        </w:rPr>
        <w:t>limited,</w:t>
      </w:r>
      <w:r w:rsidRPr="00B06331">
        <w:rPr>
          <w:rFonts w:ascii="Avenir Book" w:eastAsia="Cambria" w:hAnsi="Avenir Book"/>
          <w:szCs w:val="24"/>
        </w:rPr>
        <w:t xml:space="preserve"> which impeded the capacity of citizens, including some 180 registered NGOs, to substantively engage in policy dialogue and oversight.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eastAsia="Cambria" w:hAnsi="Avenir Book"/>
          <w:szCs w:val="24"/>
        </w:rPr>
        <w:t xml:space="preserve">The right of citizens to democratically choose their political representation was unduly controlled by the ruling party as well as by the denial of development to communities that vote for the opposition; and there was a general intolerance to opposing view within national discourse. Similarly, citizens – the rights holders - were unable to hold Government (as the duty </w:t>
      </w:r>
      <w:r w:rsidRPr="00B06331">
        <w:rPr>
          <w:rFonts w:ascii="Avenir Book" w:eastAsia="Cambria" w:hAnsi="Avenir Book"/>
          <w:szCs w:val="24"/>
        </w:rPr>
        <w:lastRenderedPageBreak/>
        <w:t xml:space="preserve">bearer) to account, resulting in a Government that acted with impunity and was noted for its excesses.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hAnsi="Avenir Book"/>
          <w:szCs w:val="24"/>
        </w:rPr>
        <w:t xml:space="preserve">The quality and effectiveness of all public institutions deteriorated and weakened and their ability to be an effective vehicle for progress was diminished. This impacted negatively on service delivery and the government’s ability to attract private sector investment.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eastAsia="Cambria" w:hAnsi="Avenir Book"/>
          <w:szCs w:val="24"/>
        </w:rPr>
        <w:t xml:space="preserve">Poor public resource management has had a significant impact on the macro-fiscal stability of the country.The undisciplined fiscal practices </w:t>
      </w:r>
      <w:r w:rsidR="00392500" w:rsidRPr="00B06331">
        <w:rPr>
          <w:rFonts w:ascii="Avenir Book" w:eastAsia="Cambria" w:hAnsi="Avenir Book"/>
          <w:szCs w:val="24"/>
        </w:rPr>
        <w:t>were</w:t>
      </w:r>
      <w:r w:rsidRPr="00B06331">
        <w:rPr>
          <w:rFonts w:ascii="Avenir Book" w:eastAsia="Cambria" w:hAnsi="Avenir Book"/>
          <w:szCs w:val="24"/>
        </w:rPr>
        <w:t xml:space="preserve"> evidenced by uncontrolled domestic borrowing to fund Government excesses, frequent use of supplementary budgets to access significantly higher levels of total revenues than initially appropriated in the original budget, and outright theft and the plunder of public resources. </w:t>
      </w:r>
    </w:p>
    <w:p w:rsidR="003B3B17" w:rsidRPr="00B06331" w:rsidRDefault="003B3B17" w:rsidP="004143E3">
      <w:pPr>
        <w:numPr>
          <w:ilvl w:val="0"/>
          <w:numId w:val="78"/>
        </w:numPr>
        <w:ind w:left="714" w:hanging="357"/>
        <w:contextualSpacing/>
        <w:jc w:val="both"/>
        <w:rPr>
          <w:rFonts w:ascii="Avenir Book" w:eastAsia="Cambria" w:hAnsi="Avenir Book"/>
          <w:szCs w:val="24"/>
        </w:rPr>
      </w:pPr>
      <w:r w:rsidRPr="00B06331">
        <w:rPr>
          <w:rFonts w:ascii="Avenir Book" w:eastAsia="Cambria" w:hAnsi="Avenir Book"/>
          <w:szCs w:val="24"/>
        </w:rPr>
        <w:t xml:space="preserve">There was poor oversight, management, corporate </w:t>
      </w:r>
      <w:r w:rsidR="00392500" w:rsidRPr="00B06331">
        <w:rPr>
          <w:rFonts w:ascii="Avenir Book" w:eastAsia="Cambria" w:hAnsi="Avenir Book"/>
          <w:szCs w:val="24"/>
        </w:rPr>
        <w:t>governance,</w:t>
      </w:r>
      <w:r w:rsidRPr="00B06331">
        <w:rPr>
          <w:rFonts w:ascii="Avenir Book" w:eastAsia="Cambria" w:hAnsi="Avenir Book"/>
          <w:szCs w:val="24"/>
        </w:rPr>
        <w:t xml:space="preserve"> and accounting practices by SOEs resulting in wastage of state resources, while providing a platform for corruption and political patronage. A</w:t>
      </w:r>
      <w:r w:rsidRPr="00B06331">
        <w:rPr>
          <w:rFonts w:ascii="Avenir Book" w:hAnsi="Avenir Book"/>
          <w:szCs w:val="24"/>
        </w:rPr>
        <w:t xml:space="preserve">n Anti-corruption Bill was presented but </w:t>
      </w:r>
      <w:r w:rsidR="00392500" w:rsidRPr="00B06331">
        <w:rPr>
          <w:rFonts w:ascii="Avenir Book" w:hAnsi="Avenir Book"/>
          <w:szCs w:val="24"/>
        </w:rPr>
        <w:t xml:space="preserve">was </w:t>
      </w:r>
      <w:r w:rsidRPr="00B06331">
        <w:rPr>
          <w:rFonts w:ascii="Avenir Book" w:hAnsi="Avenir Book"/>
          <w:szCs w:val="24"/>
        </w:rPr>
        <w:t>never passed. According to Transparency International, The Gambia’s ranking on the Corruption Perception Index fell from 91st (out of 178 countries) in 2010 to 123</w:t>
      </w:r>
      <w:r w:rsidRPr="00B06331">
        <w:rPr>
          <w:rFonts w:ascii="Avenir Book" w:hAnsi="Avenir Book"/>
          <w:szCs w:val="24"/>
          <w:vertAlign w:val="superscript"/>
        </w:rPr>
        <w:t>rd</w:t>
      </w:r>
      <w:r w:rsidRPr="00B06331">
        <w:rPr>
          <w:rFonts w:ascii="Avenir Book" w:hAnsi="Avenir Book"/>
          <w:szCs w:val="24"/>
        </w:rPr>
        <w:t xml:space="preserve"> (out of 168 countries) in 2015. </w:t>
      </w:r>
    </w:p>
    <w:p w:rsidR="003B3B17" w:rsidRPr="00B06331" w:rsidRDefault="003B3B17" w:rsidP="003B3B17">
      <w:pPr>
        <w:ind w:left="714"/>
        <w:contextualSpacing/>
        <w:jc w:val="both"/>
        <w:rPr>
          <w:rFonts w:ascii="Avenir Book" w:eastAsia="Cambria" w:hAnsi="Avenir Book"/>
          <w:szCs w:val="24"/>
        </w:rPr>
      </w:pPr>
    </w:p>
    <w:p w:rsidR="003B3B17" w:rsidRPr="00B06331" w:rsidRDefault="003B3B17" w:rsidP="003B3B17">
      <w:pPr>
        <w:jc w:val="both"/>
        <w:rPr>
          <w:rFonts w:ascii="Avenir Book" w:eastAsia="Cambria" w:hAnsi="Avenir Book"/>
          <w:szCs w:val="24"/>
        </w:rPr>
      </w:pPr>
      <w:r w:rsidRPr="00B06331">
        <w:rPr>
          <w:rFonts w:ascii="Avenir Book" w:hAnsi="Avenir Book"/>
          <w:szCs w:val="24"/>
        </w:rPr>
        <w:t xml:space="preserve">The legacy of poor political and economic governance and declining public-sector effectiveness added to the fragility and challenges associated with the country’s armed and security services which were </w:t>
      </w:r>
      <w:r w:rsidRPr="00B06331">
        <w:rPr>
          <w:rFonts w:ascii="Avenir Book" w:eastAsia="Cambria" w:hAnsi="Avenir Book"/>
        </w:rPr>
        <w:t xml:space="preserve">predicated largely on coercion and submission, harassment, arbitrary arrests, torture, and extra-judicial killings.Gambians lived subservient to the security needs of a repressive regime that saw its citizens as a key source of insecurity, while for the </w:t>
      </w:r>
      <w:r w:rsidR="006A0586" w:rsidRPr="00B06331">
        <w:rPr>
          <w:rFonts w:ascii="Avenir Book" w:eastAsia="Cambria" w:hAnsi="Avenir Book"/>
        </w:rPr>
        <w:t>citizens;</w:t>
      </w:r>
      <w:r w:rsidRPr="00B06331">
        <w:rPr>
          <w:rFonts w:ascii="Avenir Book" w:eastAsia="Cambria" w:hAnsi="Avenir Book"/>
        </w:rPr>
        <w:t xml:space="preserve"> the state was the foremost source of their insecurity</w:t>
      </w:r>
      <w:r w:rsidRPr="00B06331">
        <w:rPr>
          <w:rFonts w:ascii="Avenir Book" w:hAnsi="Avenir Book"/>
          <w:szCs w:val="24"/>
        </w:rPr>
        <w:t xml:space="preserve">. Given the complexities and sensitivities associated with the planned security sector reform, details are presented in a separate document.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The years of dictatorship and the political impasse which ushered in democratic governance divided and created distrust among communities who hitherto co-existed peacefully and harmoniously.  Mistrust created by the political tension</w:t>
      </w:r>
      <w:r w:rsidR="00775D29" w:rsidRPr="00B06331">
        <w:rPr>
          <w:rFonts w:ascii="Avenir Book" w:eastAsia="Cambria" w:hAnsi="Avenir Book"/>
          <w:szCs w:val="24"/>
        </w:rPr>
        <w:t>s requires an urgent response to promote</w:t>
      </w:r>
      <w:r w:rsidRPr="00B06331">
        <w:rPr>
          <w:rFonts w:ascii="Avenir Book" w:eastAsia="Cambria" w:hAnsi="Avenir Book"/>
          <w:szCs w:val="24"/>
        </w:rPr>
        <w:t xml:space="preserve"> peace, and national reconciliation in the context of transitional justice.</w:t>
      </w:r>
    </w:p>
    <w:p w:rsidR="003B3B17" w:rsidRPr="00B06331" w:rsidRDefault="003B3B17" w:rsidP="00FB2711">
      <w:pPr>
        <w:pStyle w:val="Heading3"/>
        <w:rPr>
          <w:rFonts w:asciiTheme="minorHAnsi" w:hAnsiTheme="minorHAnsi" w:cstheme="minorHAnsi"/>
          <w:b/>
          <w:sz w:val="22"/>
          <w:szCs w:val="22"/>
        </w:rPr>
      </w:pPr>
      <w:bookmarkStart w:id="30" w:name="_Toc492364730"/>
      <w:r w:rsidRPr="00B06331">
        <w:rPr>
          <w:rFonts w:asciiTheme="minorHAnsi" w:hAnsiTheme="minorHAnsi" w:cstheme="minorHAnsi"/>
          <w:b/>
          <w:sz w:val="22"/>
          <w:szCs w:val="22"/>
        </w:rPr>
        <w:t>2.3.2 Public Sector Institutions</w:t>
      </w:r>
      <w:bookmarkEnd w:id="30"/>
    </w:p>
    <w:p w:rsidR="003B3B17" w:rsidRPr="00B06331" w:rsidRDefault="003B3B17" w:rsidP="003B3B17">
      <w:pPr>
        <w:spacing w:after="0"/>
        <w:jc w:val="both"/>
        <w:rPr>
          <w:rFonts w:ascii="Avenir Book" w:eastAsia="Cambria" w:hAnsi="Avenir Book"/>
        </w:rPr>
      </w:pPr>
      <w:r w:rsidRPr="00B06331">
        <w:rPr>
          <w:rFonts w:ascii="Avenir Book" w:eastAsia="Cambria" w:hAnsi="Avenir Book"/>
        </w:rPr>
        <w:t xml:space="preserve">Effective institutions will make the difference in the success of the new Gambia’s development </w:t>
      </w:r>
      <w:r w:rsidR="006A0586" w:rsidRPr="00B06331">
        <w:rPr>
          <w:rFonts w:ascii="Avenir Book" w:eastAsia="Cambria" w:hAnsi="Avenir Book"/>
        </w:rPr>
        <w:t>agenda,</w:t>
      </w:r>
      <w:r w:rsidRPr="00B06331">
        <w:rPr>
          <w:rFonts w:ascii="Avenir Book" w:eastAsia="Cambria" w:hAnsi="Avenir Book"/>
        </w:rPr>
        <w:t xml:space="preserve"> as they are a significant “game changer” in the current Government’s compact on delivering good governance, accountable and exemplary leadership to the people of </w:t>
      </w:r>
      <w:r w:rsidR="00775D29" w:rsidRPr="00B06331">
        <w:rPr>
          <w:rFonts w:ascii="Avenir Book" w:eastAsia="Cambria" w:hAnsi="Avenir Book"/>
        </w:rPr>
        <w:t>the Gambia. Leading this</w:t>
      </w:r>
      <w:r w:rsidR="00DB0301" w:rsidRPr="00B06331">
        <w:rPr>
          <w:rFonts w:ascii="Avenir Book" w:eastAsia="Cambria" w:hAnsi="Avenir Book"/>
        </w:rPr>
        <w:t xml:space="preserve"> are (i) Civil Service Reforms </w:t>
      </w:r>
      <w:r w:rsidRPr="00B06331">
        <w:rPr>
          <w:rFonts w:ascii="Avenir Book" w:eastAsia="Cambria" w:hAnsi="Avenir Book"/>
        </w:rPr>
        <w:t xml:space="preserve">(ii) Public Financial Management Reforms and (iii) State Enterprises Reforms. </w:t>
      </w:r>
    </w:p>
    <w:p w:rsidR="003B3B17" w:rsidRPr="00B06331" w:rsidRDefault="003B3B17" w:rsidP="003B3B17">
      <w:pPr>
        <w:spacing w:after="0"/>
        <w:jc w:val="both"/>
        <w:rPr>
          <w:rFonts w:ascii="Avenir Book" w:eastAsia="Cambria" w:hAnsi="Avenir Book"/>
        </w:rPr>
      </w:pPr>
    </w:p>
    <w:p w:rsidR="003B3B17" w:rsidRPr="00B06331" w:rsidRDefault="003B3B17" w:rsidP="003B3B17">
      <w:pPr>
        <w:spacing w:after="0"/>
        <w:jc w:val="both"/>
        <w:rPr>
          <w:rFonts w:ascii="Avenir Book" w:hAnsi="Avenir Book"/>
          <w:b/>
          <w:sz w:val="24"/>
          <w:szCs w:val="24"/>
        </w:rPr>
      </w:pPr>
      <w:r w:rsidRPr="00B06331">
        <w:rPr>
          <w:rFonts w:ascii="Avenir Book" w:eastAsia="Cambria" w:hAnsi="Avenir Book"/>
        </w:rPr>
        <w:t>This section deals with civil service reform – aspects related to Public Finance Management Reforms and State Enterprises reform are treated under the Macroeconomic management section.</w:t>
      </w:r>
    </w:p>
    <w:p w:rsidR="003B3B17" w:rsidRPr="00B06331" w:rsidRDefault="003B3B17" w:rsidP="003B3B17">
      <w:pPr>
        <w:pStyle w:val="ListParagraph"/>
        <w:spacing w:after="0"/>
        <w:ind w:left="0"/>
        <w:jc w:val="both"/>
        <w:rPr>
          <w:rFonts w:ascii="Avenir Book" w:hAnsi="Avenir Book"/>
          <w:b/>
          <w:color w:val="365F91"/>
        </w:rPr>
      </w:pPr>
    </w:p>
    <w:p w:rsidR="003B3B17" w:rsidRPr="00B06331" w:rsidRDefault="003B3B17" w:rsidP="00581D02">
      <w:pPr>
        <w:rPr>
          <w:b/>
        </w:rPr>
      </w:pPr>
      <w:r w:rsidRPr="00B06331">
        <w:rPr>
          <w:b/>
        </w:rPr>
        <w:t>Civil Service Reform (CSR)</w:t>
      </w:r>
    </w:p>
    <w:p w:rsidR="003B3B17" w:rsidRPr="00B06331" w:rsidRDefault="003B3B17" w:rsidP="003B3B17">
      <w:pPr>
        <w:pStyle w:val="ListParagraph"/>
        <w:spacing w:after="0"/>
        <w:ind w:left="0"/>
        <w:jc w:val="both"/>
        <w:rPr>
          <w:rFonts w:ascii="Avenir Book" w:hAnsi="Avenir Book"/>
        </w:rPr>
      </w:pPr>
      <w:r w:rsidRPr="00B06331">
        <w:rPr>
          <w:rFonts w:ascii="Avenir Book" w:hAnsi="Avenir Book"/>
        </w:rPr>
        <w:t xml:space="preserve">The improvement of the Gambia’s civil service has been a continuing programme that has yielded some achievements over the past five years.  Government initiated the Civil Service Reform Programme </w:t>
      </w:r>
      <w:r w:rsidRPr="00B06331">
        <w:rPr>
          <w:rFonts w:ascii="Avenir Book" w:hAnsi="Avenir Book"/>
        </w:rPr>
        <w:lastRenderedPageBreak/>
        <w:t>(CSRP) 2012-2015 to improve operational efficiency and reduce transaction costs –through automation of government business processes and archiving through the installation of e-Government platform; building human resource capacities of ministries and staff; and review of the pay and grading system.</w:t>
      </w:r>
    </w:p>
    <w:p w:rsidR="003B3B17" w:rsidRPr="00B06331" w:rsidRDefault="003B3B17" w:rsidP="003B3B17">
      <w:pPr>
        <w:pStyle w:val="ListParagraph"/>
        <w:spacing w:after="0"/>
        <w:ind w:left="0"/>
        <w:jc w:val="both"/>
        <w:rPr>
          <w:rFonts w:ascii="Avenir Book" w:hAnsi="Avenir Book"/>
        </w:rPr>
      </w:pPr>
    </w:p>
    <w:p w:rsidR="003B3B17" w:rsidRPr="00B06331" w:rsidRDefault="003B3B17" w:rsidP="003B3B17">
      <w:pPr>
        <w:pStyle w:val="ListParagraph"/>
        <w:spacing w:after="0"/>
        <w:ind w:left="0"/>
        <w:jc w:val="both"/>
        <w:rPr>
          <w:rFonts w:ascii="Avenir Book" w:hAnsi="Avenir Book"/>
        </w:rPr>
      </w:pPr>
      <w:r w:rsidRPr="00B06331">
        <w:rPr>
          <w:rFonts w:ascii="Avenir Book" w:hAnsi="Avenir Book"/>
        </w:rPr>
        <w:t xml:space="preserve">However, success in the present circumstances will depend on how the Gambia manages the quality and quantity of the public sector’s physical, financial, and human resources which have been depleted by years of mismanagement and neglect as outlined below: </w:t>
      </w:r>
    </w:p>
    <w:p w:rsidR="003B3B17" w:rsidRPr="00B06331" w:rsidRDefault="003B3B17" w:rsidP="003B3B17">
      <w:pPr>
        <w:pStyle w:val="ListParagraph"/>
        <w:spacing w:after="0"/>
        <w:ind w:left="0"/>
        <w:jc w:val="both"/>
        <w:rPr>
          <w:rFonts w:ascii="Avenir Book" w:hAnsi="Avenir Book"/>
        </w:rPr>
      </w:pPr>
    </w:p>
    <w:p w:rsidR="003B3B17" w:rsidRPr="00B06331" w:rsidRDefault="003B3B17" w:rsidP="004143E3">
      <w:pPr>
        <w:pStyle w:val="ListParagraph"/>
        <w:numPr>
          <w:ilvl w:val="0"/>
          <w:numId w:val="84"/>
        </w:numPr>
        <w:spacing w:after="0"/>
        <w:jc w:val="both"/>
        <w:rPr>
          <w:rFonts w:ascii="Avenir Book" w:hAnsi="Avenir Book"/>
        </w:rPr>
      </w:pPr>
      <w:r w:rsidRPr="00B06331">
        <w:rPr>
          <w:rFonts w:ascii="Avenir Book" w:hAnsi="Avenir Book"/>
        </w:rPr>
        <w:t xml:space="preserve">The multiplicity of ministries, agencies, departments, and functions has led to a bloated civil service characterized by poor coordination, inadequate synergies, and duplication of interventions. </w:t>
      </w:r>
    </w:p>
    <w:p w:rsidR="003B3B17" w:rsidRPr="00B06331" w:rsidRDefault="003B3B17" w:rsidP="004143E3">
      <w:pPr>
        <w:pStyle w:val="ListParagraph"/>
        <w:numPr>
          <w:ilvl w:val="0"/>
          <w:numId w:val="84"/>
        </w:numPr>
        <w:spacing w:after="0"/>
        <w:jc w:val="both"/>
        <w:rPr>
          <w:rFonts w:ascii="Avenir Book" w:hAnsi="Avenir Book"/>
        </w:rPr>
      </w:pPr>
      <w:r w:rsidRPr="00B06331">
        <w:rPr>
          <w:rFonts w:ascii="Avenir Book" w:hAnsi="Avenir Book"/>
        </w:rPr>
        <w:t xml:space="preserve">Lack of performance management system, inadequate programming capacity and generally low pay and pension scales has led to low productivity which was further worsened by politicized recruitment and promotion processes and sparse conduct of capacity gaps assessments. </w:t>
      </w:r>
    </w:p>
    <w:p w:rsidR="003B3B17" w:rsidRPr="00B06331" w:rsidRDefault="003B3B17" w:rsidP="004143E3">
      <w:pPr>
        <w:pStyle w:val="ListParagraph"/>
        <w:numPr>
          <w:ilvl w:val="0"/>
          <w:numId w:val="84"/>
        </w:numPr>
        <w:spacing w:after="0"/>
        <w:jc w:val="both"/>
        <w:rPr>
          <w:rFonts w:ascii="Avenir Book" w:hAnsi="Avenir Book"/>
        </w:rPr>
      </w:pPr>
      <w:r w:rsidRPr="00B06331">
        <w:rPr>
          <w:rFonts w:ascii="Avenir Book" w:hAnsi="Avenir Book"/>
        </w:rPr>
        <w:t>Apart from a few exceptions, notable among which is the IFMIS, most Government transactions are anchored on inefficient manual processes. This is despite the existence of an e-Government platform (since 2003), which remained largely under-utilized due to limited access, weak technical competences, and limited internet connectivity.</w:t>
      </w:r>
    </w:p>
    <w:p w:rsidR="003B3B17" w:rsidRPr="00B06331" w:rsidRDefault="003B3B17" w:rsidP="004143E3">
      <w:pPr>
        <w:pStyle w:val="ListParagraph"/>
        <w:numPr>
          <w:ilvl w:val="0"/>
          <w:numId w:val="84"/>
        </w:numPr>
        <w:spacing w:before="240"/>
        <w:jc w:val="both"/>
        <w:rPr>
          <w:rFonts w:ascii="Avenir Book" w:hAnsi="Avenir Book"/>
        </w:rPr>
      </w:pPr>
      <w:r w:rsidRPr="00B06331">
        <w:rPr>
          <w:rFonts w:ascii="Avenir Book" w:hAnsi="Avenir Book"/>
        </w:rPr>
        <w:t xml:space="preserve">At an individual level, insecurity of tenure and limited recourse to administrative judicial channels during the past 22 years of repressive Government had led to high attrition rates and an increasingly junior workforce. </w:t>
      </w:r>
    </w:p>
    <w:p w:rsidR="003B3B17" w:rsidRPr="00B06331" w:rsidRDefault="003B3B17" w:rsidP="003B3B17">
      <w:pPr>
        <w:pStyle w:val="ListParagraph"/>
        <w:spacing w:before="240"/>
        <w:ind w:left="0"/>
        <w:jc w:val="both"/>
        <w:rPr>
          <w:rFonts w:ascii="Avenir Book" w:hAnsi="Avenir Book"/>
        </w:rPr>
      </w:pPr>
    </w:p>
    <w:p w:rsidR="003B3B17" w:rsidRPr="00B06331" w:rsidRDefault="003B3B17" w:rsidP="003B3B17">
      <w:pPr>
        <w:pStyle w:val="ListParagraph"/>
        <w:spacing w:before="240"/>
        <w:ind w:left="0"/>
        <w:jc w:val="both"/>
        <w:rPr>
          <w:rFonts w:ascii="Avenir Book" w:hAnsi="Avenir Book"/>
        </w:rPr>
      </w:pPr>
      <w:r w:rsidRPr="00B06331">
        <w:rPr>
          <w:rFonts w:ascii="Avenir Book" w:hAnsi="Avenir Book"/>
        </w:rPr>
        <w:t>With the change in government, only a handful of high-level political figures have a working knowledge of the Gambian public administration. While this offers an opportunity to make a decisive break with the policies and values of the previous government, it also complicates reform efforts, as many of the political figures charged with implementing reforms have limited experience with the Gambian public sector and lack strong working relationships with career public servants.</w:t>
      </w:r>
    </w:p>
    <w:p w:rsidR="003B3B17" w:rsidRPr="00B06331" w:rsidRDefault="003B3B17" w:rsidP="003B3B17"/>
    <w:p w:rsidR="003B3B17" w:rsidRPr="00B06331" w:rsidRDefault="003B3B17" w:rsidP="003B3B17"/>
    <w:p w:rsidR="003B3B17" w:rsidRPr="00B06331" w:rsidRDefault="003B3B17" w:rsidP="003B3B17"/>
    <w:p w:rsidR="003B3B17" w:rsidRPr="00B06331" w:rsidRDefault="003B3B17" w:rsidP="003B3B17">
      <w:pPr>
        <w:jc w:val="center"/>
        <w:sectPr w:rsidR="003B3B17" w:rsidRPr="00B06331">
          <w:pgSz w:w="12240" w:h="15840"/>
          <w:pgMar w:top="1440" w:right="1440" w:bottom="1440" w:left="1440" w:header="720" w:footer="720" w:gutter="0"/>
          <w:cols w:space="720"/>
        </w:sectPr>
      </w:pPr>
    </w:p>
    <w:p w:rsidR="003B3B17" w:rsidRPr="00B06331" w:rsidRDefault="003B3B17" w:rsidP="003B3B17">
      <w:pPr>
        <w:rPr>
          <w:rFonts w:ascii="Avenir Book" w:hAnsi="Avenir Book"/>
          <w:b/>
          <w:color w:val="7030A0"/>
          <w:szCs w:val="24"/>
        </w:rPr>
      </w:pPr>
      <w:r w:rsidRPr="00B06331">
        <w:rPr>
          <w:rFonts w:ascii="Avenir Book" w:hAnsi="Avenir Book"/>
          <w:b/>
          <w:color w:val="7030A0"/>
          <w:szCs w:val="24"/>
        </w:rPr>
        <w:lastRenderedPageBreak/>
        <w:t xml:space="preserve">Table 2. 1: Key Issues to address in Governance and Strengthening Public Institutions </w:t>
      </w:r>
    </w:p>
    <w:tbl>
      <w:tblPr>
        <w:tblW w:w="134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728"/>
        <w:gridCol w:w="11700"/>
      </w:tblGrid>
      <w:tr w:rsidR="003B3B17" w:rsidRPr="00B06331" w:rsidTr="003B3B17">
        <w:tc>
          <w:tcPr>
            <w:tcW w:w="1728" w:type="dxa"/>
            <w:tcBorders>
              <w:top w:val="single" w:sz="4" w:space="0" w:color="4472C4"/>
              <w:left w:val="single" w:sz="4" w:space="0" w:color="4472C4"/>
              <w:bottom w:val="single" w:sz="4" w:space="0" w:color="4472C4"/>
              <w:right w:val="nil"/>
            </w:tcBorders>
            <w:shd w:val="clear" w:color="auto" w:fill="4472C4"/>
          </w:tcPr>
          <w:p w:rsidR="003B3B17" w:rsidRPr="00B06331" w:rsidRDefault="003B3B17" w:rsidP="003B3B17">
            <w:pPr>
              <w:rPr>
                <w:rFonts w:ascii="Avenir Book" w:hAnsi="Avenir Book"/>
                <w:b/>
                <w:bCs/>
                <w:color w:val="FFFFFF"/>
                <w:szCs w:val="24"/>
              </w:rPr>
            </w:pPr>
            <w:r w:rsidRPr="00B06331">
              <w:rPr>
                <w:rFonts w:ascii="Avenir Book" w:hAnsi="Avenir Book"/>
                <w:b/>
                <w:bCs/>
                <w:color w:val="FFFFFF"/>
                <w:szCs w:val="24"/>
              </w:rPr>
              <w:t>Thematic Area</w:t>
            </w:r>
          </w:p>
        </w:tc>
        <w:tc>
          <w:tcPr>
            <w:tcW w:w="11700" w:type="dxa"/>
            <w:tcBorders>
              <w:top w:val="single" w:sz="4" w:space="0" w:color="4472C4"/>
              <w:left w:val="nil"/>
              <w:bottom w:val="single" w:sz="4" w:space="0" w:color="4472C4"/>
              <w:right w:val="single" w:sz="4" w:space="0" w:color="4472C4"/>
            </w:tcBorders>
            <w:shd w:val="clear" w:color="auto" w:fill="4472C4"/>
          </w:tcPr>
          <w:p w:rsidR="003B3B17" w:rsidRPr="00B06331" w:rsidRDefault="003B3B17" w:rsidP="003B3B17">
            <w:pPr>
              <w:rPr>
                <w:rFonts w:ascii="Avenir Book" w:hAnsi="Avenir Book"/>
                <w:b/>
                <w:bCs/>
                <w:color w:val="FFFFFF"/>
                <w:sz w:val="20"/>
                <w:szCs w:val="24"/>
              </w:rPr>
            </w:pPr>
            <w:r w:rsidRPr="00B06331">
              <w:rPr>
                <w:rFonts w:ascii="Avenir Book" w:hAnsi="Avenir Book"/>
                <w:b/>
                <w:bCs/>
                <w:color w:val="FFFFFF"/>
                <w:szCs w:val="24"/>
              </w:rPr>
              <w:t>Key Issues to Address</w:t>
            </w:r>
          </w:p>
        </w:tc>
      </w:tr>
      <w:tr w:rsidR="003B3B17" w:rsidRPr="00B06331" w:rsidTr="003B3B17">
        <w:tc>
          <w:tcPr>
            <w:tcW w:w="1728" w:type="dxa"/>
            <w:shd w:val="clear" w:color="auto" w:fill="D9E2F3"/>
          </w:tcPr>
          <w:p w:rsidR="003B3B17" w:rsidRPr="00B06331" w:rsidRDefault="003B3B17" w:rsidP="003B3B17">
            <w:pPr>
              <w:rPr>
                <w:b/>
                <w:bCs/>
                <w:sz w:val="20"/>
              </w:rPr>
            </w:pPr>
            <w:r w:rsidRPr="00B06331">
              <w:rPr>
                <w:rFonts w:ascii="Avenir Book" w:hAnsi="Avenir Book"/>
                <w:b/>
                <w:bCs/>
                <w:sz w:val="20"/>
                <w:szCs w:val="24"/>
              </w:rPr>
              <w:t>Governance</w:t>
            </w:r>
          </w:p>
        </w:tc>
        <w:tc>
          <w:tcPr>
            <w:tcW w:w="11700" w:type="dxa"/>
            <w:shd w:val="clear" w:color="auto" w:fill="D9E2F3"/>
          </w:tcPr>
          <w:p w:rsidR="003B3B17" w:rsidRPr="00B06331" w:rsidRDefault="003B3B17" w:rsidP="004143E3">
            <w:pPr>
              <w:numPr>
                <w:ilvl w:val="0"/>
                <w:numId w:val="93"/>
              </w:numPr>
              <w:spacing w:after="0"/>
              <w:jc w:val="both"/>
              <w:rPr>
                <w:rFonts w:ascii="Avenir Book" w:hAnsi="Avenir Book"/>
                <w:sz w:val="20"/>
                <w:szCs w:val="24"/>
              </w:rPr>
            </w:pPr>
            <w:r w:rsidRPr="00B06331">
              <w:rPr>
                <w:rFonts w:ascii="Avenir Book" w:hAnsi="Avenir Book"/>
                <w:sz w:val="20"/>
                <w:szCs w:val="24"/>
              </w:rPr>
              <w:t>Constitutional and judicial reform, abrogation of repressive legislation and restoring the balance between the three arms of the state is of vital importance in the transition to a modern, rules-based, and democratic society.</w:t>
            </w:r>
          </w:p>
          <w:p w:rsidR="003B3B17" w:rsidRPr="00B06331" w:rsidRDefault="003B3B17" w:rsidP="004143E3">
            <w:pPr>
              <w:numPr>
                <w:ilvl w:val="0"/>
                <w:numId w:val="93"/>
              </w:numPr>
              <w:spacing w:after="0"/>
              <w:jc w:val="both"/>
              <w:rPr>
                <w:rFonts w:ascii="Avenir Book" w:hAnsi="Avenir Book"/>
                <w:sz w:val="20"/>
                <w:szCs w:val="24"/>
              </w:rPr>
            </w:pPr>
            <w:r w:rsidRPr="00B06331">
              <w:rPr>
                <w:rFonts w:ascii="Avenir Book" w:hAnsi="Avenir Book"/>
                <w:sz w:val="20"/>
                <w:szCs w:val="24"/>
              </w:rPr>
              <w:t xml:space="preserve">Strengthening the capacity of key democratic institutions such as the National Assembly and enhancing the capacity and independence of the Independent Electoral Commission </w:t>
            </w:r>
          </w:p>
          <w:p w:rsidR="003B3B17" w:rsidRPr="00B06331" w:rsidRDefault="003B3B17" w:rsidP="004143E3">
            <w:pPr>
              <w:numPr>
                <w:ilvl w:val="0"/>
                <w:numId w:val="93"/>
              </w:numPr>
              <w:spacing w:after="0"/>
              <w:jc w:val="both"/>
              <w:rPr>
                <w:rFonts w:ascii="Avenir Book" w:hAnsi="Avenir Book"/>
                <w:sz w:val="20"/>
                <w:szCs w:val="24"/>
              </w:rPr>
            </w:pPr>
            <w:r w:rsidRPr="00B06331">
              <w:rPr>
                <w:rFonts w:ascii="Avenir Book" w:hAnsi="Avenir Book"/>
                <w:sz w:val="20"/>
                <w:szCs w:val="24"/>
              </w:rPr>
              <w:t>Reinstituting the rule of law, reform, re-direction, and respect by all for the civil rights of every citizen is a necessity.</w:t>
            </w:r>
          </w:p>
          <w:p w:rsidR="003B3B17" w:rsidRPr="00B06331" w:rsidRDefault="003B3B17" w:rsidP="004143E3">
            <w:pPr>
              <w:numPr>
                <w:ilvl w:val="0"/>
                <w:numId w:val="93"/>
              </w:numPr>
              <w:spacing w:after="0"/>
              <w:jc w:val="both"/>
              <w:rPr>
                <w:rFonts w:ascii="Avenir Book" w:hAnsi="Avenir Book"/>
                <w:sz w:val="20"/>
                <w:szCs w:val="24"/>
              </w:rPr>
            </w:pPr>
            <w:r w:rsidRPr="00B06331">
              <w:rPr>
                <w:rFonts w:ascii="Avenir Book" w:hAnsi="Avenir Book"/>
                <w:sz w:val="20"/>
                <w:szCs w:val="24"/>
              </w:rPr>
              <w:t xml:space="preserve">Restoring the independence and strengthening the capacity of the judiciary to ensure the delivery of justice is fair and timely. </w:t>
            </w:r>
          </w:p>
          <w:p w:rsidR="003B3B17" w:rsidRPr="00B06331" w:rsidRDefault="003B3B17" w:rsidP="004143E3">
            <w:pPr>
              <w:numPr>
                <w:ilvl w:val="0"/>
                <w:numId w:val="93"/>
              </w:numPr>
              <w:spacing w:after="0"/>
              <w:jc w:val="both"/>
              <w:rPr>
                <w:rFonts w:ascii="Avenir Book" w:hAnsi="Avenir Book"/>
                <w:sz w:val="20"/>
                <w:szCs w:val="24"/>
              </w:rPr>
            </w:pPr>
            <w:r w:rsidRPr="00B06331">
              <w:rPr>
                <w:rFonts w:ascii="Avenir Book" w:hAnsi="Avenir Book"/>
                <w:sz w:val="20"/>
                <w:szCs w:val="24"/>
              </w:rPr>
              <w:t>Rebuilding the capacity of the country’s political and economic governance institutions at all levels is imperative.</w:t>
            </w:r>
          </w:p>
          <w:p w:rsidR="003B3B17" w:rsidRPr="00B06331" w:rsidRDefault="003B3B17" w:rsidP="004143E3">
            <w:pPr>
              <w:numPr>
                <w:ilvl w:val="0"/>
                <w:numId w:val="93"/>
              </w:numPr>
              <w:spacing w:after="0"/>
              <w:jc w:val="both"/>
              <w:rPr>
                <w:rFonts w:ascii="Avenir Book" w:hAnsi="Avenir Book"/>
                <w:sz w:val="20"/>
                <w:szCs w:val="24"/>
              </w:rPr>
            </w:pPr>
            <w:r w:rsidRPr="00B06331">
              <w:rPr>
                <w:rFonts w:ascii="Avenir Book" w:hAnsi="Avenir Book"/>
                <w:sz w:val="20"/>
                <w:szCs w:val="24"/>
              </w:rPr>
              <w:t>A new social compact between the people and its government is required to address constraints felt by all citizens including renewal of the whole civil society movement though positive supportive legislation, capacity building, accountable management, and access to resources.</w:t>
            </w:r>
          </w:p>
          <w:p w:rsidR="003B3B17" w:rsidRPr="00B06331" w:rsidRDefault="003B3B17" w:rsidP="004143E3">
            <w:pPr>
              <w:numPr>
                <w:ilvl w:val="0"/>
                <w:numId w:val="93"/>
              </w:numPr>
              <w:rPr>
                <w:sz w:val="20"/>
              </w:rPr>
            </w:pPr>
            <w:r w:rsidRPr="00B06331">
              <w:rPr>
                <w:rFonts w:ascii="Avenir Book" w:hAnsi="Avenir Book"/>
                <w:sz w:val="20"/>
                <w:szCs w:val="24"/>
              </w:rPr>
              <w:t xml:space="preserve">Freedom of expression and Freedom to information have been weakened by the past regime and must be reinvigorated to aid the ongoing democratization.  </w:t>
            </w:r>
          </w:p>
        </w:tc>
      </w:tr>
      <w:tr w:rsidR="003B3B17" w:rsidRPr="00B06331" w:rsidTr="003B3B17">
        <w:tc>
          <w:tcPr>
            <w:tcW w:w="1728" w:type="dxa"/>
            <w:shd w:val="clear" w:color="auto" w:fill="auto"/>
          </w:tcPr>
          <w:p w:rsidR="003B3B17" w:rsidRPr="00B06331" w:rsidRDefault="003B3B17" w:rsidP="003B3B17">
            <w:pPr>
              <w:rPr>
                <w:b/>
                <w:bCs/>
                <w:sz w:val="20"/>
              </w:rPr>
            </w:pPr>
            <w:r w:rsidRPr="00B06331">
              <w:rPr>
                <w:rFonts w:ascii="Avenir Book" w:hAnsi="Avenir Book"/>
                <w:b/>
                <w:bCs/>
                <w:sz w:val="20"/>
                <w:szCs w:val="24"/>
              </w:rPr>
              <w:t>Public Institutions</w:t>
            </w:r>
          </w:p>
        </w:tc>
        <w:tc>
          <w:tcPr>
            <w:tcW w:w="11700" w:type="dxa"/>
            <w:shd w:val="clear" w:color="auto" w:fill="auto"/>
          </w:tcPr>
          <w:p w:rsidR="003B3B17" w:rsidRPr="00B06331" w:rsidRDefault="003B3B17" w:rsidP="004143E3">
            <w:pPr>
              <w:numPr>
                <w:ilvl w:val="0"/>
                <w:numId w:val="94"/>
              </w:numPr>
              <w:spacing w:after="0"/>
              <w:jc w:val="both"/>
              <w:rPr>
                <w:rFonts w:ascii="Avenir Book" w:hAnsi="Avenir Book"/>
                <w:sz w:val="20"/>
                <w:szCs w:val="24"/>
              </w:rPr>
            </w:pPr>
            <w:r w:rsidRPr="00B06331">
              <w:rPr>
                <w:rFonts w:ascii="Avenir Book" w:hAnsi="Avenir Book"/>
                <w:sz w:val="20"/>
                <w:szCs w:val="24"/>
              </w:rPr>
              <w:t xml:space="preserve">A Bloated civil service characterized by poor coordination, inadequate synergies, and duplication of functions due to multiplicity of Ministries, Agencies, and Departments </w:t>
            </w:r>
          </w:p>
          <w:p w:rsidR="003B3B17" w:rsidRPr="00B06331" w:rsidRDefault="003B3B17" w:rsidP="004143E3">
            <w:pPr>
              <w:numPr>
                <w:ilvl w:val="0"/>
                <w:numId w:val="94"/>
              </w:numPr>
              <w:spacing w:after="0"/>
              <w:jc w:val="both"/>
              <w:rPr>
                <w:rFonts w:ascii="Avenir Book" w:hAnsi="Avenir Book"/>
                <w:sz w:val="20"/>
                <w:szCs w:val="24"/>
              </w:rPr>
            </w:pPr>
            <w:r w:rsidRPr="00B06331">
              <w:rPr>
                <w:rFonts w:ascii="Avenir Book" w:hAnsi="Avenir Book"/>
                <w:sz w:val="20"/>
                <w:szCs w:val="24"/>
              </w:rPr>
              <w:t>Low productivity within the Civil Service because of a lack of performance management systems, generally low pay and pension scales and inadequate programming capacity among civil servants</w:t>
            </w:r>
          </w:p>
          <w:p w:rsidR="003B3B17" w:rsidRPr="00B06331" w:rsidRDefault="003B3B17" w:rsidP="004143E3">
            <w:pPr>
              <w:numPr>
                <w:ilvl w:val="0"/>
                <w:numId w:val="94"/>
              </w:numPr>
              <w:spacing w:after="0"/>
              <w:jc w:val="both"/>
              <w:rPr>
                <w:rFonts w:ascii="Avenir Book" w:hAnsi="Avenir Book"/>
                <w:sz w:val="20"/>
                <w:szCs w:val="24"/>
              </w:rPr>
            </w:pPr>
            <w:r w:rsidRPr="00B06331">
              <w:rPr>
                <w:rFonts w:ascii="Avenir Book" w:hAnsi="Avenir Book"/>
                <w:sz w:val="20"/>
                <w:szCs w:val="24"/>
              </w:rPr>
              <w:t xml:space="preserve">The pervasive politicization of recruitment and promotion processes </w:t>
            </w:r>
          </w:p>
          <w:p w:rsidR="003B3B17" w:rsidRPr="00B06331" w:rsidRDefault="003B3B17" w:rsidP="004143E3">
            <w:pPr>
              <w:numPr>
                <w:ilvl w:val="0"/>
                <w:numId w:val="94"/>
              </w:numPr>
              <w:spacing w:after="0"/>
              <w:jc w:val="both"/>
              <w:rPr>
                <w:rFonts w:ascii="Avenir Book" w:hAnsi="Avenir Book"/>
                <w:sz w:val="20"/>
                <w:szCs w:val="24"/>
              </w:rPr>
            </w:pPr>
            <w:r w:rsidRPr="00B06331">
              <w:rPr>
                <w:rFonts w:ascii="Avenir Book" w:hAnsi="Avenir Book"/>
                <w:sz w:val="20"/>
                <w:szCs w:val="24"/>
              </w:rPr>
              <w:t xml:space="preserve">Most government transactions are anchored on inefficient manual processes </w:t>
            </w:r>
          </w:p>
          <w:p w:rsidR="003B3B17" w:rsidRPr="00B06331" w:rsidRDefault="003B3B17" w:rsidP="004143E3">
            <w:pPr>
              <w:numPr>
                <w:ilvl w:val="0"/>
                <w:numId w:val="94"/>
              </w:numPr>
              <w:spacing w:after="0"/>
              <w:jc w:val="both"/>
              <w:rPr>
                <w:rFonts w:ascii="Avenir Book" w:hAnsi="Avenir Book"/>
                <w:sz w:val="20"/>
                <w:szCs w:val="24"/>
              </w:rPr>
            </w:pPr>
            <w:r w:rsidRPr="00B06331">
              <w:rPr>
                <w:rFonts w:ascii="Avenir Book" w:hAnsi="Avenir Book"/>
                <w:sz w:val="20"/>
                <w:szCs w:val="24"/>
              </w:rPr>
              <w:t xml:space="preserve">The Gambia’s civil service is characterized by high attrition rate and a relatively junior workforce which came about because of unsecured tenure and limited recourse to redress mechanisms when disputes occur. </w:t>
            </w:r>
          </w:p>
          <w:p w:rsidR="003B3B17" w:rsidRPr="00B06331" w:rsidRDefault="003B3B17" w:rsidP="004143E3">
            <w:pPr>
              <w:numPr>
                <w:ilvl w:val="0"/>
                <w:numId w:val="94"/>
              </w:numPr>
              <w:rPr>
                <w:sz w:val="20"/>
              </w:rPr>
            </w:pPr>
            <w:r w:rsidRPr="00B06331">
              <w:rPr>
                <w:rFonts w:ascii="Avenir Book" w:hAnsi="Avenir Book"/>
                <w:sz w:val="20"/>
                <w:szCs w:val="24"/>
              </w:rPr>
              <w:t>With the change in government, only a handful of high level political figures have a working knowledge of government</w:t>
            </w:r>
          </w:p>
        </w:tc>
      </w:tr>
    </w:tbl>
    <w:p w:rsidR="003B3B17" w:rsidRPr="00B06331" w:rsidRDefault="003B3B17" w:rsidP="003B3B17"/>
    <w:p w:rsidR="003B3B17" w:rsidRPr="00B06331" w:rsidRDefault="003B3B17" w:rsidP="003B3B17"/>
    <w:p w:rsidR="003B3B17" w:rsidRPr="00B06331" w:rsidRDefault="003B3B17" w:rsidP="003B3B17">
      <w:pPr>
        <w:jc w:val="center"/>
      </w:pPr>
    </w:p>
    <w:p w:rsidR="003B3B17" w:rsidRPr="00B06331" w:rsidRDefault="003B3B17" w:rsidP="003B3B17">
      <w:pPr>
        <w:sectPr w:rsidR="003B3B17" w:rsidRPr="00B06331" w:rsidSect="003B3B17">
          <w:pgSz w:w="15840" w:h="12240" w:orient="landscape"/>
          <w:pgMar w:top="1440" w:right="1440" w:bottom="1440" w:left="1440" w:header="720" w:footer="720" w:gutter="0"/>
          <w:cols w:space="720"/>
          <w:docGrid w:linePitch="299"/>
        </w:sectPr>
      </w:pPr>
    </w:p>
    <w:p w:rsidR="003B3B17" w:rsidRPr="00B06331" w:rsidRDefault="003B3B17" w:rsidP="00FB2711">
      <w:pPr>
        <w:pStyle w:val="Heading1"/>
        <w:rPr>
          <w:rFonts w:asciiTheme="minorHAnsi" w:hAnsiTheme="minorHAnsi" w:cstheme="minorHAnsi"/>
          <w:b/>
          <w:sz w:val="22"/>
          <w:szCs w:val="22"/>
        </w:rPr>
      </w:pPr>
      <w:bookmarkStart w:id="31" w:name="_Toc488689300"/>
      <w:bookmarkStart w:id="32" w:name="_Toc492364731"/>
      <w:r w:rsidRPr="00B06331">
        <w:rPr>
          <w:rFonts w:asciiTheme="minorHAnsi" w:hAnsiTheme="minorHAnsi" w:cstheme="minorHAnsi"/>
          <w:b/>
          <w:sz w:val="22"/>
          <w:szCs w:val="22"/>
        </w:rPr>
        <w:lastRenderedPageBreak/>
        <w:t xml:space="preserve">Chapter 3:  </w:t>
      </w:r>
      <w:bookmarkEnd w:id="31"/>
      <w:r w:rsidRPr="00B06331">
        <w:rPr>
          <w:rFonts w:asciiTheme="minorHAnsi" w:hAnsiTheme="minorHAnsi" w:cstheme="minorHAnsi"/>
          <w:b/>
          <w:sz w:val="22"/>
          <w:szCs w:val="22"/>
        </w:rPr>
        <w:t>Overview of the Economy</w:t>
      </w:r>
      <w:bookmarkEnd w:id="32"/>
    </w:p>
    <w:p w:rsidR="003B3B17" w:rsidRPr="00B06331" w:rsidRDefault="003B3B17" w:rsidP="00FB2711">
      <w:pPr>
        <w:pStyle w:val="Heading2"/>
        <w:rPr>
          <w:rFonts w:asciiTheme="minorHAnsi" w:hAnsiTheme="minorHAnsi" w:cstheme="minorHAnsi"/>
          <w:sz w:val="22"/>
          <w:szCs w:val="22"/>
        </w:rPr>
      </w:pPr>
      <w:bookmarkStart w:id="33" w:name="_Toc492364732"/>
      <w:bookmarkStart w:id="34" w:name="_Toc488689301"/>
      <w:bookmarkStart w:id="35" w:name="_Toc488689302"/>
      <w:r w:rsidRPr="00B06331">
        <w:rPr>
          <w:rFonts w:asciiTheme="minorHAnsi" w:hAnsiTheme="minorHAnsi" w:cstheme="minorHAnsi"/>
          <w:sz w:val="22"/>
          <w:szCs w:val="22"/>
        </w:rPr>
        <w:t>3.1 Introduction</w:t>
      </w:r>
      <w:bookmarkEnd w:id="33"/>
    </w:p>
    <w:p w:rsidR="003B3B17" w:rsidRPr="00B06331" w:rsidRDefault="003B3B17" w:rsidP="003B3B17">
      <w:pPr>
        <w:jc w:val="both"/>
        <w:rPr>
          <w:rFonts w:ascii="Avenir Book" w:hAnsi="Avenir Book"/>
        </w:rPr>
      </w:pPr>
      <w:r w:rsidRPr="00B06331">
        <w:rPr>
          <w:rFonts w:ascii="Avenir Book" w:hAnsi="Avenir Book"/>
        </w:rPr>
        <w:t xml:space="preserve">The new Government of The Gambia has inherited an economy in a perilous state </w:t>
      </w:r>
      <w:r w:rsidR="00775D29" w:rsidRPr="00B06331">
        <w:rPr>
          <w:rFonts w:ascii="Avenir Book" w:hAnsi="Avenir Book"/>
        </w:rPr>
        <w:t>because of</w:t>
      </w:r>
      <w:r w:rsidRPr="00B06331">
        <w:rPr>
          <w:rFonts w:ascii="Avenir Book" w:hAnsi="Avenir Book"/>
        </w:rPr>
        <w:t xml:space="preserve"> corrupt and dictatorial governance, external vulnerabilities and the recent political upheaval following the December 2016 Presidential elections. Among the immediat</w:t>
      </w:r>
      <w:r w:rsidR="00581D02" w:rsidRPr="00B06331">
        <w:rPr>
          <w:rFonts w:ascii="Avenir Book" w:hAnsi="Avenir Book"/>
        </w:rPr>
        <w:t>e challenges faced by the country</w:t>
      </w:r>
      <w:r w:rsidRPr="00B06331">
        <w:rPr>
          <w:rFonts w:ascii="Avenir Book" w:hAnsi="Avenir Book"/>
        </w:rPr>
        <w:t xml:space="preserve"> are fiscal imbalances, rising p</w:t>
      </w:r>
      <w:r w:rsidR="00581D02" w:rsidRPr="00B06331">
        <w:rPr>
          <w:rFonts w:ascii="Avenir Book" w:hAnsi="Avenir Book"/>
        </w:rPr>
        <w:t>ublic</w:t>
      </w:r>
      <w:r w:rsidR="00775D29" w:rsidRPr="00B06331">
        <w:rPr>
          <w:rFonts w:ascii="Avenir Book" w:hAnsi="Avenir Book"/>
        </w:rPr>
        <w:t xml:space="preserve"> debt</w:t>
      </w:r>
      <w:r w:rsidRPr="00B06331">
        <w:rPr>
          <w:rFonts w:ascii="Avenir Book" w:hAnsi="Avenir Book"/>
        </w:rPr>
        <w:t xml:space="preserve">, external shocks and sluggish GDP growth. </w:t>
      </w:r>
    </w:p>
    <w:p w:rsidR="003B3B17" w:rsidRPr="00B06331" w:rsidRDefault="003B3B17" w:rsidP="003B3B17">
      <w:pPr>
        <w:jc w:val="both"/>
        <w:rPr>
          <w:rFonts w:ascii="Avenir Book" w:hAnsi="Avenir Book"/>
        </w:rPr>
      </w:pPr>
      <w:r w:rsidRPr="00B06331">
        <w:rPr>
          <w:rFonts w:ascii="Avenir Book" w:hAnsi="Avenir Book"/>
        </w:rPr>
        <w:t xml:space="preserve">This chapter presents a detailed overview of the state of Gambia’s economy and reviews the performance </w:t>
      </w:r>
      <w:r w:rsidR="00581D02" w:rsidRPr="00B06331">
        <w:rPr>
          <w:rFonts w:ascii="Avenir Book" w:hAnsi="Avenir Book"/>
        </w:rPr>
        <w:t xml:space="preserve">of </w:t>
      </w:r>
      <w:r w:rsidRPr="00B06331">
        <w:rPr>
          <w:rFonts w:ascii="Avenir Book" w:hAnsi="Avenir Book"/>
        </w:rPr>
        <w:t>key pr</w:t>
      </w:r>
      <w:r w:rsidR="00581D02" w:rsidRPr="00B06331">
        <w:rPr>
          <w:rFonts w:ascii="Avenir Book" w:hAnsi="Avenir Book"/>
        </w:rPr>
        <w:t xml:space="preserve">oductive sectors </w:t>
      </w:r>
      <w:r w:rsidRPr="00B06331">
        <w:rPr>
          <w:rFonts w:ascii="Avenir Book" w:hAnsi="Avenir Book"/>
        </w:rPr>
        <w:t>such as agriculture, fisheries, tourism, infrastructure, and energy, as well as private sector development. It identifies the key issues to be addressed in the plan based on the analysis and overview presented.</w:t>
      </w:r>
    </w:p>
    <w:p w:rsidR="003B3B17" w:rsidRPr="00B06331" w:rsidRDefault="009C3E1D" w:rsidP="00FB2711">
      <w:pPr>
        <w:pStyle w:val="Heading2"/>
        <w:rPr>
          <w:rFonts w:asciiTheme="minorHAnsi" w:hAnsiTheme="minorHAnsi" w:cstheme="minorHAnsi"/>
          <w:sz w:val="22"/>
          <w:szCs w:val="22"/>
        </w:rPr>
      </w:pPr>
      <w:bookmarkStart w:id="36" w:name="_Toc492364733"/>
      <w:r w:rsidRPr="00B06331">
        <w:rPr>
          <w:rFonts w:asciiTheme="minorHAnsi" w:hAnsiTheme="minorHAnsi" w:cstheme="minorHAnsi"/>
          <w:sz w:val="22"/>
          <w:szCs w:val="22"/>
        </w:rPr>
        <w:t>3.2 Macroeconomic Situation</w:t>
      </w:r>
      <w:r w:rsidR="003B3B17" w:rsidRPr="00B06331">
        <w:rPr>
          <w:rFonts w:asciiTheme="minorHAnsi" w:hAnsiTheme="minorHAnsi" w:cstheme="minorHAnsi"/>
          <w:sz w:val="22"/>
          <w:szCs w:val="22"/>
        </w:rPr>
        <w:t>&amp; Economic Management</w:t>
      </w:r>
      <w:bookmarkEnd w:id="36"/>
    </w:p>
    <w:p w:rsidR="00FB2711" w:rsidRPr="00B06331" w:rsidRDefault="003B3B17" w:rsidP="00FB2711">
      <w:pPr>
        <w:pStyle w:val="Heading3"/>
        <w:rPr>
          <w:rFonts w:asciiTheme="minorHAnsi" w:hAnsiTheme="minorHAnsi" w:cstheme="minorHAnsi"/>
          <w:b/>
          <w:sz w:val="22"/>
          <w:szCs w:val="22"/>
        </w:rPr>
      </w:pPr>
      <w:bookmarkStart w:id="37" w:name="_Toc492364734"/>
      <w:r w:rsidRPr="00B06331">
        <w:rPr>
          <w:rFonts w:asciiTheme="minorHAnsi" w:hAnsiTheme="minorHAnsi" w:cstheme="minorHAnsi"/>
          <w:b/>
          <w:sz w:val="22"/>
          <w:szCs w:val="22"/>
        </w:rPr>
        <w:t xml:space="preserve">3.2.1 </w:t>
      </w:r>
      <w:bookmarkEnd w:id="34"/>
      <w:r w:rsidRPr="00B06331">
        <w:rPr>
          <w:rFonts w:asciiTheme="minorHAnsi" w:hAnsiTheme="minorHAnsi" w:cstheme="minorHAnsi"/>
          <w:b/>
          <w:sz w:val="22"/>
          <w:szCs w:val="22"/>
        </w:rPr>
        <w:t>Overview and Recent Developments</w:t>
      </w:r>
      <w:bookmarkEnd w:id="37"/>
    </w:p>
    <w:p w:rsidR="00775D29" w:rsidRPr="00B06331" w:rsidRDefault="00775D29" w:rsidP="00FB2711">
      <w:pPr>
        <w:rPr>
          <w:b/>
        </w:rPr>
      </w:pPr>
      <w:bookmarkStart w:id="38" w:name="_Toc464128598"/>
    </w:p>
    <w:p w:rsidR="003B3B17" w:rsidRPr="00B06331" w:rsidRDefault="003B3B17" w:rsidP="00FB2711">
      <w:pPr>
        <w:rPr>
          <w:b/>
        </w:rPr>
      </w:pPr>
      <w:r w:rsidRPr="00B06331">
        <w:rPr>
          <w:b/>
        </w:rPr>
        <w:t>GDP Growth</w:t>
      </w:r>
      <w:bookmarkStart w:id="39" w:name="_Toc464999884"/>
      <w:bookmarkEnd w:id="38"/>
    </w:p>
    <w:p w:rsidR="005D7BAB" w:rsidRPr="00B06331" w:rsidRDefault="003B3B17" w:rsidP="003B3B17">
      <w:pPr>
        <w:jc w:val="both"/>
        <w:rPr>
          <w:rFonts w:ascii="Avenir Book" w:hAnsi="Avenir Book"/>
        </w:rPr>
      </w:pPr>
      <w:r w:rsidRPr="00B06331">
        <w:rPr>
          <w:rFonts w:ascii="Avenir Book" w:hAnsi="Avenir Book"/>
        </w:rPr>
        <w:t>The Gambia has been able to achieve an average GDP growth rate of about 3.6% over the past decade (2007-2016), fluctuating from a high growth rate of 6.4% in 2008 to negative growth of -4.3% in 2011. Following a series of exogenous shocks and a tumultuous political transition, The Gambia’s GDP growth rate fell from 4.3 percent in 2015 to 2.2 percent in 2016 (</w:t>
      </w:r>
      <w:r w:rsidR="00965AD2" w:rsidRPr="00B06331">
        <w:fldChar w:fldCharType="begin"/>
      </w:r>
      <w:r w:rsidR="009931CE" w:rsidRPr="00B06331">
        <w:instrText xml:space="preserve"> REF _Ref483836927 \h  \* MERGEFORMAT </w:instrText>
      </w:r>
      <w:r w:rsidR="00965AD2" w:rsidRPr="00B06331">
        <w:fldChar w:fldCharType="separate"/>
      </w:r>
      <w:r w:rsidR="00B06331">
        <w:rPr>
          <w:b/>
          <w:bCs/>
        </w:rPr>
        <w:t>Error! Reference source not found.</w:t>
      </w:r>
      <w:r w:rsidR="00965AD2" w:rsidRPr="00B06331">
        <w:fldChar w:fldCharType="end"/>
      </w:r>
      <w:r w:rsidRPr="00B06331">
        <w:rPr>
          <w:rFonts w:ascii="Avenir Book" w:hAnsi="Avenir Book"/>
        </w:rPr>
        <w:t xml:space="preserve">&amp; Figure 3.2). </w:t>
      </w:r>
    </w:p>
    <w:p w:rsidR="003B3B17" w:rsidRPr="00B06331" w:rsidRDefault="003B3B17" w:rsidP="003B3B17">
      <w:pPr>
        <w:jc w:val="both"/>
        <w:rPr>
          <w:rFonts w:ascii="Avenir Book" w:hAnsi="Avenir Book"/>
        </w:rPr>
      </w:pPr>
      <w:r w:rsidRPr="00B06331">
        <w:rPr>
          <w:rFonts w:ascii="Avenir Book" w:hAnsi="Avenir Book"/>
        </w:rPr>
        <w:t xml:space="preserve">The Gambia’s largely rain-dependent agricultural sector is highly sensitive to weather patterns, and in 2016 an unusually short rainy season cut agricultural production by at least 50 percent. Meanwhile, spillover effects from the regional Ebola crisis damaged the tourism sector, which accounts for about one-fifth of The </w:t>
      </w:r>
      <w:r w:rsidR="005D7BAB" w:rsidRPr="00B06331">
        <w:rPr>
          <w:rFonts w:ascii="Avenir Book" w:hAnsi="Avenir Book"/>
        </w:rPr>
        <w:t>Gambia’s GDP. Also in 2016,</w:t>
      </w:r>
      <w:r w:rsidRPr="00B06331">
        <w:rPr>
          <w:rFonts w:ascii="Avenir Book" w:hAnsi="Avenir Book"/>
        </w:rPr>
        <w:t xml:space="preserve"> a 3-month border blockade by</w:t>
      </w:r>
      <w:r w:rsidR="005D7BAB" w:rsidRPr="00B06331">
        <w:rPr>
          <w:rFonts w:ascii="Avenir Book" w:hAnsi="Avenir Book"/>
        </w:rPr>
        <w:t xml:space="preserve"> Senegalese </w:t>
      </w:r>
      <w:r w:rsidR="00DB0301" w:rsidRPr="00B06331">
        <w:rPr>
          <w:rFonts w:ascii="Avenir Book" w:hAnsi="Avenir Book"/>
        </w:rPr>
        <w:t>transporters</w:t>
      </w:r>
      <w:r w:rsidRPr="00B06331">
        <w:rPr>
          <w:rFonts w:ascii="Avenir Book" w:hAnsi="Avenir Book"/>
        </w:rPr>
        <w:t xml:space="preserve">negatively impacted economic activity. The political crisis in the final months of the year compounded these shocks, disrupting transit trade, manufacturing, and mining activity. An uncertain political climate caused tourist arrivals to fall 20 percent below expectations by the end of the year, though arrivals remained above their 2014-15 levels. </w:t>
      </w: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C65598" w:rsidRPr="00B06331" w:rsidRDefault="00C65598" w:rsidP="003B3B17">
      <w:pPr>
        <w:spacing w:after="0"/>
        <w:jc w:val="both"/>
        <w:rPr>
          <w:rFonts w:ascii="Avenir Book" w:hAnsi="Avenir Book"/>
          <w:b/>
          <w:sz w:val="18"/>
        </w:rPr>
      </w:pPr>
    </w:p>
    <w:p w:rsidR="003B3B17" w:rsidRPr="00B06331" w:rsidRDefault="003B3B17" w:rsidP="003B3B17">
      <w:pPr>
        <w:spacing w:after="0"/>
        <w:jc w:val="both"/>
        <w:rPr>
          <w:rFonts w:ascii="Avenir Book" w:hAnsi="Avenir Book"/>
          <w:b/>
          <w:sz w:val="18"/>
        </w:rPr>
      </w:pPr>
      <w:r w:rsidRPr="00B06331">
        <w:rPr>
          <w:rFonts w:ascii="Avenir Book" w:hAnsi="Avenir Book"/>
          <w:b/>
          <w:sz w:val="18"/>
        </w:rPr>
        <w:t xml:space="preserve">Figure 3.1: Annual GDP Growth Rate, Agriculture, Industry, Services </w:t>
      </w:r>
    </w:p>
    <w:p w:rsidR="003B3B17" w:rsidRPr="00B06331" w:rsidRDefault="003B3B17" w:rsidP="003B3B17">
      <w:pPr>
        <w:pStyle w:val="ListParagraph"/>
        <w:spacing w:before="120" w:after="120" w:line="240" w:lineRule="auto"/>
        <w:ind w:left="0"/>
        <w:contextualSpacing w:val="0"/>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4330"/>
      </w:tblGrid>
      <w:tr w:rsidR="003B3B17" w:rsidRPr="00B06331" w:rsidTr="003B3B17">
        <w:tc>
          <w:tcPr>
            <w:tcW w:w="5111" w:type="dxa"/>
            <w:tcBorders>
              <w:top w:val="single" w:sz="4" w:space="0" w:color="auto"/>
              <w:left w:val="single" w:sz="4" w:space="0" w:color="auto"/>
              <w:bottom w:val="single" w:sz="4" w:space="0" w:color="auto"/>
              <w:right w:val="single" w:sz="4" w:space="0" w:color="auto"/>
            </w:tcBorders>
            <w:shd w:val="clear" w:color="auto" w:fill="auto"/>
          </w:tcPr>
          <w:p w:rsidR="003B3B17" w:rsidRPr="00B06331" w:rsidRDefault="003B3B17" w:rsidP="003B3B17">
            <w:pPr>
              <w:pStyle w:val="Caption"/>
              <w:keepNext/>
              <w:spacing w:after="60"/>
              <w:jc w:val="center"/>
              <w:rPr>
                <w:rFonts w:cs="Calibri"/>
              </w:rPr>
            </w:pPr>
            <w:r w:rsidRPr="00B06331">
              <w:rPr>
                <w:rFonts w:cs="Calibri"/>
              </w:rPr>
              <w:t>GDP Growth Decomposition, 2000-2015 (%)</w:t>
            </w:r>
          </w:p>
        </w:tc>
        <w:tc>
          <w:tcPr>
            <w:tcW w:w="4465" w:type="dxa"/>
            <w:tcBorders>
              <w:top w:val="single" w:sz="4" w:space="0" w:color="auto"/>
              <w:left w:val="single" w:sz="4" w:space="0" w:color="auto"/>
              <w:bottom w:val="single" w:sz="4" w:space="0" w:color="auto"/>
              <w:right w:val="single" w:sz="4" w:space="0" w:color="auto"/>
            </w:tcBorders>
            <w:shd w:val="clear" w:color="auto" w:fill="auto"/>
          </w:tcPr>
          <w:p w:rsidR="003B3B17" w:rsidRPr="00B06331" w:rsidRDefault="003B3B17" w:rsidP="003B3B17">
            <w:pPr>
              <w:pStyle w:val="Caption"/>
              <w:keepNext/>
              <w:spacing w:after="60"/>
              <w:jc w:val="center"/>
              <w:rPr>
                <w:rFonts w:cs="Calibri"/>
              </w:rPr>
            </w:pPr>
            <w:r w:rsidRPr="00B06331">
              <w:rPr>
                <w:rFonts w:cs="Calibri"/>
              </w:rPr>
              <w:t>Growth Determinants, Gambia and Comparators, 2000-2015 (%)</w:t>
            </w:r>
          </w:p>
        </w:tc>
      </w:tr>
      <w:tr w:rsidR="003B3B17" w:rsidRPr="00B06331" w:rsidTr="003B3B17">
        <w:tc>
          <w:tcPr>
            <w:tcW w:w="5111" w:type="dxa"/>
            <w:tcBorders>
              <w:top w:val="single" w:sz="4" w:space="0" w:color="auto"/>
              <w:left w:val="single" w:sz="4" w:space="0" w:color="auto"/>
              <w:bottom w:val="single" w:sz="4" w:space="0" w:color="auto"/>
              <w:right w:val="single" w:sz="4" w:space="0" w:color="auto"/>
            </w:tcBorders>
            <w:shd w:val="clear" w:color="auto" w:fill="auto"/>
          </w:tcPr>
          <w:p w:rsidR="003B3B17" w:rsidRPr="00B06331" w:rsidRDefault="005217E5" w:rsidP="003B3B17">
            <w:pPr>
              <w:pStyle w:val="Caption"/>
              <w:keepNext/>
              <w:spacing w:after="60"/>
              <w:jc w:val="center"/>
              <w:rPr>
                <w:rFonts w:cs="Calibri"/>
              </w:rPr>
            </w:pPr>
            <w:r w:rsidRPr="00B06331">
              <w:rPr>
                <w:noProof/>
              </w:rPr>
              <w:drawing>
                <wp:inline distT="0" distB="0" distL="0" distR="0">
                  <wp:extent cx="3267075" cy="2219325"/>
                  <wp:effectExtent l="19050" t="0" r="9525"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87"/>
                          <a:stretch>
                            <a:fillRect/>
                          </a:stretch>
                        </pic:blipFill>
                        <pic:spPr bwMode="auto">
                          <a:xfrm>
                            <a:off x="0" y="0"/>
                            <a:ext cx="3267075" cy="2219325"/>
                          </a:xfrm>
                          <a:prstGeom prst="rect">
                            <a:avLst/>
                          </a:prstGeom>
                          <a:noFill/>
                          <a:ln>
                            <a:noFill/>
                          </a:ln>
                        </pic:spPr>
                      </pic:pic>
                    </a:graphicData>
                  </a:graphic>
                </wp:inline>
              </w:drawing>
            </w:r>
          </w:p>
        </w:tc>
        <w:tc>
          <w:tcPr>
            <w:tcW w:w="4465" w:type="dxa"/>
            <w:tcBorders>
              <w:top w:val="single" w:sz="4" w:space="0" w:color="auto"/>
              <w:left w:val="single" w:sz="4" w:space="0" w:color="auto"/>
              <w:bottom w:val="single" w:sz="4" w:space="0" w:color="auto"/>
              <w:right w:val="single" w:sz="4" w:space="0" w:color="auto"/>
            </w:tcBorders>
            <w:shd w:val="clear" w:color="auto" w:fill="auto"/>
          </w:tcPr>
          <w:p w:rsidR="003B3B17" w:rsidRPr="00B06331" w:rsidRDefault="003B3B17" w:rsidP="003B3B17">
            <w:pPr>
              <w:pStyle w:val="Caption"/>
              <w:keepNext/>
              <w:spacing w:after="60"/>
              <w:jc w:val="center"/>
              <w:rPr>
                <w:rFonts w:cs="Calibri"/>
              </w:rPr>
            </w:pPr>
            <w:r w:rsidRPr="00B06331">
              <w:rPr>
                <w:rFonts w:cs="Calibri"/>
                <w:noProof/>
              </w:rPr>
              <w:drawing>
                <wp:inline distT="0" distB="0" distL="0" distR="0">
                  <wp:extent cx="2695575" cy="2148205"/>
                  <wp:effectExtent l="0" t="0" r="0" b="4445"/>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3B3B17" w:rsidRPr="00B06331" w:rsidRDefault="003B3B17" w:rsidP="003B3B17">
      <w:pPr>
        <w:pStyle w:val="ListParagraph"/>
        <w:spacing w:before="240" w:after="240"/>
        <w:ind w:left="0"/>
        <w:contextualSpacing w:val="0"/>
        <w:jc w:val="both"/>
        <w:rPr>
          <w:rFonts w:ascii="Avenir Book" w:hAnsi="Avenir Book"/>
        </w:rPr>
      </w:pPr>
      <w:r w:rsidRPr="00B06331">
        <w:rPr>
          <w:rFonts w:ascii="Avenir Book" w:hAnsi="Avenir Book"/>
          <w:b/>
        </w:rPr>
        <w:t>Inappropriate macroeconomic and fiscal policies further slowed economic growth in recent years.</w:t>
      </w:r>
      <w:r w:rsidRPr="00B06331">
        <w:rPr>
          <w:rFonts w:ascii="Avenir Book" w:hAnsi="Avenir Book"/>
        </w:rPr>
        <w:t xml:space="preserve"> The previous government’s heavy reliance on domestic financing to cover an unsustainable structural fiscal deficit combined with unpredictable shifts in monetary and exchange-rate policy—led to a sharp rise in the public debt stock and acute shortages of foreign exchange. Poor macroeconomic management cut the per capita GDP growth rate by 0.4 percentage points each year from 2000 to 2015 (</w:t>
      </w:r>
      <w:bookmarkStart w:id="40" w:name="_Toc464128599"/>
      <w:bookmarkEnd w:id="39"/>
      <w:r w:rsidR="00FB2711" w:rsidRPr="00B06331">
        <w:rPr>
          <w:rFonts w:ascii="Avenir Book" w:hAnsi="Avenir Book"/>
        </w:rPr>
        <w:t>figure 3.1)</w:t>
      </w:r>
    </w:p>
    <w:p w:rsidR="003B3B17" w:rsidRPr="00B06331" w:rsidRDefault="003B3B17" w:rsidP="003B3B17">
      <w:pPr>
        <w:rPr>
          <w:rFonts w:ascii="Avenir Book" w:hAnsi="Avenir Book"/>
          <w:b/>
          <w:color w:val="7030A0"/>
          <w:szCs w:val="20"/>
        </w:rPr>
      </w:pPr>
      <w:r w:rsidRPr="00B06331">
        <w:rPr>
          <w:rFonts w:ascii="Avenir Book" w:hAnsi="Avenir Book"/>
          <w:b/>
          <w:color w:val="7030A0"/>
          <w:szCs w:val="20"/>
        </w:rPr>
        <w:t>Fiscal Deficit</w:t>
      </w:r>
    </w:p>
    <w:p w:rsidR="003B3B17" w:rsidRPr="00B06331" w:rsidRDefault="003B3B17" w:rsidP="003B3B17">
      <w:pPr>
        <w:spacing w:after="240"/>
        <w:jc w:val="both"/>
        <w:rPr>
          <w:rFonts w:eastAsia="MS Mincho"/>
          <w:b/>
        </w:rPr>
      </w:pPr>
      <w:r w:rsidRPr="00B06331">
        <w:rPr>
          <w:rFonts w:ascii="Avenir Book" w:hAnsi="Avenir Book"/>
          <w:szCs w:val="24"/>
        </w:rPr>
        <w:t>The Gambia’s economy and macroeconomic stability is vulnerable to various risks and structural</w:t>
      </w:r>
      <w:r w:rsidR="004A3787" w:rsidRPr="00B06331">
        <w:rPr>
          <w:rFonts w:ascii="Avenir Book" w:hAnsi="Avenir Book"/>
          <w:szCs w:val="24"/>
        </w:rPr>
        <w:t xml:space="preserve"> constraints. In addition, s</w:t>
      </w:r>
      <w:r w:rsidRPr="00B06331">
        <w:rPr>
          <w:rFonts w:ascii="Avenir Book" w:hAnsi="Avenir Book"/>
          <w:szCs w:val="24"/>
        </w:rPr>
        <w:t>hort</w:t>
      </w:r>
      <w:r w:rsidR="005D7BAB" w:rsidRPr="00B06331">
        <w:rPr>
          <w:rFonts w:ascii="Avenir Book" w:hAnsi="Avenir Book"/>
          <w:szCs w:val="24"/>
        </w:rPr>
        <w:t>-term domestic borrowing</w:t>
      </w:r>
      <w:r w:rsidRPr="00B06331">
        <w:rPr>
          <w:rFonts w:ascii="Avenir Book" w:hAnsi="Avenir Book"/>
          <w:szCs w:val="24"/>
        </w:rPr>
        <w:t xml:space="preserve"> has largely financed the persistent fiscal deficits.</w:t>
      </w:r>
    </w:p>
    <w:p w:rsidR="003B3B17" w:rsidRPr="00B06331" w:rsidRDefault="003B3B17" w:rsidP="003B3B17">
      <w:pPr>
        <w:autoSpaceDE w:val="0"/>
        <w:autoSpaceDN w:val="0"/>
        <w:adjustRightInd w:val="0"/>
        <w:spacing w:before="120" w:after="120"/>
        <w:jc w:val="both"/>
        <w:rPr>
          <w:rFonts w:ascii="Avenir Book" w:hAnsi="Avenir Book"/>
          <w:szCs w:val="24"/>
        </w:rPr>
      </w:pPr>
      <w:r w:rsidRPr="00B06331">
        <w:rPr>
          <w:rFonts w:ascii="Avenir Book" w:hAnsi="Avenir Book"/>
          <w:b/>
          <w:szCs w:val="24"/>
        </w:rPr>
        <w:t>Rising expenditures and faltering revenues widened the budget deficit from 8.1 percent of GDP in 2015 to about 9.8 percent in 2016.</w:t>
      </w:r>
      <w:r w:rsidRPr="00B06331">
        <w:rPr>
          <w:rFonts w:ascii="Avenir Book" w:hAnsi="Avenir Book"/>
          <w:szCs w:val="24"/>
        </w:rPr>
        <w:t xml:space="preserve"> The shocks to the tourism and agricultural sectors sharply reduced tax revenue, and a deteriorating business environment forced firms to close. In 2016, public debt-service payments absorbed 42 percent of government revenue, totaling 7.</w:t>
      </w:r>
      <w:r w:rsidR="004A3787" w:rsidRPr="00B06331">
        <w:rPr>
          <w:rFonts w:ascii="Avenir Book" w:hAnsi="Avenir Book"/>
          <w:szCs w:val="24"/>
        </w:rPr>
        <w:t>7 percent of GDP. The previous</w:t>
      </w:r>
      <w:r w:rsidRPr="00B06331">
        <w:rPr>
          <w:rFonts w:ascii="Avenir Book" w:hAnsi="Avenir Book"/>
          <w:szCs w:val="24"/>
        </w:rPr>
        <w:t xml:space="preserve"> government executed large unbudgeted expenditures to bolster the financial situation of certain state-owned enterprises (SOEs), which continue to represent a key source of fiscal risk. Poor SOE management—including the previous regime’s embezzlement of over US$100 million in SOE funds during the past three years alone—has severely undermined the financial viability of the sector. High interest rates have also strained SOE finances, prompting repeated quasi-fiscal transfers to prop up the sector. An extensive network of cross-debts between the central government and SOEs </w:t>
      </w:r>
      <w:r w:rsidRPr="00B06331">
        <w:rPr>
          <w:rFonts w:ascii="Avenir Book" w:hAnsi="Avenir Book"/>
          <w:szCs w:val="24"/>
        </w:rPr>
        <w:lastRenderedPageBreak/>
        <w:t>complicates public financial management and further weakens the financial viability of SOEs – see section on SOEs for further details.</w:t>
      </w:r>
    </w:p>
    <w:p w:rsidR="003B3B17" w:rsidRPr="00B06331" w:rsidRDefault="003B3B17" w:rsidP="003B3B17">
      <w:pPr>
        <w:spacing w:after="0" w:line="360" w:lineRule="auto"/>
        <w:jc w:val="both"/>
        <w:rPr>
          <w:rFonts w:ascii="Avenir Book" w:hAnsi="Avenir Book"/>
          <w:szCs w:val="24"/>
        </w:rPr>
      </w:pPr>
    </w:p>
    <w:p w:rsidR="009C3E1D" w:rsidRPr="00B06331" w:rsidRDefault="009C3E1D" w:rsidP="003B3B17">
      <w:pPr>
        <w:spacing w:after="0" w:line="360" w:lineRule="auto"/>
        <w:jc w:val="both"/>
        <w:rPr>
          <w:rFonts w:ascii="Avenir Book" w:hAnsi="Avenir Book"/>
          <w:szCs w:val="24"/>
        </w:rPr>
      </w:pPr>
    </w:p>
    <w:p w:rsidR="003B3B17" w:rsidRPr="00B06331" w:rsidRDefault="00FB2711" w:rsidP="003B3B17">
      <w:pPr>
        <w:spacing w:after="0" w:line="360" w:lineRule="auto"/>
        <w:jc w:val="both"/>
        <w:rPr>
          <w:rFonts w:ascii="Avenir Book" w:hAnsi="Avenir Book"/>
          <w:b/>
          <w:sz w:val="20"/>
          <w:szCs w:val="24"/>
        </w:rPr>
      </w:pPr>
      <w:r w:rsidRPr="00B06331">
        <w:rPr>
          <w:rFonts w:ascii="Avenir Book" w:hAnsi="Avenir Book"/>
          <w:b/>
          <w:sz w:val="20"/>
          <w:szCs w:val="24"/>
        </w:rPr>
        <w:t>Figure 3.2</w:t>
      </w:r>
      <w:r w:rsidR="003B3B17" w:rsidRPr="00B06331">
        <w:rPr>
          <w:rFonts w:ascii="Avenir Book" w:hAnsi="Avenir Book"/>
          <w:b/>
          <w:sz w:val="20"/>
          <w:szCs w:val="24"/>
        </w:rPr>
        <w:t>: Fiscal Deficit</w:t>
      </w:r>
    </w:p>
    <w:p w:rsidR="003B3B17" w:rsidRPr="00B06331" w:rsidRDefault="003B3B17" w:rsidP="003B3B17">
      <w:pPr>
        <w:autoSpaceDE w:val="0"/>
        <w:autoSpaceDN w:val="0"/>
        <w:adjustRightInd w:val="0"/>
        <w:spacing w:before="120" w:after="120" w:line="240" w:lineRule="auto"/>
        <w:ind w:left="720"/>
        <w:contextualSpacing/>
        <w:rPr>
          <w:rFonts w:ascii="Avenir Book" w:hAnsi="Avenir Book" w:cs="Calibri"/>
          <w:i/>
          <w:sz w:val="24"/>
          <w:szCs w:val="24"/>
        </w:rPr>
      </w:pPr>
      <w:r w:rsidRPr="00B06331">
        <w:rPr>
          <w:noProof/>
          <w:color w:val="FF0000"/>
        </w:rPr>
        <w:drawing>
          <wp:inline distT="0" distB="0" distL="0" distR="0">
            <wp:extent cx="5314950" cy="1824355"/>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3B17" w:rsidRPr="00B06331" w:rsidRDefault="003B3B17" w:rsidP="003B3B17">
      <w:pPr>
        <w:spacing w:after="0" w:line="360" w:lineRule="auto"/>
        <w:jc w:val="center"/>
        <w:rPr>
          <w:rFonts w:ascii="Avenir Book" w:hAnsi="Avenir Book"/>
          <w:b/>
          <w:sz w:val="20"/>
          <w:szCs w:val="24"/>
        </w:rPr>
      </w:pPr>
      <w:bookmarkStart w:id="41" w:name="_Toc464128603"/>
      <w:r w:rsidRPr="00B06331">
        <w:rPr>
          <w:rFonts w:ascii="Avenir Book" w:hAnsi="Avenir Book"/>
          <w:b/>
          <w:sz w:val="20"/>
          <w:szCs w:val="24"/>
        </w:rPr>
        <w:t>Compilation by DDMEC</w:t>
      </w:r>
    </w:p>
    <w:p w:rsidR="003B3B17" w:rsidRPr="00B06331" w:rsidRDefault="003B3B17" w:rsidP="003B3B17">
      <w:pPr>
        <w:autoSpaceDE w:val="0"/>
        <w:autoSpaceDN w:val="0"/>
        <w:adjustRightInd w:val="0"/>
        <w:spacing w:before="120" w:after="120"/>
        <w:jc w:val="both"/>
        <w:rPr>
          <w:rFonts w:ascii="Avenir Book" w:hAnsi="Avenir Book"/>
          <w:b/>
          <w:color w:val="7030A0"/>
          <w:szCs w:val="24"/>
        </w:rPr>
      </w:pPr>
      <w:r w:rsidRPr="00B06331">
        <w:rPr>
          <w:rFonts w:ascii="Avenir Book" w:hAnsi="Avenir Book"/>
          <w:b/>
          <w:color w:val="7030A0"/>
          <w:szCs w:val="24"/>
        </w:rPr>
        <w:t>Public Debt</w:t>
      </w:r>
      <w:bookmarkEnd w:id="41"/>
    </w:p>
    <w:p w:rsidR="003B3B17" w:rsidRPr="00B06331" w:rsidRDefault="003B3B17" w:rsidP="003B3B17">
      <w:pPr>
        <w:autoSpaceDE w:val="0"/>
        <w:autoSpaceDN w:val="0"/>
        <w:adjustRightInd w:val="0"/>
        <w:spacing w:before="120" w:after="120"/>
        <w:jc w:val="both"/>
        <w:rPr>
          <w:rFonts w:ascii="Avenir Book" w:hAnsi="Avenir Book"/>
          <w:szCs w:val="24"/>
        </w:rPr>
      </w:pPr>
      <w:r w:rsidRPr="00B06331">
        <w:rPr>
          <w:rFonts w:ascii="Avenir Book" w:hAnsi="Avenir Book"/>
          <w:b/>
          <w:szCs w:val="24"/>
        </w:rPr>
        <w:t>The total public debt stock increased from 83.3 percent of GDP to 120.3 percent between 2013 and 2016.</w:t>
      </w:r>
      <w:r w:rsidRPr="00B06331">
        <w:rPr>
          <w:rFonts w:ascii="Avenir Book" w:hAnsi="Avenir Book"/>
          <w:szCs w:val="24"/>
        </w:rPr>
        <w:t xml:space="preserve"> The external public debt stock is estimated at 52.4 percent of GDP and is largely concessional.</w:t>
      </w:r>
      <w:r w:rsidRPr="00B06331">
        <w:rPr>
          <w:rFonts w:ascii="Avenir Book" w:hAnsi="Avenir Book"/>
          <w:szCs w:val="24"/>
        </w:rPr>
        <w:footnoteReference w:id="2"/>
      </w:r>
      <w:r w:rsidRPr="00B06331">
        <w:rPr>
          <w:rFonts w:ascii="Avenir Book" w:hAnsi="Avenir Book"/>
          <w:szCs w:val="24"/>
        </w:rPr>
        <w:t xml:space="preserve">However, the domestic debt stock rose from 37.1 percent of GDP in 2013 to 53.9 in 2015 and reached 67.9 percent in 2016. Rollover risks are high, as more than 62.4 percent of domestic debt consists of T-bills with maturities of less than one year and the short-term foreign currency debt to reserve ratio </w:t>
      </w:r>
      <w:r w:rsidR="00DB0301" w:rsidRPr="00B06331">
        <w:rPr>
          <w:rFonts w:ascii="Avenir Book" w:hAnsi="Avenir Book"/>
          <w:szCs w:val="24"/>
        </w:rPr>
        <w:t>is</w:t>
      </w:r>
      <w:r w:rsidRPr="00B06331">
        <w:rPr>
          <w:rFonts w:ascii="Avenir Book" w:hAnsi="Avenir Book"/>
          <w:szCs w:val="24"/>
        </w:rPr>
        <w:t xml:space="preserve"> high at 31.6%, due to external obligations.</w:t>
      </w:r>
      <w:r w:rsidR="00DB0301" w:rsidRPr="00B06331">
        <w:rPr>
          <w:rFonts w:ascii="Avenir Book" w:hAnsi="Avenir Book"/>
          <w:szCs w:val="24"/>
        </w:rPr>
        <w:t>Roughly,</w:t>
      </w:r>
      <w:r w:rsidRPr="00B06331">
        <w:rPr>
          <w:rFonts w:ascii="Avenir Book" w:hAnsi="Avenir Book"/>
          <w:szCs w:val="24"/>
        </w:rPr>
        <w:t xml:space="preserve"> 37 percent of the domestic debt stock is made up of “non-marketable” bonds in the central bank portfolio. In December 2016, central government liabilities to the CBG were consolidated into a single 30-year bond at a 5 percent interest rate to be paid off in 60 biannual installments starting in March 2017.</w:t>
      </w:r>
    </w:p>
    <w:p w:rsidR="003B3B17" w:rsidRPr="00B06331" w:rsidRDefault="003B3B17" w:rsidP="003B3B17">
      <w:pPr>
        <w:autoSpaceDE w:val="0"/>
        <w:autoSpaceDN w:val="0"/>
        <w:adjustRightInd w:val="0"/>
        <w:spacing w:before="120" w:after="120"/>
        <w:jc w:val="both"/>
        <w:rPr>
          <w:rFonts w:ascii="Avenir Book" w:hAnsi="Avenir Book"/>
          <w:szCs w:val="24"/>
        </w:rPr>
      </w:pPr>
      <w:r w:rsidRPr="00B06331">
        <w:rPr>
          <w:rFonts w:ascii="Avenir Book" w:hAnsi="Avenir Book"/>
          <w:szCs w:val="24"/>
        </w:rPr>
        <w:t>As a proportion of total debt service, the external component declined from 36.6 per cent to 22 per cent while the domestic portion increased from 63.3 per cent in 2015 to 78 per cent in 2016. This indicates a decline in external debt service payment for the past year whereas the debt service payment on domestic debt for the same period increased drastically</w:t>
      </w:r>
    </w:p>
    <w:p w:rsidR="003B3B17" w:rsidRPr="00B06331" w:rsidRDefault="003B3B17" w:rsidP="00C65598">
      <w:pPr>
        <w:autoSpaceDE w:val="0"/>
        <w:autoSpaceDN w:val="0"/>
        <w:adjustRightInd w:val="0"/>
        <w:spacing w:before="120" w:after="120"/>
        <w:jc w:val="both"/>
        <w:rPr>
          <w:rFonts w:ascii="Avenir Book" w:hAnsi="Avenir Book"/>
          <w:szCs w:val="24"/>
        </w:rPr>
      </w:pPr>
      <w:r w:rsidRPr="00B06331">
        <w:rPr>
          <w:rFonts w:ascii="Avenir Book" w:hAnsi="Avenir Book"/>
          <w:szCs w:val="24"/>
        </w:rPr>
        <w:t>Total debt service as a percentage of total domestic revenue increase</w:t>
      </w:r>
      <w:r w:rsidR="004A3787" w:rsidRPr="00B06331">
        <w:rPr>
          <w:rFonts w:ascii="Avenir Book" w:hAnsi="Avenir Book"/>
          <w:szCs w:val="24"/>
        </w:rPr>
        <w:t>d</w:t>
      </w:r>
      <w:r w:rsidRPr="00B06331">
        <w:rPr>
          <w:rFonts w:ascii="Avenir Book" w:hAnsi="Avenir Book"/>
          <w:szCs w:val="24"/>
        </w:rPr>
        <w:t xml:space="preserve"> from 47.8 per cent in 2015 </w:t>
      </w:r>
      <w:r w:rsidR="004A3787" w:rsidRPr="00B06331">
        <w:rPr>
          <w:rFonts w:ascii="Avenir Book" w:hAnsi="Avenir Book"/>
          <w:szCs w:val="24"/>
        </w:rPr>
        <w:t>to 52.27 per cent in 2016</w:t>
      </w:r>
      <w:r w:rsidRPr="00B06331">
        <w:rPr>
          <w:rFonts w:ascii="Avenir Book" w:hAnsi="Avenir Book"/>
          <w:szCs w:val="24"/>
        </w:rPr>
        <w:t>. The percentage change in the proportion of debt service to revenue was as a result of an increase in debt service payment over the year from GMD 3.6 Billion to GMD 3.99 Billion while total revenue remains almost the same for 2015 and 2016.</w:t>
      </w:r>
      <w:bookmarkStart w:id="42" w:name="_Toc486937663"/>
    </w:p>
    <w:p w:rsidR="00FB2711" w:rsidRPr="00B06331" w:rsidRDefault="00FB2711" w:rsidP="00C65598">
      <w:pPr>
        <w:autoSpaceDE w:val="0"/>
        <w:autoSpaceDN w:val="0"/>
        <w:adjustRightInd w:val="0"/>
        <w:spacing w:before="120" w:after="120"/>
        <w:jc w:val="both"/>
        <w:rPr>
          <w:rFonts w:ascii="Avenir Book" w:hAnsi="Avenir Book"/>
          <w:szCs w:val="24"/>
        </w:rPr>
      </w:pPr>
    </w:p>
    <w:p w:rsidR="00FB2711" w:rsidRPr="00B06331" w:rsidRDefault="00FB2711" w:rsidP="00C65598">
      <w:pPr>
        <w:autoSpaceDE w:val="0"/>
        <w:autoSpaceDN w:val="0"/>
        <w:adjustRightInd w:val="0"/>
        <w:spacing w:before="120" w:after="120"/>
        <w:jc w:val="both"/>
        <w:rPr>
          <w:rFonts w:ascii="Avenir Book" w:hAnsi="Avenir Book"/>
          <w:szCs w:val="24"/>
        </w:rPr>
      </w:pPr>
    </w:p>
    <w:p w:rsidR="00581D02" w:rsidRPr="00B06331" w:rsidRDefault="00581D02" w:rsidP="00C65598">
      <w:pPr>
        <w:autoSpaceDE w:val="0"/>
        <w:autoSpaceDN w:val="0"/>
        <w:adjustRightInd w:val="0"/>
        <w:spacing w:before="120" w:after="120"/>
        <w:jc w:val="both"/>
        <w:rPr>
          <w:rFonts w:ascii="Avenir Book" w:hAnsi="Avenir Book"/>
          <w:szCs w:val="24"/>
        </w:rPr>
      </w:pPr>
    </w:p>
    <w:p w:rsidR="00FB2711" w:rsidRPr="00B06331" w:rsidRDefault="00FB2711" w:rsidP="00C65598">
      <w:pPr>
        <w:autoSpaceDE w:val="0"/>
        <w:autoSpaceDN w:val="0"/>
        <w:adjustRightInd w:val="0"/>
        <w:spacing w:before="120" w:after="120"/>
        <w:jc w:val="both"/>
        <w:rPr>
          <w:rFonts w:ascii="Avenir Book" w:hAnsi="Avenir Book"/>
          <w:szCs w:val="24"/>
        </w:rPr>
      </w:pPr>
    </w:p>
    <w:p w:rsidR="003B3B17" w:rsidRPr="00B06331" w:rsidRDefault="003B3B17" w:rsidP="003B3B17">
      <w:pPr>
        <w:spacing w:line="240" w:lineRule="auto"/>
        <w:jc w:val="center"/>
        <w:rPr>
          <w:rFonts w:ascii="Avenir Book" w:hAnsi="Avenir Book"/>
          <w:b/>
          <w:sz w:val="20"/>
          <w:szCs w:val="24"/>
        </w:rPr>
      </w:pPr>
      <w:r w:rsidRPr="00B06331">
        <w:rPr>
          <w:rFonts w:ascii="Avenir Book" w:hAnsi="Avenir Book"/>
          <w:b/>
          <w:sz w:val="20"/>
          <w:szCs w:val="24"/>
        </w:rPr>
        <w:t xml:space="preserve">Figure </w:t>
      </w:r>
      <w:r w:rsidR="00FB2711" w:rsidRPr="00B06331">
        <w:rPr>
          <w:rFonts w:ascii="Avenir Book" w:hAnsi="Avenir Book"/>
          <w:b/>
          <w:sz w:val="20"/>
          <w:szCs w:val="24"/>
        </w:rPr>
        <w:t>3.3</w:t>
      </w:r>
      <w:r w:rsidRPr="00B06331">
        <w:rPr>
          <w:rFonts w:ascii="Avenir Book" w:hAnsi="Avenir Book"/>
          <w:b/>
          <w:sz w:val="20"/>
          <w:szCs w:val="24"/>
        </w:rPr>
        <w:t>: Debt service as a % of total domestic Revenue</w:t>
      </w:r>
      <w:bookmarkEnd w:id="42"/>
    </w:p>
    <w:p w:rsidR="003B3B17" w:rsidRPr="00B06331" w:rsidRDefault="003B3B17" w:rsidP="003B3B17">
      <w:pPr>
        <w:rPr>
          <w:rFonts w:ascii="Times New Roman" w:hAnsi="Times New Roman"/>
          <w:sz w:val="24"/>
          <w:szCs w:val="24"/>
        </w:rPr>
      </w:pPr>
      <w:r w:rsidRPr="00B06331">
        <w:rPr>
          <w:noProof/>
        </w:rPr>
        <w:drawing>
          <wp:anchor distT="0" distB="2159" distL="114300" distR="114300" simplePos="0" relativeHeight="251656192" behindDoc="0" locked="0" layoutInCell="1" allowOverlap="1">
            <wp:simplePos x="0" y="0"/>
            <wp:positionH relativeFrom="margin">
              <wp:posOffset>2609850</wp:posOffset>
            </wp:positionH>
            <wp:positionV relativeFrom="paragraph">
              <wp:posOffset>9525</wp:posOffset>
            </wp:positionV>
            <wp:extent cx="2701925" cy="1826895"/>
            <wp:effectExtent l="0" t="0" r="3175" b="5715"/>
            <wp:wrapSquare wrapText="bothSides"/>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B06331">
        <w:rPr>
          <w:rFonts w:ascii="Times New Roman" w:hAnsi="Times New Roman"/>
          <w:noProof/>
          <w:sz w:val="24"/>
          <w:szCs w:val="24"/>
        </w:rPr>
        <w:drawing>
          <wp:inline distT="0" distB="0" distL="0" distR="0">
            <wp:extent cx="2495550" cy="1805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805305"/>
                    </a:xfrm>
                    <a:prstGeom prst="rect">
                      <a:avLst/>
                    </a:prstGeom>
                    <a:noFill/>
                    <a:ln>
                      <a:noFill/>
                    </a:ln>
                  </pic:spPr>
                </pic:pic>
              </a:graphicData>
            </a:graphic>
          </wp:inline>
        </w:drawing>
      </w:r>
    </w:p>
    <w:p w:rsidR="003B3B17" w:rsidRPr="00B06331" w:rsidRDefault="003B3B17" w:rsidP="003B3B17">
      <w:pPr>
        <w:autoSpaceDE w:val="0"/>
        <w:autoSpaceDN w:val="0"/>
        <w:adjustRightInd w:val="0"/>
        <w:spacing w:before="120" w:after="120"/>
        <w:jc w:val="both"/>
        <w:rPr>
          <w:rFonts w:eastAsia="Times New Roman" w:cs="Calibri"/>
          <w:lang w:eastAsia="fr-FR"/>
        </w:rPr>
      </w:pPr>
    </w:p>
    <w:p w:rsidR="003B3B17" w:rsidRPr="00B06331" w:rsidRDefault="003B3B17" w:rsidP="003B3B17">
      <w:pPr>
        <w:jc w:val="both"/>
        <w:rPr>
          <w:b/>
        </w:rPr>
      </w:pPr>
      <w:r w:rsidRPr="00B06331">
        <w:rPr>
          <w:rFonts w:ascii="Avenir Book" w:hAnsi="Avenir Book"/>
          <w:szCs w:val="24"/>
        </w:rPr>
        <w:t xml:space="preserve">Reduced income from foreign exchange, a depreciating currency, and a widening current account balance by themselves are a challenge for a country seeking to reduce poverty through growth and job creation. In small </w:t>
      </w:r>
      <w:r w:rsidR="00A95BFE" w:rsidRPr="00B06331">
        <w:rPr>
          <w:rFonts w:ascii="Avenir Book" w:hAnsi="Avenir Book"/>
          <w:szCs w:val="24"/>
        </w:rPr>
        <w:t>amounts,</w:t>
      </w:r>
      <w:r w:rsidRPr="00B06331">
        <w:rPr>
          <w:rFonts w:ascii="Avenir Book" w:hAnsi="Avenir Book"/>
          <w:szCs w:val="24"/>
        </w:rPr>
        <w:t xml:space="preserve"> debt can serve as a good policy tool and allow for stable tax rates whilst the country tries to increase the tax base. In large doses,domestic debt can crowd out the private sector and ultimately have an adverse effect on the economy. </w:t>
      </w:r>
    </w:p>
    <w:p w:rsidR="003B3B17" w:rsidRPr="00B06331" w:rsidRDefault="003B3B17" w:rsidP="003B3B17">
      <w:pPr>
        <w:rPr>
          <w:rFonts w:ascii="Avenir Book" w:hAnsi="Avenir Book"/>
          <w:b/>
          <w:color w:val="7030A0"/>
          <w:szCs w:val="24"/>
        </w:rPr>
      </w:pPr>
      <w:r w:rsidRPr="00B06331">
        <w:rPr>
          <w:rFonts w:ascii="Avenir Book" w:hAnsi="Avenir Book"/>
          <w:b/>
          <w:color w:val="7030A0"/>
          <w:szCs w:val="24"/>
        </w:rPr>
        <w:t>Monetary Policy</w:t>
      </w:r>
    </w:p>
    <w:p w:rsidR="003B3B17" w:rsidRPr="00B06331" w:rsidRDefault="003B3B17" w:rsidP="003B3B17">
      <w:pPr>
        <w:autoSpaceDE w:val="0"/>
        <w:autoSpaceDN w:val="0"/>
        <w:adjustRightInd w:val="0"/>
        <w:spacing w:after="0"/>
        <w:jc w:val="both"/>
        <w:rPr>
          <w:rFonts w:ascii="Avenir Book" w:hAnsi="Avenir Book"/>
          <w:szCs w:val="24"/>
        </w:rPr>
      </w:pPr>
      <w:r w:rsidRPr="00B06331">
        <w:rPr>
          <w:rFonts w:ascii="Avenir Book" w:hAnsi="Avenir Book"/>
          <w:szCs w:val="24"/>
        </w:rPr>
        <w:t>The Central Bank of The Gambia (CBG) remains committed to the attainment of its principal objective of monetary and price stability as well as ensuring a sound and efficient financial system. However, the repeated monetization of the deficit has undermined the effectiveness of monetary policy. The CBG treats reserve requirements as its main policy instrument, but it also uses interest rates to signal policy changes. Over the past few years, unsustainable fiscal policies and repeated recourse to CBG advances had weakened the effectiveness of monetary policy. After contracting in 2015, the money supply increased by 15.3 percent in 2016 as net credit to the government increased by 24.8 percent.</w:t>
      </w:r>
    </w:p>
    <w:p w:rsidR="003B3B17" w:rsidRPr="00B06331" w:rsidRDefault="003B3B17" w:rsidP="003B3B17">
      <w:pPr>
        <w:autoSpaceDE w:val="0"/>
        <w:autoSpaceDN w:val="0"/>
        <w:adjustRightInd w:val="0"/>
        <w:spacing w:after="0"/>
        <w:jc w:val="both"/>
        <w:rPr>
          <w:rFonts w:ascii="Avenir Book" w:hAnsi="Avenir Book"/>
          <w:szCs w:val="24"/>
        </w:rPr>
      </w:pPr>
    </w:p>
    <w:p w:rsidR="003B3B17" w:rsidRPr="00B06331" w:rsidRDefault="003B3B17" w:rsidP="00C65598">
      <w:pPr>
        <w:autoSpaceDE w:val="0"/>
        <w:autoSpaceDN w:val="0"/>
        <w:adjustRightInd w:val="0"/>
        <w:spacing w:after="0"/>
        <w:jc w:val="both"/>
        <w:rPr>
          <w:rFonts w:ascii="Avenir Book" w:hAnsi="Avenir Book"/>
          <w:szCs w:val="24"/>
        </w:rPr>
      </w:pPr>
      <w:r w:rsidRPr="00B06331">
        <w:rPr>
          <w:rFonts w:ascii="Avenir Book" w:hAnsi="Avenir Book"/>
          <w:szCs w:val="24"/>
        </w:rPr>
        <w:t>Elevated interest rates (including yields on government securities) have crowded out p</w:t>
      </w:r>
      <w:r w:rsidR="00FA4F2B" w:rsidRPr="00B06331">
        <w:rPr>
          <w:rFonts w:ascii="Avenir Book" w:hAnsi="Avenir Book"/>
          <w:szCs w:val="24"/>
        </w:rPr>
        <w:t>rivate sector credit (figure 3.4</w:t>
      </w:r>
      <w:r w:rsidRPr="00B06331">
        <w:rPr>
          <w:rFonts w:ascii="Avenir Book" w:hAnsi="Avenir Book"/>
          <w:szCs w:val="24"/>
        </w:rPr>
        <w:t>) which has registered negative levels for two consecutive years. At 14.7% of GDP, credit to the private sector is well below the regional average of 58.7%. Evidently, domestic banks are more willing to lend to the government at 19% (1-year Treasury Bills) than to the private sector. The result is that sectors such as industry, tourism and agriculture have adversely suffered, being starved of the necessary funding to expand their businesses.</w:t>
      </w:r>
    </w:p>
    <w:p w:rsidR="004A3787" w:rsidRPr="00B06331" w:rsidRDefault="004A3787" w:rsidP="00C65598">
      <w:pPr>
        <w:autoSpaceDE w:val="0"/>
        <w:autoSpaceDN w:val="0"/>
        <w:adjustRightInd w:val="0"/>
        <w:spacing w:after="0"/>
        <w:jc w:val="both"/>
        <w:rPr>
          <w:rFonts w:ascii="Avenir Book" w:hAnsi="Avenir Book"/>
          <w:szCs w:val="24"/>
        </w:rPr>
      </w:pPr>
    </w:p>
    <w:p w:rsidR="004A3787" w:rsidRPr="00B06331" w:rsidRDefault="004A3787" w:rsidP="00C65598">
      <w:pPr>
        <w:autoSpaceDE w:val="0"/>
        <w:autoSpaceDN w:val="0"/>
        <w:adjustRightInd w:val="0"/>
        <w:spacing w:after="0"/>
        <w:jc w:val="both"/>
        <w:rPr>
          <w:rFonts w:ascii="Avenir Book" w:hAnsi="Avenir Book"/>
          <w:szCs w:val="24"/>
        </w:rPr>
      </w:pPr>
    </w:p>
    <w:p w:rsidR="004A3787" w:rsidRPr="00B06331" w:rsidRDefault="004A3787" w:rsidP="00C65598">
      <w:pPr>
        <w:autoSpaceDE w:val="0"/>
        <w:autoSpaceDN w:val="0"/>
        <w:adjustRightInd w:val="0"/>
        <w:spacing w:after="0"/>
        <w:jc w:val="both"/>
        <w:rPr>
          <w:rFonts w:ascii="Avenir Book" w:hAnsi="Avenir Book"/>
          <w:szCs w:val="24"/>
        </w:rPr>
      </w:pPr>
    </w:p>
    <w:p w:rsidR="004A3787" w:rsidRPr="00B06331" w:rsidRDefault="004A3787" w:rsidP="00C65598">
      <w:pPr>
        <w:autoSpaceDE w:val="0"/>
        <w:autoSpaceDN w:val="0"/>
        <w:adjustRightInd w:val="0"/>
        <w:spacing w:after="0"/>
        <w:jc w:val="both"/>
        <w:rPr>
          <w:rFonts w:ascii="Avenir Book" w:hAnsi="Avenir Book"/>
          <w:szCs w:val="24"/>
        </w:rPr>
      </w:pPr>
    </w:p>
    <w:p w:rsidR="004A3787" w:rsidRPr="00B06331" w:rsidRDefault="004A3787" w:rsidP="00C65598">
      <w:pPr>
        <w:autoSpaceDE w:val="0"/>
        <w:autoSpaceDN w:val="0"/>
        <w:adjustRightInd w:val="0"/>
        <w:spacing w:after="0"/>
        <w:jc w:val="both"/>
        <w:rPr>
          <w:rFonts w:ascii="Avenir Book" w:hAnsi="Avenir Book"/>
          <w:szCs w:val="24"/>
        </w:rPr>
      </w:pPr>
    </w:p>
    <w:p w:rsidR="004A3787" w:rsidRPr="00B06331" w:rsidRDefault="004A3787" w:rsidP="00C65598">
      <w:pPr>
        <w:autoSpaceDE w:val="0"/>
        <w:autoSpaceDN w:val="0"/>
        <w:adjustRightInd w:val="0"/>
        <w:spacing w:after="0"/>
        <w:jc w:val="both"/>
        <w:rPr>
          <w:rFonts w:ascii="Avenir Book" w:hAnsi="Avenir Book"/>
          <w:szCs w:val="24"/>
        </w:rPr>
      </w:pPr>
    </w:p>
    <w:p w:rsidR="00C65598" w:rsidRPr="00B06331" w:rsidRDefault="00C65598" w:rsidP="00C65598">
      <w:pPr>
        <w:autoSpaceDE w:val="0"/>
        <w:autoSpaceDN w:val="0"/>
        <w:adjustRightInd w:val="0"/>
        <w:spacing w:after="0"/>
        <w:jc w:val="both"/>
        <w:rPr>
          <w:rFonts w:ascii="Avenir Book" w:hAnsi="Avenir Book"/>
          <w:szCs w:val="24"/>
        </w:rPr>
      </w:pPr>
    </w:p>
    <w:p w:rsidR="003B3B17" w:rsidRPr="00B06331" w:rsidRDefault="003B3B17" w:rsidP="003B3B17">
      <w:pPr>
        <w:spacing w:after="0" w:line="360" w:lineRule="auto"/>
        <w:jc w:val="both"/>
        <w:rPr>
          <w:rFonts w:ascii="Avenir Book" w:hAnsi="Avenir Book"/>
          <w:b/>
          <w:sz w:val="20"/>
          <w:szCs w:val="24"/>
        </w:rPr>
      </w:pPr>
      <w:r w:rsidRPr="00B06331">
        <w:rPr>
          <w:rFonts w:ascii="Avenir Book" w:hAnsi="Avenir Book"/>
          <w:b/>
          <w:sz w:val="20"/>
          <w:szCs w:val="24"/>
        </w:rPr>
        <w:t>Figure 3.</w:t>
      </w:r>
      <w:r w:rsidR="00FB2711" w:rsidRPr="00B06331">
        <w:rPr>
          <w:rFonts w:ascii="Avenir Book" w:hAnsi="Avenir Book"/>
          <w:b/>
          <w:sz w:val="20"/>
          <w:szCs w:val="24"/>
        </w:rPr>
        <w:t>4</w:t>
      </w:r>
      <w:r w:rsidRPr="00B06331">
        <w:rPr>
          <w:rFonts w:ascii="Avenir Book" w:hAnsi="Avenir Book"/>
          <w:b/>
          <w:sz w:val="20"/>
          <w:szCs w:val="24"/>
        </w:rPr>
        <w:t>: Claims on Government (net) and on the Private Sector (in millions of GMD)</w:t>
      </w:r>
    </w:p>
    <w:p w:rsidR="003B3B17" w:rsidRPr="00B06331" w:rsidRDefault="003B3B17" w:rsidP="003B3B17">
      <w:pPr>
        <w:autoSpaceDE w:val="0"/>
        <w:autoSpaceDN w:val="0"/>
        <w:adjustRightInd w:val="0"/>
        <w:spacing w:after="0" w:line="240" w:lineRule="auto"/>
        <w:rPr>
          <w:rFonts w:ascii="Avenir Book" w:hAnsi="Avenir Book" w:cs="SegoeUI"/>
          <w:sz w:val="24"/>
          <w:szCs w:val="24"/>
        </w:rPr>
      </w:pPr>
      <w:r w:rsidRPr="00B06331">
        <w:rPr>
          <w:rFonts w:ascii="Avenir Book" w:hAnsi="Avenir Book" w:cs="SegoeUI"/>
          <w:noProof/>
          <w:sz w:val="24"/>
          <w:szCs w:val="24"/>
        </w:rPr>
        <w:drawing>
          <wp:inline distT="0" distB="0" distL="0" distR="0">
            <wp:extent cx="5691505" cy="15195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14" r="48314"/>
                    <a:stretch>
                      <a:fillRect/>
                    </a:stretch>
                  </pic:blipFill>
                  <pic:spPr bwMode="auto">
                    <a:xfrm>
                      <a:off x="0" y="0"/>
                      <a:ext cx="5691505" cy="1519555"/>
                    </a:xfrm>
                    <a:prstGeom prst="rect">
                      <a:avLst/>
                    </a:prstGeom>
                    <a:noFill/>
                    <a:ln>
                      <a:noFill/>
                    </a:ln>
                  </pic:spPr>
                </pic:pic>
              </a:graphicData>
            </a:graphic>
          </wp:inline>
        </w:drawing>
      </w:r>
    </w:p>
    <w:p w:rsidR="003B3B17" w:rsidRPr="00B06331" w:rsidRDefault="003B3B17" w:rsidP="003B3B17">
      <w:pPr>
        <w:spacing w:after="0"/>
        <w:jc w:val="center"/>
        <w:rPr>
          <w:rFonts w:ascii="Avenir Book" w:hAnsi="Avenir Book"/>
          <w:sz w:val="24"/>
          <w:szCs w:val="24"/>
        </w:rPr>
      </w:pPr>
      <w:r w:rsidRPr="00B06331">
        <w:rPr>
          <w:rFonts w:ascii="Avenir Book" w:hAnsi="Avenir Book"/>
          <w:sz w:val="24"/>
          <w:szCs w:val="24"/>
        </w:rPr>
        <w:t>Source: IMF 2017</w:t>
      </w:r>
    </w:p>
    <w:p w:rsidR="003B3B17" w:rsidRPr="00B06331" w:rsidRDefault="003B3B17" w:rsidP="003B3B17">
      <w:pPr>
        <w:shd w:val="clear" w:color="auto" w:fill="FFFFFF"/>
        <w:spacing w:line="240" w:lineRule="auto"/>
        <w:jc w:val="both"/>
        <w:rPr>
          <w:rFonts w:cs="Calibri"/>
          <w:b/>
        </w:rPr>
      </w:pPr>
    </w:p>
    <w:p w:rsidR="003B3B17" w:rsidRPr="00B06331" w:rsidRDefault="003B3B17" w:rsidP="003B3B17">
      <w:pPr>
        <w:autoSpaceDE w:val="0"/>
        <w:autoSpaceDN w:val="0"/>
        <w:adjustRightInd w:val="0"/>
        <w:spacing w:after="0"/>
        <w:jc w:val="both"/>
        <w:rPr>
          <w:rFonts w:ascii="Avenir Book" w:hAnsi="Avenir Book"/>
          <w:szCs w:val="24"/>
        </w:rPr>
      </w:pPr>
      <w:r w:rsidRPr="00B06331">
        <w:rPr>
          <w:rFonts w:ascii="Avenir Book" w:hAnsi="Avenir Book"/>
          <w:szCs w:val="24"/>
        </w:rPr>
        <w:t>Following several years in which ad hoc executive directives (by the former government) imposed fixed overvalued exchange rates; the CBG lifted the exchange-rate peg in early 2016. The fixed exchange rate had exceeded the market rate by more than 20 percent, and the shift to a floating exchange rate caused the Gambian Dalasi to depreciate by an estimated 10.4 percent</w:t>
      </w:r>
      <w:bookmarkStart w:id="43" w:name="_Toc464128601"/>
      <w:r w:rsidRPr="00B06331">
        <w:rPr>
          <w:rFonts w:ascii="Avenir Book" w:hAnsi="Avenir Book"/>
          <w:szCs w:val="24"/>
        </w:rPr>
        <w:t xml:space="preserve"> in nominal terms during 2016. </w:t>
      </w:r>
    </w:p>
    <w:p w:rsidR="003B3B17" w:rsidRPr="00B06331" w:rsidRDefault="003B3B17" w:rsidP="003B3B17">
      <w:pPr>
        <w:autoSpaceDE w:val="0"/>
        <w:autoSpaceDN w:val="0"/>
        <w:adjustRightInd w:val="0"/>
        <w:spacing w:after="0"/>
        <w:jc w:val="both"/>
        <w:rPr>
          <w:rFonts w:ascii="Avenir Book" w:hAnsi="Avenir Book"/>
          <w:szCs w:val="24"/>
        </w:rPr>
      </w:pPr>
    </w:p>
    <w:p w:rsidR="003B3B17" w:rsidRPr="00B06331" w:rsidRDefault="003B3B17" w:rsidP="003B3B17">
      <w:pPr>
        <w:rPr>
          <w:rFonts w:ascii="Avenir Book" w:hAnsi="Avenir Book"/>
          <w:b/>
          <w:color w:val="7030A0"/>
        </w:rPr>
      </w:pPr>
      <w:r w:rsidRPr="00B06331">
        <w:rPr>
          <w:rFonts w:ascii="Avenir Book" w:hAnsi="Avenir Book"/>
          <w:b/>
          <w:color w:val="7030A0"/>
        </w:rPr>
        <w:t>Balance of Payments</w:t>
      </w:r>
      <w:bookmarkEnd w:id="43"/>
      <w:r w:rsidRPr="00B06331">
        <w:rPr>
          <w:rFonts w:ascii="Avenir Book" w:hAnsi="Avenir Book"/>
          <w:b/>
          <w:color w:val="7030A0"/>
        </w:rPr>
        <w:t xml:space="preserve"> (BOP)</w:t>
      </w:r>
    </w:p>
    <w:p w:rsidR="003B3B17" w:rsidRPr="00B06331" w:rsidRDefault="003B3B17" w:rsidP="003B3B17">
      <w:pPr>
        <w:pStyle w:val="ListParagraph"/>
        <w:tabs>
          <w:tab w:val="left" w:pos="720"/>
        </w:tabs>
        <w:spacing w:before="120" w:after="120"/>
        <w:ind w:left="0"/>
        <w:jc w:val="both"/>
        <w:rPr>
          <w:rFonts w:ascii="Avenir Book" w:hAnsi="Avenir Book"/>
        </w:rPr>
      </w:pPr>
      <w:r w:rsidRPr="00B06331">
        <w:rPr>
          <w:rFonts w:ascii="Avenir Book" w:hAnsi="Avenir Book"/>
        </w:rPr>
        <w:t>The Gambia is a net importer with a current account deficit that has persisted over the past 30 years (CCA 2015), and stood at 8.7% of GDP in 2017 (IMF 2017). This has led to the depreciation of the Dalasi and loss of reserves by the CBG in its bid to fill the gap and protect the Dalasi. In recent times, more favorable terms of trade, a moderate rebound in tourism exports, and a sharp decline in imports almost halved the current-account deficit (CAD) to 8.9 percent of GDP in 2016.Both tourism and transit-trade receipts recovered from the effects of the regional Ebola crisis and the transport blockade, while the terms of trade gradually improved. The US dollar value of good imports fell by 11.8 percent in 2016, reflecting lower oil prices, slower economic growth, and foreign-exchange shortages, while the modest recovery of the tourism sector boosted the services-account surplus. Despite a decline in official transfers, the falling trade deficit narrowed the current-account deficit (including grants) from 15 percent of GDP to just under 9 percent.</w:t>
      </w:r>
    </w:p>
    <w:p w:rsidR="003B3B17" w:rsidRPr="00B06331" w:rsidRDefault="003B3B17" w:rsidP="003B3B17">
      <w:pPr>
        <w:pStyle w:val="ListParagraph"/>
        <w:tabs>
          <w:tab w:val="left" w:pos="720"/>
        </w:tabs>
        <w:spacing w:before="120" w:after="120"/>
        <w:ind w:left="0"/>
        <w:jc w:val="both"/>
        <w:rPr>
          <w:rFonts w:ascii="Avenir Book" w:hAnsi="Avenir Book"/>
        </w:rPr>
      </w:pPr>
    </w:p>
    <w:p w:rsidR="003B3B17" w:rsidRPr="00B06331" w:rsidRDefault="003B3B17" w:rsidP="004A3787">
      <w:pPr>
        <w:pStyle w:val="ListParagraph"/>
        <w:tabs>
          <w:tab w:val="left" w:pos="720"/>
        </w:tabs>
        <w:spacing w:before="120" w:after="120"/>
        <w:ind w:left="0"/>
        <w:jc w:val="both"/>
        <w:rPr>
          <w:rFonts w:ascii="Avenir Book" w:hAnsi="Avenir Book"/>
        </w:rPr>
      </w:pPr>
      <w:r w:rsidRPr="00B06331">
        <w:rPr>
          <w:rFonts w:ascii="Avenir Book" w:hAnsi="Avenir Book"/>
        </w:rPr>
        <w:t xml:space="preserve">Despite the narrowing CAD and the return to a floating exchange-rate regime, The Gambia’s international reserves remain severely depleted. Recurrent policy slippages caused a marked slowdown in loan disbursements in 2016, contributing to a further decline in international reserves. As at end-December 2015, gross international reserves amounted to US$76.0 million, equivalent to 1.7 months of import cover, lower than the US$111.6 million, or 4.5 months of import cover in December 2014. Net usable international reserves (excluding the IMF reserve position) fell by more than two-thirds to 0.6 </w:t>
      </w:r>
      <w:r w:rsidRPr="00B06331">
        <w:rPr>
          <w:rFonts w:ascii="Avenir Book" w:hAnsi="Avenir Book"/>
        </w:rPr>
        <w:lastRenderedPageBreak/>
        <w:t>month</w:t>
      </w:r>
      <w:r w:rsidR="004A3787" w:rsidRPr="00B06331">
        <w:rPr>
          <w:rFonts w:ascii="Avenir Book" w:hAnsi="Avenir Book"/>
        </w:rPr>
        <w:t>s of goods and services imports</w:t>
      </w:r>
      <w:r w:rsidRPr="00B06331">
        <w:rPr>
          <w:rFonts w:ascii="Avenir Book" w:hAnsi="Avenir Book"/>
        </w:rPr>
        <w:t>. This estimate includes about US$32 million in CBG reserve swaps with domestic banks, which represen</w:t>
      </w:r>
      <w:r w:rsidR="004A3787" w:rsidRPr="00B06331">
        <w:rPr>
          <w:rFonts w:ascii="Avenir Book" w:hAnsi="Avenir Book"/>
        </w:rPr>
        <w:t xml:space="preserve">t over half of gross reserves. </w:t>
      </w:r>
    </w:p>
    <w:p w:rsidR="004A3787" w:rsidRPr="00B06331" w:rsidRDefault="004A3787" w:rsidP="004A3787">
      <w:pPr>
        <w:pStyle w:val="ListParagraph"/>
        <w:tabs>
          <w:tab w:val="left" w:pos="720"/>
        </w:tabs>
        <w:spacing w:before="120" w:after="120"/>
        <w:ind w:left="0"/>
        <w:jc w:val="both"/>
        <w:rPr>
          <w:rFonts w:ascii="Avenir Book" w:hAnsi="Avenir Book"/>
        </w:rPr>
      </w:pPr>
    </w:p>
    <w:p w:rsidR="004A3787" w:rsidRPr="00B06331" w:rsidRDefault="004A3787" w:rsidP="004A3787">
      <w:pPr>
        <w:pStyle w:val="ListParagraph"/>
        <w:tabs>
          <w:tab w:val="left" w:pos="720"/>
        </w:tabs>
        <w:spacing w:before="120" w:after="120"/>
        <w:ind w:left="0"/>
        <w:jc w:val="both"/>
        <w:rPr>
          <w:rFonts w:ascii="Avenir Book" w:hAnsi="Avenir Book"/>
        </w:rPr>
      </w:pPr>
    </w:p>
    <w:p w:rsidR="004A3787" w:rsidRPr="00B06331" w:rsidRDefault="004A3787" w:rsidP="004A3787">
      <w:pPr>
        <w:pStyle w:val="ListParagraph"/>
        <w:tabs>
          <w:tab w:val="left" w:pos="720"/>
        </w:tabs>
        <w:spacing w:before="120" w:after="120"/>
        <w:ind w:left="0"/>
        <w:jc w:val="both"/>
        <w:rPr>
          <w:rFonts w:ascii="Avenir Book" w:hAnsi="Avenir Book"/>
        </w:rPr>
      </w:pPr>
    </w:p>
    <w:p w:rsidR="003B3B17" w:rsidRPr="00B06331" w:rsidRDefault="003B3B17" w:rsidP="003B3B17">
      <w:pPr>
        <w:rPr>
          <w:rFonts w:ascii="Avenir Book" w:hAnsi="Avenir Book"/>
          <w:b/>
          <w:color w:val="7030A0"/>
        </w:rPr>
      </w:pPr>
      <w:r w:rsidRPr="00B06331">
        <w:rPr>
          <w:rFonts w:ascii="Avenir Book" w:hAnsi="Avenir Book"/>
          <w:b/>
          <w:color w:val="7030A0"/>
        </w:rPr>
        <w:t>Inflation</w:t>
      </w:r>
      <w:bookmarkEnd w:id="40"/>
    </w:p>
    <w:p w:rsidR="003B3B17" w:rsidRPr="00B06331" w:rsidRDefault="003B3B17" w:rsidP="00C4317B">
      <w:pPr>
        <w:pStyle w:val="AKFHeading"/>
        <w:rPr>
          <w:rFonts w:asciiTheme="minorHAnsi" w:hAnsiTheme="minorHAnsi" w:cstheme="minorHAnsi"/>
          <w:b w:val="0"/>
          <w:sz w:val="22"/>
          <w:szCs w:val="22"/>
        </w:rPr>
      </w:pPr>
      <w:r w:rsidRPr="00B06331">
        <w:rPr>
          <w:rFonts w:asciiTheme="minorHAnsi" w:hAnsiTheme="minorHAnsi" w:cstheme="minorHAnsi"/>
          <w:b w:val="0"/>
          <w:sz w:val="22"/>
          <w:szCs w:val="22"/>
        </w:rPr>
        <w:t>Inflation, as measured by the national Consumer Price Index (CPI) increased to 7.9% in December 2016, from 6.7% in December 2015 largely driven by food pric</w:t>
      </w:r>
      <w:r w:rsidR="004A3787" w:rsidRPr="00B06331">
        <w:rPr>
          <w:rFonts w:asciiTheme="minorHAnsi" w:hAnsiTheme="minorHAnsi" w:cstheme="minorHAnsi"/>
          <w:b w:val="0"/>
          <w:sz w:val="22"/>
          <w:szCs w:val="22"/>
        </w:rPr>
        <w:t>e inflation. This latest high</w:t>
      </w:r>
      <w:r w:rsidRPr="00B06331">
        <w:rPr>
          <w:rFonts w:asciiTheme="minorHAnsi" w:hAnsiTheme="minorHAnsi" w:cstheme="minorHAnsi"/>
          <w:b w:val="0"/>
          <w:sz w:val="22"/>
          <w:szCs w:val="22"/>
        </w:rPr>
        <w:t xml:space="preserve"> annual inflation rate – which is well above the Central Bank of The Gambia’s target of 5 %, is driven by high food prices, the depreciation of the dalasi by 30% against the dollar over the past 3 years, weak cross border trade as well as the reduction of foreign exchange earnings. It is worthy to note that The Gambia, being an open economy, relies heavily on imports, and thus has a very high exchange rate pass through to domestic prices (Jallow, 2012 cited in CCA 2015). This means that a depreciation of the Dalasi invariably translates to a nearly one for one increase in prices resulting in a faster growth of prices.</w:t>
      </w:r>
    </w:p>
    <w:p w:rsidR="003B3B17" w:rsidRPr="00B06331" w:rsidRDefault="003B3B17" w:rsidP="003B3B17">
      <w:pPr>
        <w:pStyle w:val="ListParagraph"/>
        <w:tabs>
          <w:tab w:val="left" w:pos="720"/>
        </w:tabs>
        <w:spacing w:before="120" w:after="120"/>
        <w:ind w:left="0"/>
        <w:jc w:val="both"/>
        <w:rPr>
          <w:rFonts w:ascii="Avenir Book" w:hAnsi="Avenir Book"/>
        </w:rPr>
      </w:pPr>
    </w:p>
    <w:p w:rsidR="003B3B17" w:rsidRPr="00B06331" w:rsidRDefault="003B3B17" w:rsidP="003B3B17">
      <w:pPr>
        <w:pStyle w:val="ListParagraph"/>
        <w:tabs>
          <w:tab w:val="left" w:pos="720"/>
        </w:tabs>
        <w:spacing w:before="120" w:after="120"/>
        <w:ind w:left="0"/>
        <w:jc w:val="both"/>
        <w:rPr>
          <w:rFonts w:ascii="Avenir Book" w:hAnsi="Avenir Book"/>
        </w:rPr>
      </w:pPr>
      <w:r w:rsidRPr="00B06331">
        <w:rPr>
          <w:rFonts w:ascii="Avenir Book" w:hAnsi="Avenir Book"/>
        </w:rPr>
        <w:t>However, despite the fluctuation of the inflationary figures of the country, The Gambia managed to consistently register single digit inflation for more than a decade.</w:t>
      </w:r>
    </w:p>
    <w:p w:rsidR="003B3B17" w:rsidRPr="00B06331" w:rsidRDefault="00FB2711" w:rsidP="003B3B17">
      <w:pPr>
        <w:spacing w:line="360" w:lineRule="auto"/>
        <w:jc w:val="both"/>
        <w:rPr>
          <w:rFonts w:ascii="Avenir Book" w:hAnsi="Avenir Book"/>
          <w:b/>
          <w:sz w:val="20"/>
          <w:szCs w:val="24"/>
        </w:rPr>
      </w:pPr>
      <w:r w:rsidRPr="00B06331">
        <w:rPr>
          <w:rFonts w:ascii="Avenir Book" w:hAnsi="Avenir Book"/>
          <w:b/>
          <w:sz w:val="20"/>
          <w:szCs w:val="24"/>
        </w:rPr>
        <w:t>Figure 3.5</w:t>
      </w:r>
      <w:r w:rsidR="003B3B17" w:rsidRPr="00B06331">
        <w:rPr>
          <w:rFonts w:ascii="Avenir Book" w:hAnsi="Avenir Book"/>
          <w:b/>
          <w:sz w:val="20"/>
          <w:szCs w:val="24"/>
        </w:rPr>
        <w:t>: Real GDP versus CPI (*2007-2016)</w:t>
      </w:r>
    </w:p>
    <w:p w:rsidR="003B3B17" w:rsidRPr="00B06331" w:rsidRDefault="002B02D3" w:rsidP="003B3B17">
      <w:pPr>
        <w:pStyle w:val="ListParagraph"/>
        <w:tabs>
          <w:tab w:val="left" w:pos="720"/>
        </w:tabs>
        <w:spacing w:before="120" w:after="120"/>
        <w:ind w:left="0"/>
        <w:jc w:val="both"/>
        <w:rPr>
          <w:rFonts w:ascii="Avenir Book" w:hAnsi="Avenir Book" w:cs="Calibri"/>
          <w:sz w:val="24"/>
          <w:szCs w:val="24"/>
        </w:rPr>
      </w:pPr>
      <w:r w:rsidRPr="00B06331">
        <w:rPr>
          <w:rFonts w:ascii="Avenir Book" w:hAnsi="Avenir Book"/>
          <w:noProof/>
          <w:sz w:val="24"/>
          <w:szCs w:val="24"/>
        </w:rPr>
        <w:drawing>
          <wp:inline distT="0" distB="0" distL="0" distR="0">
            <wp:extent cx="5610225" cy="2828925"/>
            <wp:effectExtent l="1905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295" cy="2831986"/>
                    </a:xfrm>
                    <a:prstGeom prst="rect">
                      <a:avLst/>
                    </a:prstGeom>
                    <a:noFill/>
                    <a:ln>
                      <a:noFill/>
                    </a:ln>
                  </pic:spPr>
                </pic:pic>
              </a:graphicData>
            </a:graphic>
          </wp:inline>
        </w:drawing>
      </w:r>
    </w:p>
    <w:p w:rsidR="003B3B17" w:rsidRPr="00B06331" w:rsidRDefault="003B3B17" w:rsidP="003B3B17">
      <w:pPr>
        <w:spacing w:after="0"/>
        <w:jc w:val="center"/>
        <w:rPr>
          <w:rFonts w:ascii="Avenir Book" w:hAnsi="Avenir Book"/>
          <w:b/>
          <w:sz w:val="20"/>
          <w:szCs w:val="24"/>
        </w:rPr>
      </w:pPr>
      <w:r w:rsidRPr="00B06331">
        <w:rPr>
          <w:rFonts w:ascii="Avenir Book" w:hAnsi="Avenir Book"/>
          <w:b/>
          <w:sz w:val="20"/>
          <w:szCs w:val="24"/>
        </w:rPr>
        <w:t>Source: MoFEA, 2016</w:t>
      </w:r>
    </w:p>
    <w:p w:rsidR="00581D02" w:rsidRPr="00B06331" w:rsidRDefault="00581D02" w:rsidP="00581D02">
      <w:pPr>
        <w:rPr>
          <w:b/>
        </w:rPr>
      </w:pPr>
      <w:r w:rsidRPr="00B06331">
        <w:rPr>
          <w:b/>
        </w:rPr>
        <w:t>Financial Sector</w:t>
      </w:r>
    </w:p>
    <w:p w:rsidR="00581D02" w:rsidRPr="00B06331" w:rsidRDefault="00581D02" w:rsidP="00581D02">
      <w:pPr>
        <w:jc w:val="both"/>
        <w:rPr>
          <w:rFonts w:ascii="Avenir Book" w:hAnsi="Avenir Book"/>
          <w:szCs w:val="24"/>
        </w:rPr>
      </w:pPr>
      <w:r w:rsidRPr="00B06331">
        <w:rPr>
          <w:rFonts w:ascii="Avenir Book" w:hAnsi="Avenir Book"/>
          <w:szCs w:val="24"/>
        </w:rPr>
        <w:t xml:space="preserve">The financial sector comprises mainly of commercial banks, insurance companies, microfinance institutions, and micro-saving schemes. Their main intermediation activity is to mobilize deposits and extend credit to borrowers. </w:t>
      </w:r>
    </w:p>
    <w:p w:rsidR="00581D02" w:rsidRPr="00B06331" w:rsidRDefault="00581D02" w:rsidP="00581D02">
      <w:pPr>
        <w:jc w:val="both"/>
        <w:rPr>
          <w:rFonts w:ascii="Avenir Book" w:hAnsi="Avenir Book"/>
          <w:szCs w:val="24"/>
        </w:rPr>
      </w:pPr>
      <w:r w:rsidRPr="00B06331">
        <w:rPr>
          <w:rFonts w:ascii="Avenir Book" w:hAnsi="Avenir Book"/>
          <w:szCs w:val="24"/>
        </w:rPr>
        <w:lastRenderedPageBreak/>
        <w:t>The financial sector is relatively stable, but commercial banks’ exposure to government debt poses significant risks</w:t>
      </w:r>
      <w:r w:rsidRPr="00B06331">
        <w:rPr>
          <w:rFonts w:ascii="Avenir Book" w:hAnsi="Avenir Book"/>
          <w:b/>
          <w:szCs w:val="24"/>
        </w:rPr>
        <w:t>.</w:t>
      </w:r>
      <w:r w:rsidRPr="00B06331">
        <w:rPr>
          <w:rFonts w:ascii="Avenir Book" w:hAnsi="Avenir Book"/>
          <w:szCs w:val="24"/>
        </w:rPr>
        <w:t xml:space="preserve">Commercial banks hold 75 percent of all T-bills, and as of December 2016, at least 61 percent of commercial bank assets were directly or indirectly exposed to sovereign risk.Financial-soundness indicators present a positive image, with a capital-adequacy ratio above 33 percent and a nonperforming-loan ratio below 10 percent. However, these indicators are misleading, as sovereign risks do not attract capital charges, and classification—including classification of SOE liabilities—is lax. Publicly guaranteed debt by the National Water and Electricity Company (NAWEC) is currentlyweakening the balance sheets of six banks, including the country’s largest bank. </w:t>
      </w:r>
    </w:p>
    <w:p w:rsidR="00581D02" w:rsidRPr="00B06331" w:rsidRDefault="00581D02" w:rsidP="00581D02">
      <w:pPr>
        <w:jc w:val="both"/>
        <w:rPr>
          <w:rFonts w:ascii="Avenir Book" w:hAnsi="Avenir Book"/>
          <w:b/>
          <w:szCs w:val="24"/>
        </w:rPr>
      </w:pPr>
      <w:r w:rsidRPr="00B06331">
        <w:rPr>
          <w:rFonts w:ascii="Avenir Book" w:hAnsi="Avenir Book"/>
          <w:szCs w:val="24"/>
        </w:rPr>
        <w:t xml:space="preserve">Other challenges relate to limited financial inclusion, a lack of diversity of financial services, inadequate and/or weak financial infrastructure (payment services, credit and financial information, insolvency and creditors’ rights, and collateral registration and enforcement), as well as  “short-termism” – the bulk of deposits and credits have short maturities which limits the financial sector’s ability to support private sector investment opportunities that typically requires longer maturities. </w:t>
      </w:r>
    </w:p>
    <w:p w:rsidR="003B3B17" w:rsidRPr="00B06331" w:rsidRDefault="00581D02" w:rsidP="00581D02">
      <w:pPr>
        <w:spacing w:after="0"/>
        <w:rPr>
          <w:rFonts w:ascii="Avenir Book" w:hAnsi="Avenir Book" w:cs="Arial"/>
          <w:szCs w:val="24"/>
        </w:rPr>
      </w:pPr>
      <w:r w:rsidRPr="00B06331">
        <w:rPr>
          <w:rFonts w:ascii="Avenir Book" w:hAnsi="Avenir Book"/>
          <w:szCs w:val="24"/>
        </w:rPr>
        <w:t xml:space="preserve">Over the years, there have been some developments in The Gambia’s financial system such as the modernization of the payments system, the introduction of electronic means of payments, and increased competition. However, the lack of capital market in The Gambia leaves a huge vacuum in its financial sector which means that the financial instruments that are needed for investments with long gestation periods are scarcely available. A capital market will be instrumental for the pooling of financial resources needed to transform the country from a developing country to a middle-income country status. </w:t>
      </w:r>
      <w:r w:rsidRPr="00B06331">
        <w:rPr>
          <w:rFonts w:ascii="Avenir Book" w:hAnsi="Avenir Book" w:cs="Arial"/>
          <w:szCs w:val="24"/>
        </w:rPr>
        <w:t>Deep, liquid capital markets are fundamental to economic growth because they help channel the domestic savings of a nation to their most productive uses, and in so doing enable the private sector to invest, produce, and create jobs.</w:t>
      </w:r>
    </w:p>
    <w:p w:rsidR="00FB7889" w:rsidRPr="00B06331" w:rsidRDefault="00FB7889" w:rsidP="00581D02">
      <w:pPr>
        <w:spacing w:after="0"/>
        <w:rPr>
          <w:rFonts w:ascii="Avenir Book" w:hAnsi="Avenir Book" w:cs="Arial"/>
          <w:szCs w:val="24"/>
        </w:rPr>
      </w:pPr>
    </w:p>
    <w:p w:rsidR="00FB7889" w:rsidRPr="00B06331" w:rsidRDefault="00FB7889" w:rsidP="00FB7889">
      <w:pPr>
        <w:pStyle w:val="Heading3"/>
        <w:rPr>
          <w:rFonts w:asciiTheme="minorHAnsi" w:hAnsiTheme="minorHAnsi" w:cstheme="minorHAnsi"/>
          <w:b/>
          <w:sz w:val="22"/>
          <w:szCs w:val="22"/>
        </w:rPr>
      </w:pPr>
      <w:bookmarkStart w:id="44" w:name="_Toc492364735"/>
      <w:r w:rsidRPr="00B06331">
        <w:rPr>
          <w:rFonts w:asciiTheme="minorHAnsi" w:hAnsiTheme="minorHAnsi" w:cstheme="minorHAnsi"/>
          <w:b/>
          <w:sz w:val="22"/>
          <w:szCs w:val="22"/>
        </w:rPr>
        <w:t>3.2.2 Macroeconomic Outlook and Debt Sustainability</w:t>
      </w:r>
      <w:bookmarkEnd w:id="44"/>
    </w:p>
    <w:p w:rsidR="009C3E1D" w:rsidRPr="00B06331" w:rsidRDefault="009C3E1D" w:rsidP="00FB7889">
      <w:pPr>
        <w:shd w:val="clear" w:color="auto" w:fill="FFFFFF"/>
        <w:jc w:val="both"/>
      </w:pP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Gambia’s real GDP growth is projected to accelerate over the medium-term, driven primarily by agriculture and the service sector. In 2017, normal rainfall patterns and the continued recovery of the service sector are expected to push the GDP growth rate to3.0 percent. Agricultural activity is projected to increase over the medium term, spurred by investments in irrigation schemes and the development of value chains for groundnut, cashew, sesame, rice, and horticultural projects as part of the new NDP strategy. While tourism activity is expected to rebound as the disruptive impact of the political crisis wanes, this will be a gradual process, and the reputational effects of the crisis are expected to linger.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The continued implementation of structural reforms and projects outlined in the new NDP will accelerate growth in construction and the service sector, and improving the energy supply is among the government’s top priorities. However, industrial activity is projected to remain subdued in 2017. Overall, the GDP growth rate is projected to gradually increase to 3.5 percent in 2018 and 4.5 percent in 2020, exceeding its 10-year average of 3.6 percent. The anticipated completion of a regional hydropower project in 2020 will further accelerate economic growth over the long term.</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lastRenderedPageBreak/>
        <w:t xml:space="preserve">The generally positive economic outlook will hinge on the country’s ability to restore and maintain macroeconomic stability and improve the efficiency of the public sector. Key objectives of government will include sharply reducing domestic financing of the deficit, mobilizing external concessional resources, continuing a gradual fiscal consolidation from 2018 onward and stabilizing inflation under the 5 percent target.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Improved macroeconomic stability and enhanced public-sector efficiency are expected to have a significant positive impact on the supply side of the economy. Reduced reliance on domestic borrowing should drive down interest rates and facilitate an increase in credit to the private sector, while clearing domestic arrears will further increase private-sector liquidity. The government has begun reviewing the financial status of SOEs, and SOE reform will help improve the delivery of essential services, particularly in the energy and information-technology sectors. Meanwhile, more predictable macro-fiscal policies are expected to help restore investor confidence and create the fiscal space necessary for public investment in physical and human capital.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The government has lowered the fiscal deficit target (including grants) from 9.8 percent of GDP in 2016 to 2.5 percent in 2017. Cabinet and National Assembly have approved a revised 2017 budget which cuts expenditures by 1.3 percent of GDP from their 2016 level, despite including a subsidy of 0.7 percent of GDP to cover NAWEC’s debt-service arrears. While the new budget protects health and education spending, it cuts spending on the President’s Office, foreign embassies, government travel expenses, and public works. The elimination of ghost workers through an audit of the public payroll had closed the remaining financing gap by reducing personnel expenditures in 2017.</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The long-term fiscal dynamics are being sustainably restored by reforming mismanaged revenue sources and selling certain state assets. The revenue projections in the new 2017 budget have been revised downward by 1.4 percent of GDP to reflect more realistic growth forecasts. The government is implementing compensatory measures designed to boost domestic revenue to 19.2 percent. Revenues from information-technology infrastructure are being tightened and budgetary revenues from natural-resource concessions and trade-related fees that had previously been diverted to off-budget spending are being restored. Multiple audits are laying the groundwork for additional measures to support medium-term fiscal consolidation and to address the complex network of cross-debts among SOEs and the central government.  The potential savings that will accrue from streamlining and rationalizing the institutional structure of the public sector will be substantial.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External financial support will be vital to maintain short-term macro-fiscal stability and avert a fiscal crisis as the new government inherited a dire fiscal situation reflecting years of macroeconomic mismanagement. A combination of grants and foreign investment will be needed to finance the external-current account deficit, which is expected to narrow as tourism and agricultural exports rebound. After widening from 9.7 percent of GDP in 2016 to 14.4 percent in 2017 due to political uncertainty and rising oil prices, the current-account deficit (excluding grants) is expected to gradually narrow to 12.9 percent in 2020. Enhanced regional integration and improved diplomatic relations with Senegal are expected to support the growth of regional commerce and transit trade.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lastRenderedPageBreak/>
        <w:t xml:space="preserve">The Gambia’s external financing needs are expected to increase substantially from 2017 to 2020, driven by a sharp rise in loan amortization, but external reserves should gradually recover. Scheduled loan amortizations are projected to increase from 1.8 percent of GDP in 2016 to 3.4 percent in 2017, reaching an average of 4.9 percent over 2019-2020. However, greater policy predictability and an improved business environment will attract increased foreign investment 2017-2020, especially in the tourism, commercial agriculture, mining, and oil and gas sectors. Rising foreign investment and sustained external financing will help rebuild international reserves, which are expected to gradually increase from 1.6 months of imports coverage in 2016 to 3.0 months in 2020.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Over the medium term, reduced fiscal dominance coupled with the normalization of monetary policy should help bring inflation below the 5 percent target. Rebounding agricultural production should also ease pressure on food prices in the near term. As a result, the inflation rate is expected to fall to 7.1 percent in 2018 and reach 5percent by 2020. </w:t>
      </w:r>
    </w:p>
    <w:p w:rsidR="00FB7889" w:rsidRPr="00B06331" w:rsidRDefault="00FB7889" w:rsidP="00FB7889">
      <w:pPr>
        <w:keepNext/>
        <w:spacing w:after="0"/>
        <w:jc w:val="center"/>
        <w:rPr>
          <w:rFonts w:ascii="Avenir Book" w:hAnsi="Avenir Book"/>
          <w:b/>
          <w:sz w:val="18"/>
          <w:szCs w:val="24"/>
        </w:rPr>
      </w:pPr>
      <w:bookmarkStart w:id="45" w:name="OLE_LINK1"/>
      <w:r w:rsidRPr="00B06331">
        <w:rPr>
          <w:rFonts w:ascii="Avenir Book" w:hAnsi="Avenir Book"/>
          <w:b/>
          <w:sz w:val="18"/>
          <w:szCs w:val="24"/>
        </w:rPr>
        <w:t xml:space="preserve">Table </w:t>
      </w:r>
      <w:r w:rsidR="00965AD2" w:rsidRPr="00B06331">
        <w:rPr>
          <w:rFonts w:ascii="Avenir Book" w:hAnsi="Avenir Book"/>
          <w:b/>
          <w:sz w:val="18"/>
          <w:szCs w:val="24"/>
        </w:rPr>
        <w:fldChar w:fldCharType="begin"/>
      </w:r>
      <w:r w:rsidRPr="00B06331">
        <w:rPr>
          <w:rFonts w:ascii="Avenir Book" w:hAnsi="Avenir Book"/>
          <w:b/>
          <w:sz w:val="18"/>
          <w:szCs w:val="24"/>
        </w:rPr>
        <w:instrText xml:space="preserve"> SEQ Table \* ARABIC </w:instrText>
      </w:r>
      <w:r w:rsidR="00965AD2" w:rsidRPr="00B06331">
        <w:rPr>
          <w:rFonts w:ascii="Avenir Book" w:hAnsi="Avenir Book"/>
          <w:b/>
          <w:sz w:val="18"/>
          <w:szCs w:val="24"/>
        </w:rPr>
        <w:fldChar w:fldCharType="separate"/>
      </w:r>
      <w:r w:rsidR="00B06331">
        <w:rPr>
          <w:rFonts w:ascii="Avenir Book" w:hAnsi="Avenir Book"/>
          <w:b/>
          <w:noProof/>
          <w:sz w:val="18"/>
          <w:szCs w:val="24"/>
        </w:rPr>
        <w:t>1</w:t>
      </w:r>
      <w:r w:rsidR="00965AD2" w:rsidRPr="00B06331">
        <w:rPr>
          <w:rFonts w:ascii="Avenir Book" w:hAnsi="Avenir Book"/>
          <w:b/>
          <w:sz w:val="18"/>
          <w:szCs w:val="24"/>
        </w:rPr>
        <w:fldChar w:fldCharType="end"/>
      </w:r>
      <w:r w:rsidR="009C3E1D" w:rsidRPr="00B06331">
        <w:rPr>
          <w:rFonts w:ascii="Avenir Book" w:hAnsi="Avenir Book"/>
          <w:b/>
          <w:sz w:val="18"/>
          <w:szCs w:val="24"/>
        </w:rPr>
        <w:t>.1</w:t>
      </w:r>
      <w:r w:rsidRPr="00B06331">
        <w:rPr>
          <w:rFonts w:ascii="Avenir Book" w:hAnsi="Avenir Book"/>
          <w:b/>
          <w:sz w:val="18"/>
          <w:szCs w:val="24"/>
        </w:rPr>
        <w:t>: Balance-of-Payments Financing Requirements and Sources (US$), 2013-2020</w:t>
      </w:r>
    </w:p>
    <w:tbl>
      <w:tblPr>
        <w:tblW w:w="9450" w:type="dxa"/>
        <w:tblLook w:val="04A0"/>
      </w:tblPr>
      <w:tblGrid>
        <w:gridCol w:w="2340"/>
        <w:gridCol w:w="900"/>
        <w:gridCol w:w="900"/>
        <w:gridCol w:w="900"/>
        <w:gridCol w:w="900"/>
        <w:gridCol w:w="900"/>
        <w:gridCol w:w="900"/>
        <w:gridCol w:w="900"/>
        <w:gridCol w:w="810"/>
      </w:tblGrid>
      <w:tr w:rsidR="00FB7889" w:rsidRPr="00B06331" w:rsidTr="009C3E1D">
        <w:trPr>
          <w:trHeight w:val="300"/>
        </w:trPr>
        <w:tc>
          <w:tcPr>
            <w:tcW w:w="234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both"/>
              <w:rPr>
                <w:rFonts w:eastAsia="MS Mincho"/>
                <w:b/>
                <w:bCs/>
                <w:color w:val="000000"/>
                <w:sz w:val="16"/>
                <w:szCs w:val="16"/>
              </w:rPr>
            </w:pPr>
            <w:r w:rsidRPr="00B06331">
              <w:rPr>
                <w:rFonts w:eastAsia="MS Mincho"/>
                <w:b/>
                <w:bCs/>
                <w:color w:val="000000"/>
                <w:sz w:val="16"/>
              </w:rPr>
              <w:t> </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2013</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2014</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2015</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2016e</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2017f</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2018f</w:t>
            </w:r>
          </w:p>
        </w:tc>
        <w:tc>
          <w:tcPr>
            <w:tcW w:w="90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2019f</w:t>
            </w:r>
          </w:p>
        </w:tc>
        <w:tc>
          <w:tcPr>
            <w:tcW w:w="810" w:type="dxa"/>
            <w:tcBorders>
              <w:top w:val="single" w:sz="8" w:space="0" w:color="auto"/>
              <w:left w:val="nil"/>
              <w:bottom w:val="single" w:sz="8"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2020f</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rPr>
              <w:t> </w:t>
            </w:r>
          </w:p>
        </w:tc>
        <w:tc>
          <w:tcPr>
            <w:tcW w:w="7110" w:type="dxa"/>
            <w:gridSpan w:val="8"/>
            <w:tcBorders>
              <w:top w:val="single" w:sz="8" w:space="0" w:color="auto"/>
              <w:left w:val="nil"/>
              <w:bottom w:val="nil"/>
              <w:right w:val="nil"/>
            </w:tcBorders>
            <w:shd w:val="clear" w:color="000000" w:fill="FFFFFF"/>
            <w:noWrap/>
            <w:vAlign w:val="center"/>
            <w:hideMark/>
          </w:tcPr>
          <w:p w:rsidR="00FB7889" w:rsidRPr="00B06331" w:rsidRDefault="00FB7889" w:rsidP="009C3E1D">
            <w:pPr>
              <w:keepNext/>
              <w:spacing w:after="0"/>
              <w:jc w:val="center"/>
              <w:rPr>
                <w:rFonts w:eastAsia="MS Mincho"/>
                <w:b/>
                <w:bCs/>
                <w:color w:val="000000"/>
                <w:sz w:val="16"/>
                <w:szCs w:val="16"/>
              </w:rPr>
            </w:pPr>
            <w:r w:rsidRPr="00B06331">
              <w:rPr>
                <w:rFonts w:eastAsia="MS Mincho"/>
                <w:b/>
                <w:bCs/>
                <w:color w:val="000000"/>
                <w:sz w:val="16"/>
                <w:szCs w:val="16"/>
              </w:rPr>
              <w:t>In millions of US Dollars</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b/>
                <w:bCs/>
                <w:color w:val="000000"/>
                <w:sz w:val="16"/>
                <w:szCs w:val="16"/>
              </w:rPr>
            </w:pPr>
            <w:r w:rsidRPr="00B06331">
              <w:rPr>
                <w:rFonts w:eastAsia="MS Mincho"/>
                <w:b/>
                <w:bCs/>
                <w:color w:val="000000"/>
                <w:sz w:val="16"/>
                <w:szCs w:val="16"/>
              </w:rPr>
              <w:t>Financing Requirements</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-108.0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-119.7</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-157.9</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-103.1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-132.1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-155.6</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-163.8</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-173.1</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Current-account balance</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-91.6</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-90.2</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-133.9</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-85.7</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-97.0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-111.7</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-119.6</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-129.4</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Loan amortization</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-16.4</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-29.5</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-24.0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-17.4</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-35.1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-43.9</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-44.2</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-43.7</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b/>
                <w:bCs/>
                <w:color w:val="000000"/>
                <w:sz w:val="16"/>
                <w:szCs w:val="16"/>
              </w:rPr>
            </w:pPr>
            <w:r w:rsidRPr="00B06331">
              <w:rPr>
                <w:rFonts w:eastAsia="MS Mincho"/>
                <w:b/>
                <w:bCs/>
                <w:color w:val="000000"/>
                <w:sz w:val="16"/>
                <w:szCs w:val="16"/>
              </w:rPr>
              <w:t>Financing Sources</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145.0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257.3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200.4</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97.3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129.0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159.8</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159.6</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b/>
                <w:bCs/>
                <w:color w:val="000000"/>
                <w:sz w:val="16"/>
                <w:szCs w:val="16"/>
              </w:rPr>
            </w:pPr>
            <w:r w:rsidRPr="00B06331">
              <w:rPr>
                <w:rFonts w:eastAsia="MS Mincho"/>
                <w:b/>
                <w:bCs/>
                <w:color w:val="000000"/>
                <w:sz w:val="16"/>
                <w:szCs w:val="16"/>
              </w:rPr>
              <w:t>167.2</w:t>
            </w:r>
          </w:p>
        </w:tc>
      </w:tr>
      <w:tr w:rsidR="00FB7889" w:rsidRPr="00B06331" w:rsidTr="009C3E1D">
        <w:trPr>
          <w:trHeight w:val="42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Net FDI and portfolio investment</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83.5</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74.7</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76.1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75.8</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87.0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94.5</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103.0</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112.4</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Net private investment</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-14.6</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23.6</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-3.5</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-30.3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-2.5</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22.3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16.9</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21.9</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Capital grants</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20.2</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28.8</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23.2</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26.1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25.9</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25.0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24.0</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23.0</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Loan disbursement</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32.3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84.2</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63.3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15.4</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32.0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48.1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40.0</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37.7</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Change in reserves (negative values indicate an increase)</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23.6</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46.0</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41.3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10.3</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-13.4</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-30.1</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-24.3</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-27.8</w:t>
            </w:r>
          </w:p>
        </w:tc>
      </w:tr>
      <w:tr w:rsidR="00FB7889" w:rsidRPr="00B06331" w:rsidTr="009C3E1D">
        <w:trPr>
          <w:trHeight w:val="290"/>
        </w:trPr>
        <w:tc>
          <w:tcPr>
            <w:tcW w:w="234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90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c>
          <w:tcPr>
            <w:tcW w:w="810" w:type="dxa"/>
            <w:tcBorders>
              <w:top w:val="nil"/>
              <w:left w:val="nil"/>
              <w:bottom w:val="nil"/>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 </w:t>
            </w:r>
          </w:p>
        </w:tc>
      </w:tr>
      <w:tr w:rsidR="00FB7889" w:rsidRPr="00B06331" w:rsidTr="009C3E1D">
        <w:trPr>
          <w:trHeight w:val="300"/>
        </w:trPr>
        <w:tc>
          <w:tcPr>
            <w:tcW w:w="234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Discrepancy</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36.9</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137.6</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42.5</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-5.8</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-3.2</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4.2</w:t>
            </w:r>
          </w:p>
        </w:tc>
        <w:tc>
          <w:tcPr>
            <w:tcW w:w="90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-4.3</w:t>
            </w:r>
          </w:p>
        </w:tc>
        <w:tc>
          <w:tcPr>
            <w:tcW w:w="810" w:type="dxa"/>
            <w:tcBorders>
              <w:top w:val="nil"/>
              <w:left w:val="nil"/>
              <w:bottom w:val="single" w:sz="4" w:space="0" w:color="auto"/>
              <w:right w:val="nil"/>
            </w:tcBorders>
            <w:shd w:val="clear" w:color="000000" w:fill="FFFFFF"/>
            <w:noWrap/>
            <w:vAlign w:val="center"/>
            <w:hideMark/>
          </w:tcPr>
          <w:p w:rsidR="00FB7889" w:rsidRPr="00B06331" w:rsidRDefault="00FB7889" w:rsidP="009C3E1D">
            <w:pPr>
              <w:keepNext/>
              <w:spacing w:after="0"/>
              <w:jc w:val="right"/>
              <w:rPr>
                <w:rFonts w:eastAsia="MS Mincho"/>
                <w:color w:val="000000"/>
                <w:sz w:val="16"/>
                <w:szCs w:val="16"/>
              </w:rPr>
            </w:pPr>
            <w:r w:rsidRPr="00B06331">
              <w:rPr>
                <w:rFonts w:eastAsia="MS Mincho"/>
                <w:color w:val="000000"/>
                <w:sz w:val="16"/>
                <w:szCs w:val="16"/>
              </w:rPr>
              <w:t>-6.0</w:t>
            </w:r>
          </w:p>
        </w:tc>
      </w:tr>
      <w:tr w:rsidR="00FB7889" w:rsidRPr="00B06331" w:rsidTr="009C3E1D">
        <w:trPr>
          <w:trHeight w:val="310"/>
        </w:trPr>
        <w:tc>
          <w:tcPr>
            <w:tcW w:w="9450" w:type="dxa"/>
            <w:gridSpan w:val="9"/>
            <w:tcBorders>
              <w:top w:val="single" w:sz="4" w:space="0" w:color="auto"/>
              <w:left w:val="nil"/>
              <w:right w:val="nil"/>
            </w:tcBorders>
            <w:shd w:val="clear" w:color="000000" w:fill="FFFFFF"/>
            <w:noWrap/>
            <w:vAlign w:val="center"/>
            <w:hideMark/>
          </w:tcPr>
          <w:p w:rsidR="00FB7889" w:rsidRPr="00B06331" w:rsidRDefault="00FB7889" w:rsidP="009C3E1D">
            <w:pPr>
              <w:keepNext/>
              <w:spacing w:after="0"/>
              <w:jc w:val="both"/>
              <w:rPr>
                <w:rFonts w:eastAsia="MS Mincho"/>
                <w:color w:val="000000"/>
                <w:sz w:val="16"/>
                <w:szCs w:val="16"/>
              </w:rPr>
            </w:pPr>
            <w:r w:rsidRPr="00B06331">
              <w:rPr>
                <w:rFonts w:eastAsia="MS Mincho"/>
                <w:color w:val="000000"/>
                <w:sz w:val="16"/>
                <w:szCs w:val="16"/>
              </w:rPr>
              <w:t xml:space="preserve">Source: Gambian authorities; IMF and World Bank estimates and projections. April 2017. </w:t>
            </w:r>
          </w:p>
        </w:tc>
      </w:tr>
      <w:tr w:rsidR="00FB7889" w:rsidRPr="00B06331" w:rsidTr="009C3E1D">
        <w:trPr>
          <w:trHeight w:val="360"/>
        </w:trPr>
        <w:tc>
          <w:tcPr>
            <w:tcW w:w="9450" w:type="dxa"/>
            <w:gridSpan w:val="9"/>
            <w:tcBorders>
              <w:left w:val="nil"/>
              <w:bottom w:val="single" w:sz="4" w:space="0" w:color="auto"/>
              <w:right w:val="nil"/>
            </w:tcBorders>
            <w:shd w:val="clear" w:color="000000" w:fill="FFFFFF"/>
            <w:noWrap/>
            <w:vAlign w:val="center"/>
            <w:hideMark/>
          </w:tcPr>
          <w:p w:rsidR="00FB7889" w:rsidRPr="00B06331" w:rsidRDefault="00FB7889" w:rsidP="009C3E1D">
            <w:pPr>
              <w:spacing w:after="0"/>
              <w:jc w:val="both"/>
              <w:rPr>
                <w:rFonts w:eastAsia="MS Mincho"/>
                <w:color w:val="000000"/>
                <w:sz w:val="16"/>
                <w:szCs w:val="16"/>
              </w:rPr>
            </w:pPr>
            <w:r w:rsidRPr="00B06331">
              <w:rPr>
                <w:rFonts w:eastAsia="MS Mincho"/>
                <w:color w:val="000000"/>
                <w:sz w:val="16"/>
                <w:szCs w:val="16"/>
              </w:rPr>
              <w:t>Note: Additional measures to reduce the fiscal deficit by 0.3% GDP following the HR audits are expected to be associated to a reduction in the CAD and close the 2017 financing gap.</w:t>
            </w:r>
          </w:p>
        </w:tc>
      </w:tr>
    </w:tbl>
    <w:bookmarkEnd w:id="45"/>
    <w:p w:rsidR="00FB7889" w:rsidRPr="00B06331" w:rsidRDefault="00FB7889" w:rsidP="00FB7889">
      <w:pPr>
        <w:shd w:val="clear" w:color="auto" w:fill="FFFFFF"/>
        <w:spacing w:before="240"/>
        <w:jc w:val="both"/>
        <w:rPr>
          <w:rFonts w:ascii="Avenir Book" w:hAnsi="Avenir Book"/>
          <w:szCs w:val="24"/>
        </w:rPr>
      </w:pPr>
      <w:r w:rsidRPr="00B06331">
        <w:rPr>
          <w:rFonts w:ascii="Avenir Book" w:hAnsi="Avenir Book"/>
          <w:szCs w:val="24"/>
        </w:rPr>
        <w:t xml:space="preserve">The preliminary conclusions of a 2017 debt-sustainability analysis (DSA) </w:t>
      </w:r>
      <w:r w:rsidRPr="00B06331">
        <w:rPr>
          <w:rFonts w:ascii="Avenir Book" w:hAnsi="Avenir Book"/>
          <w:szCs w:val="24"/>
          <w:vertAlign w:val="superscript"/>
        </w:rPr>
        <w:footnoteReference w:id="3"/>
      </w:r>
      <w:r w:rsidRPr="00B06331">
        <w:rPr>
          <w:rFonts w:ascii="Avenir Book" w:hAnsi="Avenir Book"/>
          <w:szCs w:val="24"/>
        </w:rPr>
        <w:t xml:space="preserve"> indicate that The Gambia’s risk of external debt distress has increased from moderate to high. A 2015 DSA concluded that the country was at moderate risk of external debt distress, but a decline in The Gambia’s country policy and institutional assessment (CPIA) rating has since lowered the applicable indicative thresholds for debt distress, and the country is now categorized as weak policy performer.</w:t>
      </w:r>
      <w:r w:rsidRPr="00B06331">
        <w:rPr>
          <w:rFonts w:ascii="Avenir Book" w:hAnsi="Avenir Book"/>
          <w:szCs w:val="24"/>
        </w:rPr>
        <w:footnoteReference w:id="4"/>
      </w:r>
      <w:r w:rsidRPr="00B06331">
        <w:rPr>
          <w:rFonts w:ascii="Avenir Book" w:hAnsi="Avenir Book"/>
          <w:szCs w:val="24"/>
        </w:rPr>
        <w:t xml:space="preserve"> Under the baseline scenario, all </w:t>
      </w:r>
      <w:r w:rsidRPr="00B06331">
        <w:rPr>
          <w:rFonts w:ascii="Avenir Book" w:hAnsi="Avenir Book"/>
          <w:szCs w:val="24"/>
        </w:rPr>
        <w:lastRenderedPageBreak/>
        <w:t>five external debt indicators are projected to temporarily breach their respective thresholds in the near term. The present value of the public and publicly guaranteed external debt-to-GDP ratio is expected to steadily decline over the projection period but will remain above its 30 percent threshold until 2020 (</w:t>
      </w:r>
      <w:fldSimple w:instr=" REF _Ref483947611 \h  \* MERGEFORMAT ">
        <w:r w:rsidR="00B06331" w:rsidRPr="00B06331">
          <w:rPr>
            <w:rFonts w:ascii="Avenir Book" w:hAnsi="Avenir Book"/>
            <w:szCs w:val="24"/>
          </w:rPr>
          <w:t>Figure 1</w:t>
        </w:r>
      </w:fldSimple>
      <w:r w:rsidR="00FA4F2B" w:rsidRPr="00B06331">
        <w:rPr>
          <w:rFonts w:ascii="Avenir Book" w:hAnsi="Avenir Book"/>
          <w:szCs w:val="24"/>
        </w:rPr>
        <w:t>.6</w:t>
      </w:r>
      <w:r w:rsidRPr="00B06331">
        <w:rPr>
          <w:rFonts w:ascii="Avenir Book" w:hAnsi="Avenir Book"/>
          <w:szCs w:val="24"/>
        </w:rPr>
        <w:t>). All indicators are expected to decline over time and fall below their respective thresholds over the long run.</w:t>
      </w:r>
      <w:bookmarkStart w:id="46" w:name="_Toc480977874"/>
      <w:bookmarkStart w:id="47" w:name="_Toc480990970"/>
      <w:bookmarkStart w:id="48" w:name="_Toc481403687"/>
    </w:p>
    <w:p w:rsidR="00FB7889" w:rsidRPr="00B06331" w:rsidRDefault="00FB7889" w:rsidP="00FB7889">
      <w:pPr>
        <w:pStyle w:val="Caption"/>
        <w:keepNext/>
        <w:spacing w:after="60"/>
        <w:jc w:val="center"/>
      </w:pPr>
      <w:bookmarkStart w:id="49" w:name="_Ref483947611"/>
      <w:bookmarkEnd w:id="46"/>
      <w:bookmarkEnd w:id="47"/>
      <w:bookmarkEnd w:id="48"/>
      <w:r w:rsidRPr="00B06331">
        <w:t xml:space="preserve">Figure </w:t>
      </w:r>
      <w:fldSimple w:instr=" SEQ Figure \* ARABIC ">
        <w:r w:rsidR="00B06331">
          <w:rPr>
            <w:noProof/>
          </w:rPr>
          <w:t>1</w:t>
        </w:r>
      </w:fldSimple>
      <w:bookmarkEnd w:id="49"/>
      <w:r w:rsidR="009C3E1D" w:rsidRPr="00B06331">
        <w:rPr>
          <w:noProof/>
        </w:rPr>
        <w:t>.6</w:t>
      </w:r>
      <w:r w:rsidRPr="00B06331">
        <w:t>: Public and Publicly Guaranteed External Debt under Alternative Scenarios, 2017-2037 (left); Public Debt Indicators under Alternative Scenarios, 2017-2037 (right)</w:t>
      </w:r>
    </w:p>
    <w:p w:rsidR="00FB7889" w:rsidRPr="00B06331" w:rsidRDefault="00FB7889" w:rsidP="00FB7889">
      <w:pPr>
        <w:rPr>
          <w:rFonts w:eastAsia="MS Mincho"/>
        </w:rPr>
      </w:pPr>
      <w:r w:rsidRPr="00B06331">
        <w:rPr>
          <w:rFonts w:eastAsia="MS Mincho"/>
          <w:noProof/>
        </w:rPr>
        <w:drawing>
          <wp:inline distT="0" distB="0" distL="0" distR="0">
            <wp:extent cx="2990850" cy="254317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06331">
        <w:rPr>
          <w:rFonts w:eastAsia="MS Mincho"/>
          <w:noProof/>
        </w:rPr>
        <w:drawing>
          <wp:inline distT="0" distB="0" distL="0" distR="0">
            <wp:extent cx="2919730" cy="2543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1" t="-3587" r="-4532" b="-3775"/>
                    <a:stretch>
                      <a:fillRect/>
                    </a:stretch>
                  </pic:blipFill>
                  <pic:spPr bwMode="auto">
                    <a:xfrm>
                      <a:off x="0" y="0"/>
                      <a:ext cx="2919730" cy="2543175"/>
                    </a:xfrm>
                    <a:prstGeom prst="rect">
                      <a:avLst/>
                    </a:prstGeom>
                    <a:noFill/>
                    <a:ln>
                      <a:noFill/>
                    </a:ln>
                  </pic:spPr>
                </pic:pic>
              </a:graphicData>
            </a:graphic>
          </wp:inline>
        </w:drawing>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Assuming a continued fiscal consolidation and sustained concessional external financing, the total public debt stock should steadily decrease; however, it will remain above the 40 percent benchmark for most of the forecast period, reflecting a heightened risk of debt distress. The present value of the public debt stock equaled 107.5 percent of GDP in 2016. Substantial fiscal consolidation over the medium-term must be complemented by measures to boost the economy’s long-term growth potential. </w:t>
      </w:r>
    </w:p>
    <w:p w:rsidR="00FB7889" w:rsidRPr="00B06331" w:rsidRDefault="00FB7889" w:rsidP="00FB7889">
      <w:pPr>
        <w:shd w:val="clear" w:color="auto" w:fill="FFFFFF"/>
        <w:jc w:val="both"/>
        <w:rPr>
          <w:rFonts w:ascii="Avenir Book" w:hAnsi="Avenir Book"/>
          <w:szCs w:val="24"/>
        </w:rPr>
      </w:pPr>
      <w:r w:rsidRPr="00B06331">
        <w:rPr>
          <w:rFonts w:ascii="Avenir Book" w:hAnsi="Avenir Book"/>
          <w:szCs w:val="24"/>
        </w:rPr>
        <w:t xml:space="preserve">Interest payments on the public debt are projected to decline from 7.7 percent of GDP in 2016 to 5.9 percent in 2017, driven by lower yields on T-bills, but the heavy debt burden highlights the need for sustained fiscal consolidation. Total debt-service payments (interest plus external debt amortization and long-term domestic debt amortization) will equal 10.0 percent of GDP and consume 54 percent of domestic revenue. Interest payments on external debt amount to just 0.7 percent of GDP, but external debt amortization flows will increase markedly in the near future as grace periods expire, intensifying pressure on the external account. </w:t>
      </w:r>
      <w:bookmarkStart w:id="50" w:name="_Toc465270036"/>
    </w:p>
    <w:bookmarkEnd w:id="50"/>
    <w:p w:rsidR="00FB7889" w:rsidRPr="00B06331" w:rsidRDefault="009C3E1D" w:rsidP="00FB7889">
      <w:pPr>
        <w:pStyle w:val="Caption"/>
        <w:keepNext/>
        <w:spacing w:after="60"/>
        <w:jc w:val="center"/>
        <w:rPr>
          <w:rFonts w:ascii="Avenir Book" w:hAnsi="Avenir Book"/>
          <w:b/>
          <w:i w:val="0"/>
          <w:iCs w:val="0"/>
          <w:color w:val="auto"/>
          <w:sz w:val="22"/>
          <w:szCs w:val="24"/>
        </w:rPr>
      </w:pPr>
      <w:r w:rsidRPr="00B06331">
        <w:rPr>
          <w:rFonts w:ascii="Avenir Book" w:hAnsi="Avenir Book"/>
          <w:b/>
          <w:i w:val="0"/>
          <w:iCs w:val="0"/>
          <w:color w:val="auto"/>
          <w:sz w:val="22"/>
          <w:szCs w:val="24"/>
        </w:rPr>
        <w:lastRenderedPageBreak/>
        <w:t>Table 3.2</w:t>
      </w:r>
      <w:r w:rsidR="00FB7889" w:rsidRPr="00B06331">
        <w:rPr>
          <w:rFonts w:ascii="Avenir Book" w:hAnsi="Avenir Book"/>
          <w:b/>
          <w:i w:val="0"/>
          <w:iCs w:val="0"/>
          <w:color w:val="auto"/>
          <w:sz w:val="22"/>
          <w:szCs w:val="24"/>
        </w:rPr>
        <w:t>: External Debt Composition, End-2016</w:t>
      </w:r>
    </w:p>
    <w:tbl>
      <w:tblPr>
        <w:tblStyle w:val="GridTable4-Accent12"/>
        <w:tblW w:w="9175" w:type="dxa"/>
        <w:tblLook w:val="04A0"/>
      </w:tblPr>
      <w:tblGrid>
        <w:gridCol w:w="3055"/>
        <w:gridCol w:w="1980"/>
        <w:gridCol w:w="2250"/>
        <w:gridCol w:w="1890"/>
      </w:tblGrid>
      <w:tr w:rsidR="00FB7889" w:rsidRPr="00B06331" w:rsidTr="009C3E1D">
        <w:trPr>
          <w:cnfStyle w:val="100000000000"/>
          <w:trHeight w:val="170"/>
        </w:trPr>
        <w:tc>
          <w:tcPr>
            <w:cnfStyle w:val="001000000000"/>
            <w:tcW w:w="9175" w:type="dxa"/>
            <w:gridSpan w:val="4"/>
            <w:noWrap/>
            <w:hideMark/>
          </w:tcPr>
          <w:p w:rsidR="00FB7889" w:rsidRPr="00B06331" w:rsidRDefault="00FB7889" w:rsidP="009C3E1D">
            <w:pPr>
              <w:keepNext/>
              <w:spacing w:after="0"/>
              <w:ind w:left="360"/>
              <w:jc w:val="center"/>
              <w:rPr>
                <w:rFonts w:eastAsia="MS Mincho"/>
                <w:bCs w:val="0"/>
              </w:rPr>
            </w:pPr>
            <w:r w:rsidRPr="00B06331">
              <w:rPr>
                <w:rFonts w:eastAsia="MS Mincho"/>
                <w:bCs w:val="0"/>
              </w:rPr>
              <w:t>External Debt Composition</w:t>
            </w:r>
          </w:p>
        </w:tc>
      </w:tr>
      <w:tr w:rsidR="00FB7889" w:rsidRPr="00B06331" w:rsidTr="009C3E1D">
        <w:trPr>
          <w:cnfStyle w:val="000000100000"/>
          <w:trHeight w:val="215"/>
        </w:trPr>
        <w:tc>
          <w:tcPr>
            <w:cnfStyle w:val="001000000000"/>
            <w:tcW w:w="3055" w:type="dxa"/>
            <w:noWrap/>
            <w:hideMark/>
          </w:tcPr>
          <w:p w:rsidR="00FB7889" w:rsidRPr="00B06331" w:rsidRDefault="00FB7889" w:rsidP="009C3E1D">
            <w:pPr>
              <w:keepNext/>
              <w:spacing w:after="0"/>
              <w:ind w:left="360"/>
              <w:rPr>
                <w:rFonts w:eastAsia="MS Mincho"/>
                <w:b w:val="0"/>
              </w:rPr>
            </w:pPr>
          </w:p>
        </w:tc>
        <w:tc>
          <w:tcPr>
            <w:tcW w:w="1980" w:type="dxa"/>
            <w:noWrap/>
            <w:hideMark/>
          </w:tcPr>
          <w:p w:rsidR="00FB7889" w:rsidRPr="00B06331" w:rsidRDefault="00FB7889" w:rsidP="009C3E1D">
            <w:pPr>
              <w:keepNext/>
              <w:spacing w:after="0"/>
              <w:ind w:left="360"/>
              <w:jc w:val="center"/>
              <w:cnfStyle w:val="000000100000"/>
              <w:rPr>
                <w:rFonts w:eastAsia="MS Mincho"/>
                <w:b/>
              </w:rPr>
            </w:pPr>
            <w:r w:rsidRPr="00B06331">
              <w:rPr>
                <w:rFonts w:eastAsia="MS Mincho"/>
                <w:b/>
              </w:rPr>
              <w:t>US$ (million)</w:t>
            </w:r>
          </w:p>
        </w:tc>
        <w:tc>
          <w:tcPr>
            <w:tcW w:w="2250" w:type="dxa"/>
            <w:hideMark/>
          </w:tcPr>
          <w:p w:rsidR="00FB7889" w:rsidRPr="00B06331" w:rsidRDefault="00FB7889" w:rsidP="009C3E1D">
            <w:pPr>
              <w:keepNext/>
              <w:spacing w:after="0"/>
              <w:ind w:left="360"/>
              <w:jc w:val="center"/>
              <w:cnfStyle w:val="000000100000"/>
              <w:rPr>
                <w:rFonts w:eastAsia="MS Mincho"/>
                <w:b/>
              </w:rPr>
            </w:pPr>
            <w:r w:rsidRPr="00B06331">
              <w:rPr>
                <w:rFonts w:eastAsia="MS Mincho"/>
                <w:b/>
              </w:rPr>
              <w:t>Share of total external debt</w:t>
            </w:r>
          </w:p>
        </w:tc>
        <w:tc>
          <w:tcPr>
            <w:tcW w:w="1890" w:type="dxa"/>
            <w:noWrap/>
            <w:hideMark/>
          </w:tcPr>
          <w:p w:rsidR="00FB7889" w:rsidRPr="00B06331" w:rsidRDefault="00FB7889" w:rsidP="009C3E1D">
            <w:pPr>
              <w:keepNext/>
              <w:spacing w:after="0"/>
              <w:ind w:left="360"/>
              <w:jc w:val="center"/>
              <w:cnfStyle w:val="000000100000"/>
              <w:rPr>
                <w:rFonts w:eastAsia="MS Mincho"/>
                <w:b/>
              </w:rPr>
            </w:pPr>
            <w:r w:rsidRPr="00B06331">
              <w:rPr>
                <w:rFonts w:eastAsia="MS Mincho"/>
                <w:b/>
              </w:rPr>
              <w:t>% of GDP</w:t>
            </w:r>
          </w:p>
        </w:tc>
      </w:tr>
      <w:tr w:rsidR="00FB7889" w:rsidRPr="00B06331" w:rsidTr="009C3E1D">
        <w:trPr>
          <w:trHeight w:val="242"/>
        </w:trPr>
        <w:tc>
          <w:tcPr>
            <w:cnfStyle w:val="001000000000"/>
            <w:tcW w:w="3055" w:type="dxa"/>
            <w:noWrap/>
            <w:hideMark/>
          </w:tcPr>
          <w:p w:rsidR="00FB7889" w:rsidRPr="00B06331" w:rsidRDefault="00FB7889" w:rsidP="009C3E1D">
            <w:pPr>
              <w:keepNext/>
              <w:spacing w:after="0"/>
              <w:ind w:left="360"/>
              <w:rPr>
                <w:rFonts w:eastAsia="MS Mincho"/>
                <w:b w:val="0"/>
              </w:rPr>
            </w:pPr>
            <w:r w:rsidRPr="00B06331">
              <w:rPr>
                <w:rFonts w:eastAsia="MS Mincho"/>
                <w:b w:val="0"/>
              </w:rPr>
              <w:t>Multilateral Debt</w:t>
            </w:r>
          </w:p>
        </w:tc>
        <w:tc>
          <w:tcPr>
            <w:tcW w:w="1980" w:type="dxa"/>
            <w:noWrap/>
          </w:tcPr>
          <w:p w:rsidR="00FB7889" w:rsidRPr="00B06331" w:rsidRDefault="00FB7889" w:rsidP="009C3E1D">
            <w:pPr>
              <w:keepNext/>
              <w:spacing w:after="0"/>
              <w:ind w:left="360"/>
              <w:jc w:val="right"/>
              <w:cnfStyle w:val="000000000000"/>
              <w:rPr>
                <w:rFonts w:eastAsia="MS Mincho"/>
              </w:rPr>
            </w:pPr>
            <w:r w:rsidRPr="00B06331">
              <w:rPr>
                <w:rFonts w:eastAsia="MS Mincho"/>
              </w:rPr>
              <w:t>358.80</w:t>
            </w:r>
          </w:p>
        </w:tc>
        <w:tc>
          <w:tcPr>
            <w:tcW w:w="2250" w:type="dxa"/>
            <w:noWrap/>
          </w:tcPr>
          <w:p w:rsidR="00FB7889" w:rsidRPr="00B06331" w:rsidRDefault="00FB7889" w:rsidP="009C3E1D">
            <w:pPr>
              <w:spacing w:after="0"/>
              <w:ind w:left="360"/>
              <w:jc w:val="right"/>
              <w:cnfStyle w:val="000000000000"/>
              <w:rPr>
                <w:rFonts w:eastAsia="MS Mincho"/>
              </w:rPr>
            </w:pPr>
            <w:r w:rsidRPr="00B06331">
              <w:rPr>
                <w:rFonts w:eastAsia="MS Mincho"/>
              </w:rPr>
              <w:t>71.1%</w:t>
            </w:r>
          </w:p>
        </w:tc>
        <w:tc>
          <w:tcPr>
            <w:tcW w:w="1890" w:type="dxa"/>
            <w:noWrap/>
          </w:tcPr>
          <w:p w:rsidR="00FB7889" w:rsidRPr="00B06331" w:rsidRDefault="00FB7889" w:rsidP="009C3E1D">
            <w:pPr>
              <w:spacing w:after="0"/>
              <w:ind w:left="360"/>
              <w:jc w:val="right"/>
              <w:cnfStyle w:val="000000000000"/>
              <w:rPr>
                <w:rFonts w:eastAsia="MS Mincho"/>
              </w:rPr>
            </w:pPr>
            <w:r w:rsidRPr="00B06331">
              <w:rPr>
                <w:rFonts w:eastAsia="MS Mincho"/>
              </w:rPr>
              <w:t>37.3%</w:t>
            </w:r>
          </w:p>
        </w:tc>
      </w:tr>
      <w:tr w:rsidR="00FB7889" w:rsidRPr="00B06331" w:rsidTr="009C3E1D">
        <w:trPr>
          <w:cnfStyle w:val="000000100000"/>
          <w:trHeight w:val="188"/>
        </w:trPr>
        <w:tc>
          <w:tcPr>
            <w:cnfStyle w:val="001000000000"/>
            <w:tcW w:w="3055" w:type="dxa"/>
            <w:noWrap/>
            <w:hideMark/>
          </w:tcPr>
          <w:p w:rsidR="00FB7889" w:rsidRPr="00B06331" w:rsidRDefault="00FB7889" w:rsidP="009C3E1D">
            <w:pPr>
              <w:keepNext/>
              <w:spacing w:after="0"/>
              <w:ind w:left="360"/>
              <w:rPr>
                <w:rFonts w:eastAsia="MS Mincho"/>
                <w:b w:val="0"/>
              </w:rPr>
            </w:pPr>
            <w:r w:rsidRPr="00B06331">
              <w:rPr>
                <w:rFonts w:eastAsia="MS Mincho"/>
                <w:b w:val="0"/>
              </w:rPr>
              <w:t>Bilateral Debt</w:t>
            </w:r>
          </w:p>
        </w:tc>
        <w:tc>
          <w:tcPr>
            <w:tcW w:w="1980" w:type="dxa"/>
            <w:noWrap/>
          </w:tcPr>
          <w:p w:rsidR="00FB7889" w:rsidRPr="00B06331" w:rsidRDefault="00FB7889" w:rsidP="009C3E1D">
            <w:pPr>
              <w:keepNext/>
              <w:spacing w:after="0"/>
              <w:ind w:left="360"/>
              <w:jc w:val="right"/>
              <w:cnfStyle w:val="000000100000"/>
              <w:rPr>
                <w:rFonts w:eastAsia="MS Mincho"/>
              </w:rPr>
            </w:pPr>
            <w:r w:rsidRPr="00B06331">
              <w:rPr>
                <w:rFonts w:eastAsia="MS Mincho"/>
              </w:rPr>
              <w:t>138.17</w:t>
            </w:r>
          </w:p>
        </w:tc>
        <w:tc>
          <w:tcPr>
            <w:tcW w:w="2250" w:type="dxa"/>
            <w:noWrap/>
          </w:tcPr>
          <w:p w:rsidR="00FB7889" w:rsidRPr="00B06331" w:rsidRDefault="00FB7889" w:rsidP="009C3E1D">
            <w:pPr>
              <w:spacing w:after="0"/>
              <w:ind w:left="360"/>
              <w:jc w:val="right"/>
              <w:cnfStyle w:val="000000100000"/>
              <w:rPr>
                <w:rFonts w:eastAsia="MS Mincho"/>
              </w:rPr>
            </w:pPr>
            <w:r w:rsidRPr="00B06331">
              <w:rPr>
                <w:rFonts w:eastAsia="MS Mincho"/>
              </w:rPr>
              <w:t>27.4%</w:t>
            </w:r>
          </w:p>
        </w:tc>
        <w:tc>
          <w:tcPr>
            <w:tcW w:w="1890" w:type="dxa"/>
            <w:noWrap/>
          </w:tcPr>
          <w:p w:rsidR="00FB7889" w:rsidRPr="00B06331" w:rsidRDefault="00FB7889" w:rsidP="009C3E1D">
            <w:pPr>
              <w:spacing w:after="0"/>
              <w:ind w:left="360"/>
              <w:jc w:val="right"/>
              <w:cnfStyle w:val="000000100000"/>
              <w:rPr>
                <w:rFonts w:eastAsia="MS Mincho"/>
              </w:rPr>
            </w:pPr>
            <w:r w:rsidRPr="00B06331">
              <w:rPr>
                <w:rFonts w:eastAsia="MS Mincho"/>
              </w:rPr>
              <w:t>14.3%</w:t>
            </w:r>
          </w:p>
        </w:tc>
      </w:tr>
      <w:tr w:rsidR="00FB7889" w:rsidRPr="00B06331" w:rsidTr="009C3E1D">
        <w:trPr>
          <w:trHeight w:val="260"/>
        </w:trPr>
        <w:tc>
          <w:tcPr>
            <w:cnfStyle w:val="001000000000"/>
            <w:tcW w:w="3055" w:type="dxa"/>
            <w:noWrap/>
          </w:tcPr>
          <w:p w:rsidR="00FB7889" w:rsidRPr="00B06331" w:rsidRDefault="00FB7889" w:rsidP="009C3E1D">
            <w:pPr>
              <w:keepNext/>
              <w:spacing w:after="0"/>
              <w:ind w:left="360"/>
              <w:rPr>
                <w:rFonts w:eastAsia="MS Mincho"/>
                <w:b w:val="0"/>
              </w:rPr>
            </w:pPr>
            <w:r w:rsidRPr="00B06331">
              <w:rPr>
                <w:rFonts w:eastAsia="MS Mincho"/>
                <w:b w:val="0"/>
              </w:rPr>
              <w:t xml:space="preserve">Guaranteed External Debt </w:t>
            </w:r>
          </w:p>
        </w:tc>
        <w:tc>
          <w:tcPr>
            <w:tcW w:w="1980" w:type="dxa"/>
            <w:noWrap/>
          </w:tcPr>
          <w:p w:rsidR="00FB7889" w:rsidRPr="00B06331" w:rsidRDefault="00FB7889" w:rsidP="009C3E1D">
            <w:pPr>
              <w:keepNext/>
              <w:spacing w:after="0"/>
              <w:ind w:left="360"/>
              <w:jc w:val="right"/>
              <w:cnfStyle w:val="000000000000"/>
              <w:rPr>
                <w:rFonts w:eastAsia="MS Mincho"/>
              </w:rPr>
            </w:pPr>
            <w:r w:rsidRPr="00B06331">
              <w:rPr>
                <w:rFonts w:eastAsia="MS Mincho"/>
              </w:rPr>
              <w:t>7.75</w:t>
            </w:r>
          </w:p>
        </w:tc>
        <w:tc>
          <w:tcPr>
            <w:tcW w:w="2250" w:type="dxa"/>
            <w:noWrap/>
          </w:tcPr>
          <w:p w:rsidR="00FB7889" w:rsidRPr="00B06331" w:rsidRDefault="00FB7889" w:rsidP="009C3E1D">
            <w:pPr>
              <w:spacing w:after="0"/>
              <w:ind w:left="360"/>
              <w:jc w:val="right"/>
              <w:cnfStyle w:val="000000000000"/>
              <w:rPr>
                <w:rFonts w:eastAsia="MS Mincho"/>
              </w:rPr>
            </w:pPr>
            <w:r w:rsidRPr="00B06331">
              <w:rPr>
                <w:rFonts w:eastAsia="MS Mincho"/>
              </w:rPr>
              <w:t>1.5%</w:t>
            </w:r>
          </w:p>
        </w:tc>
        <w:tc>
          <w:tcPr>
            <w:tcW w:w="1890" w:type="dxa"/>
            <w:noWrap/>
          </w:tcPr>
          <w:p w:rsidR="00FB7889" w:rsidRPr="00B06331" w:rsidRDefault="00FB7889" w:rsidP="009C3E1D">
            <w:pPr>
              <w:spacing w:after="0"/>
              <w:ind w:left="360"/>
              <w:jc w:val="right"/>
              <w:cnfStyle w:val="000000000000"/>
              <w:rPr>
                <w:rFonts w:eastAsia="MS Mincho"/>
              </w:rPr>
            </w:pPr>
            <w:r w:rsidRPr="00B06331">
              <w:rPr>
                <w:rFonts w:eastAsia="MS Mincho"/>
              </w:rPr>
              <w:t>0.8</w:t>
            </w:r>
          </w:p>
        </w:tc>
      </w:tr>
      <w:tr w:rsidR="00FB7889" w:rsidRPr="00B06331" w:rsidTr="009C3E1D">
        <w:trPr>
          <w:cnfStyle w:val="000000100000"/>
          <w:trHeight w:val="260"/>
        </w:trPr>
        <w:tc>
          <w:tcPr>
            <w:cnfStyle w:val="001000000000"/>
            <w:tcW w:w="3055" w:type="dxa"/>
            <w:noWrap/>
            <w:hideMark/>
          </w:tcPr>
          <w:p w:rsidR="00FB7889" w:rsidRPr="00B06331" w:rsidRDefault="00FB7889" w:rsidP="009C3E1D">
            <w:pPr>
              <w:spacing w:after="0"/>
              <w:ind w:left="360"/>
              <w:rPr>
                <w:rFonts w:eastAsia="MS Mincho"/>
                <w:b w:val="0"/>
              </w:rPr>
            </w:pPr>
            <w:r w:rsidRPr="00B06331">
              <w:rPr>
                <w:rFonts w:eastAsia="MS Mincho"/>
                <w:b w:val="0"/>
              </w:rPr>
              <w:t>Total External Debt</w:t>
            </w:r>
          </w:p>
        </w:tc>
        <w:tc>
          <w:tcPr>
            <w:tcW w:w="1980" w:type="dxa"/>
            <w:noWrap/>
          </w:tcPr>
          <w:p w:rsidR="00FB7889" w:rsidRPr="00B06331" w:rsidRDefault="00FB7889" w:rsidP="009C3E1D">
            <w:pPr>
              <w:spacing w:after="0"/>
              <w:ind w:left="360"/>
              <w:jc w:val="right"/>
              <w:cnfStyle w:val="000000100000"/>
              <w:rPr>
                <w:rFonts w:eastAsia="MS Mincho"/>
              </w:rPr>
            </w:pPr>
            <w:r w:rsidRPr="00B06331">
              <w:rPr>
                <w:rFonts w:eastAsia="MS Mincho"/>
              </w:rPr>
              <w:t>504.72</w:t>
            </w:r>
          </w:p>
        </w:tc>
        <w:tc>
          <w:tcPr>
            <w:tcW w:w="2250" w:type="dxa"/>
            <w:noWrap/>
          </w:tcPr>
          <w:p w:rsidR="00FB7889" w:rsidRPr="00B06331" w:rsidRDefault="00FB7889" w:rsidP="009C3E1D">
            <w:pPr>
              <w:spacing w:after="0"/>
              <w:ind w:left="360"/>
              <w:jc w:val="right"/>
              <w:cnfStyle w:val="000000100000"/>
              <w:rPr>
                <w:rFonts w:eastAsia="MS Mincho"/>
              </w:rPr>
            </w:pPr>
            <w:r w:rsidRPr="00B06331">
              <w:rPr>
                <w:rFonts w:eastAsia="MS Mincho"/>
              </w:rPr>
              <w:t>100%</w:t>
            </w:r>
          </w:p>
        </w:tc>
        <w:tc>
          <w:tcPr>
            <w:tcW w:w="1890" w:type="dxa"/>
            <w:noWrap/>
          </w:tcPr>
          <w:p w:rsidR="00FB7889" w:rsidRPr="00B06331" w:rsidRDefault="00FB7889" w:rsidP="009C3E1D">
            <w:pPr>
              <w:spacing w:after="0"/>
              <w:ind w:left="360"/>
              <w:jc w:val="right"/>
              <w:cnfStyle w:val="000000100000"/>
              <w:rPr>
                <w:rFonts w:eastAsia="MS Mincho"/>
              </w:rPr>
            </w:pPr>
            <w:r w:rsidRPr="00B06331">
              <w:rPr>
                <w:rFonts w:eastAsia="MS Mincho"/>
              </w:rPr>
              <w:t>52.4%</w:t>
            </w:r>
          </w:p>
        </w:tc>
      </w:tr>
    </w:tbl>
    <w:p w:rsidR="00FB7889" w:rsidRPr="00B06331" w:rsidRDefault="00FB7889" w:rsidP="00FB7889">
      <w:pPr>
        <w:shd w:val="clear" w:color="auto" w:fill="FFFFFF"/>
        <w:spacing w:line="240" w:lineRule="auto"/>
        <w:jc w:val="both"/>
        <w:rPr>
          <w:rFonts w:ascii="Avenir Book" w:hAnsi="Avenir Book"/>
          <w:szCs w:val="24"/>
        </w:rPr>
      </w:pPr>
    </w:p>
    <w:p w:rsidR="00581D02" w:rsidRPr="00B06331" w:rsidRDefault="00FB7889" w:rsidP="00FB7889">
      <w:pPr>
        <w:shd w:val="clear" w:color="auto" w:fill="FFFFFF"/>
        <w:spacing w:line="240" w:lineRule="auto"/>
        <w:jc w:val="both"/>
        <w:rPr>
          <w:rFonts w:ascii="Avenir Book" w:hAnsi="Avenir Book"/>
          <w:szCs w:val="24"/>
        </w:rPr>
      </w:pPr>
      <w:r w:rsidRPr="00B06331">
        <w:rPr>
          <w:rFonts w:ascii="Avenir Book" w:hAnsi="Avenir Book"/>
          <w:b/>
          <w:szCs w:val="24"/>
        </w:rPr>
        <w:t>Exogenous shocks also pose important risks to macroeconomic stability and growth, underscoring the need to rebuild the country’s fiscal and external buffers.</w:t>
      </w:r>
      <w:r w:rsidRPr="00B06331">
        <w:rPr>
          <w:rFonts w:ascii="Avenir Book" w:hAnsi="Avenir Book"/>
          <w:szCs w:val="24"/>
        </w:rPr>
        <w:t xml:space="preserve"> Renewed domestic political instability or shocks to global or regional markets could derail The Gambia’s economic recovery. Due to its geography, the country is highly vulnerable to weather-related shocks and the effects of climate change, and building physical and economic resilience will be a long-term process.</w:t>
      </w:r>
    </w:p>
    <w:p w:rsidR="003B3B17" w:rsidRPr="00B06331" w:rsidRDefault="00FB7889" w:rsidP="00FB2711">
      <w:pPr>
        <w:pStyle w:val="Heading3"/>
        <w:rPr>
          <w:rFonts w:asciiTheme="minorHAnsi" w:eastAsia="Cambria" w:hAnsiTheme="minorHAnsi" w:cstheme="minorHAnsi"/>
          <w:b/>
          <w:sz w:val="22"/>
          <w:szCs w:val="22"/>
        </w:rPr>
      </w:pPr>
      <w:bookmarkStart w:id="51" w:name="_Toc492364736"/>
      <w:r w:rsidRPr="00B06331">
        <w:rPr>
          <w:rFonts w:asciiTheme="minorHAnsi" w:hAnsiTheme="minorHAnsi" w:cstheme="minorHAnsi"/>
          <w:b/>
          <w:sz w:val="22"/>
          <w:szCs w:val="22"/>
        </w:rPr>
        <w:t>3.2.3</w:t>
      </w:r>
      <w:r w:rsidR="003B3B17" w:rsidRPr="00B06331">
        <w:rPr>
          <w:rFonts w:asciiTheme="minorHAnsi" w:hAnsiTheme="minorHAnsi" w:cstheme="minorHAnsi"/>
          <w:b/>
          <w:sz w:val="22"/>
          <w:szCs w:val="22"/>
        </w:rPr>
        <w:t xml:space="preserve"> State Owned Enterprises (SOEs) Reform</w:t>
      </w:r>
      <w:bookmarkEnd w:id="51"/>
    </w:p>
    <w:p w:rsidR="00BC1302" w:rsidRPr="00B06331" w:rsidRDefault="003B3B17" w:rsidP="003B3B17">
      <w:pPr>
        <w:tabs>
          <w:tab w:val="left" w:pos="720"/>
        </w:tabs>
        <w:spacing w:before="120" w:after="360"/>
        <w:jc w:val="both"/>
        <w:rPr>
          <w:rFonts w:ascii="Avenir Book" w:hAnsi="Avenir Book"/>
        </w:rPr>
      </w:pPr>
      <w:r w:rsidRPr="00B06331">
        <w:rPr>
          <w:rFonts w:ascii="Avenir Book" w:hAnsi="Avenir Book"/>
        </w:rPr>
        <w:t xml:space="preserve">The para-public sector comprises approximately 41 Public Enterprises: (i) State Owned Enterprises (SOEs), which are incorporated entities (i.e. corporations/companies) and (ii) Semi-Autonomous Government Agencies (SAGAs) which are essentially extensions of public sector agencies. These Public Enterprises are governed by the 1990 Public Enterprise Act, the Companies Act (2013), individual Public Enterprises Acts and the 1997 Constitution of The Gambia. The respective SOEs which are thirteen in number and corresponding sector focus are as outlined in table </w:t>
      </w:r>
      <w:r w:rsidR="00FA4F2B" w:rsidRPr="00B06331">
        <w:rPr>
          <w:rFonts w:ascii="Avenir Book" w:hAnsi="Avenir Book"/>
        </w:rPr>
        <w:t>3.3</w:t>
      </w:r>
      <w:r w:rsidR="00FB7889" w:rsidRPr="00B06331">
        <w:rPr>
          <w:rFonts w:ascii="Avenir Book" w:hAnsi="Avenir Book"/>
        </w:rPr>
        <w:t xml:space="preserve"> below.</w:t>
      </w:r>
    </w:p>
    <w:p w:rsidR="003B3B17" w:rsidRPr="00B06331" w:rsidRDefault="009C3E1D" w:rsidP="003B3B17">
      <w:pPr>
        <w:spacing w:line="240" w:lineRule="auto"/>
        <w:contextualSpacing/>
        <w:jc w:val="both"/>
        <w:rPr>
          <w:rFonts w:ascii="Avenir Book" w:hAnsi="Avenir Book"/>
          <w:b/>
        </w:rPr>
      </w:pPr>
      <w:r w:rsidRPr="00B06331">
        <w:rPr>
          <w:rFonts w:ascii="Avenir Book" w:hAnsi="Avenir Book"/>
          <w:b/>
        </w:rPr>
        <w:t>Table 3.3</w:t>
      </w:r>
      <w:r w:rsidR="003B3B17" w:rsidRPr="00B06331">
        <w:rPr>
          <w:rFonts w:ascii="Avenir Book" w:hAnsi="Avenir Book"/>
          <w:b/>
        </w:rPr>
        <w:t xml:space="preserve">: The SOEs and Sectoral Focus </w:t>
      </w:r>
    </w:p>
    <w:tbl>
      <w:tblPr>
        <w:tblStyle w:val="GridTable4-Accent12"/>
        <w:tblW w:w="9388" w:type="dxa"/>
        <w:tblLook w:val="04A0"/>
      </w:tblPr>
      <w:tblGrid>
        <w:gridCol w:w="3802"/>
        <w:gridCol w:w="5586"/>
      </w:tblGrid>
      <w:tr w:rsidR="003B3B17" w:rsidRPr="00B06331" w:rsidTr="003B3B17">
        <w:trPr>
          <w:cnfStyle w:val="100000000000"/>
          <w:trHeight w:val="316"/>
        </w:trPr>
        <w:tc>
          <w:tcPr>
            <w:cnfStyle w:val="001000000000"/>
            <w:tcW w:w="3802" w:type="dxa"/>
          </w:tcPr>
          <w:p w:rsidR="003B3B17" w:rsidRPr="00B06331" w:rsidRDefault="003B3B17" w:rsidP="003B3B17">
            <w:pPr>
              <w:spacing w:line="240" w:lineRule="auto"/>
              <w:ind w:left="-18" w:firstLine="18"/>
              <w:contextualSpacing/>
              <w:jc w:val="center"/>
              <w:rPr>
                <w:rFonts w:ascii="Avenir Book" w:hAnsi="Avenir Book"/>
              </w:rPr>
            </w:pPr>
            <w:r w:rsidRPr="00B06331">
              <w:rPr>
                <w:rFonts w:ascii="Avenir Book" w:hAnsi="Avenir Book"/>
              </w:rPr>
              <w:t>Sector</w:t>
            </w:r>
          </w:p>
        </w:tc>
        <w:tc>
          <w:tcPr>
            <w:tcW w:w="5586" w:type="dxa"/>
          </w:tcPr>
          <w:p w:rsidR="003B3B17" w:rsidRPr="00B06331" w:rsidRDefault="003B3B17" w:rsidP="003B3B17">
            <w:pPr>
              <w:spacing w:line="240" w:lineRule="auto"/>
              <w:ind w:left="720" w:hanging="720"/>
              <w:contextualSpacing/>
              <w:jc w:val="center"/>
              <w:cnfStyle w:val="100000000000"/>
              <w:rPr>
                <w:rFonts w:ascii="Avenir Book" w:hAnsi="Avenir Book"/>
              </w:rPr>
            </w:pPr>
            <w:r w:rsidRPr="00B06331">
              <w:rPr>
                <w:rFonts w:ascii="Avenir Book" w:hAnsi="Avenir Book"/>
              </w:rPr>
              <w:t>SOE(s) Involved</w:t>
            </w:r>
          </w:p>
        </w:tc>
      </w:tr>
      <w:tr w:rsidR="003B3B17" w:rsidRPr="00B06331" w:rsidTr="003B3B17">
        <w:trPr>
          <w:cnfStyle w:val="000000100000"/>
          <w:trHeight w:val="316"/>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r w:rsidRPr="00B06331">
              <w:rPr>
                <w:rFonts w:ascii="Avenir Book" w:hAnsi="Avenir Book"/>
              </w:rPr>
              <w:t>Air, Sea, Land, and Marine Transport</w:t>
            </w: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Gambia Civil Aviation Authority (GCAA)</w:t>
            </w:r>
          </w:p>
        </w:tc>
      </w:tr>
      <w:tr w:rsidR="003B3B17" w:rsidRPr="00B06331" w:rsidTr="003B3B17">
        <w:trPr>
          <w:trHeight w:val="32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000000"/>
              <w:rPr>
                <w:rFonts w:ascii="Avenir Book" w:hAnsi="Avenir Book"/>
              </w:rPr>
            </w:pPr>
            <w:r w:rsidRPr="00B06331">
              <w:rPr>
                <w:rFonts w:ascii="Avenir Book" w:hAnsi="Avenir Book"/>
              </w:rPr>
              <w:t>Gambia Ports Authority &amp; Ferry Services (GPA)</w:t>
            </w:r>
            <w:r w:rsidRPr="00B06331">
              <w:rPr>
                <w:rFonts w:ascii="Avenir Book" w:hAnsi="Avenir Book"/>
              </w:rPr>
              <w:tab/>
            </w:r>
          </w:p>
        </w:tc>
      </w:tr>
      <w:tr w:rsidR="003B3B17" w:rsidRPr="00B06331" w:rsidTr="003B3B17">
        <w:trPr>
          <w:cnfStyle w:val="000000100000"/>
          <w:trHeight w:val="32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Gambia International Airlines (GIA)</w:t>
            </w:r>
          </w:p>
        </w:tc>
      </w:tr>
      <w:tr w:rsidR="003B3B17" w:rsidRPr="00B06331" w:rsidTr="003B3B17">
        <w:trPr>
          <w:trHeight w:val="28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r w:rsidRPr="00B06331">
              <w:rPr>
                <w:rFonts w:ascii="Avenir Book" w:hAnsi="Avenir Book"/>
              </w:rPr>
              <w:t>Telecommunications and Media</w:t>
            </w:r>
          </w:p>
        </w:tc>
        <w:tc>
          <w:tcPr>
            <w:tcW w:w="5586" w:type="dxa"/>
          </w:tcPr>
          <w:p w:rsidR="003B3B17" w:rsidRPr="00B06331" w:rsidRDefault="003B3B17" w:rsidP="003B3B17">
            <w:pPr>
              <w:spacing w:line="240" w:lineRule="auto"/>
              <w:ind w:left="720" w:hanging="720"/>
              <w:contextualSpacing/>
              <w:cnfStyle w:val="000000000000"/>
              <w:rPr>
                <w:rFonts w:ascii="Avenir Book" w:hAnsi="Avenir Book"/>
              </w:rPr>
            </w:pPr>
            <w:r w:rsidRPr="00B06331">
              <w:rPr>
                <w:rFonts w:ascii="Avenir Book" w:hAnsi="Avenir Book"/>
              </w:rPr>
              <w:t>Gambia Telecommunications Company (GAMTEL)</w:t>
            </w:r>
          </w:p>
        </w:tc>
      </w:tr>
      <w:tr w:rsidR="003B3B17" w:rsidRPr="00B06331" w:rsidTr="003B3B17">
        <w:trPr>
          <w:cnfStyle w:val="000000100000"/>
          <w:trHeight w:val="32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Gambia Telecommunications Cellular Company (GAMCEL)</w:t>
            </w:r>
          </w:p>
        </w:tc>
      </w:tr>
      <w:tr w:rsidR="003B3B17" w:rsidRPr="00B06331" w:rsidTr="003B3B17">
        <w:trPr>
          <w:trHeight w:val="23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000000"/>
              <w:rPr>
                <w:rFonts w:ascii="Avenir Book" w:hAnsi="Avenir Book"/>
              </w:rPr>
            </w:pPr>
            <w:r w:rsidRPr="00B06331">
              <w:rPr>
                <w:rFonts w:ascii="Avenir Book" w:hAnsi="Avenir Book"/>
              </w:rPr>
              <w:t>Gambia Postal Services (GAMPOST)</w:t>
            </w:r>
          </w:p>
        </w:tc>
      </w:tr>
      <w:tr w:rsidR="003B3B17" w:rsidRPr="00B06331" w:rsidTr="003B3B17">
        <w:trPr>
          <w:cnfStyle w:val="000000100000"/>
          <w:trHeight w:val="32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Gambia Radio and Television Services (GRTS)</w:t>
            </w:r>
          </w:p>
        </w:tc>
      </w:tr>
      <w:tr w:rsidR="003B3B17" w:rsidRPr="00B06331" w:rsidTr="003B3B17">
        <w:trPr>
          <w:trHeight w:val="32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000000"/>
              <w:rPr>
                <w:rFonts w:ascii="Avenir Book" w:hAnsi="Avenir Book"/>
              </w:rPr>
            </w:pPr>
            <w:r w:rsidRPr="00B06331">
              <w:rPr>
                <w:rFonts w:ascii="Avenir Book" w:hAnsi="Avenir Book"/>
              </w:rPr>
              <w:t>Gambia Printing and Publishing Corporation (GPPC)</w:t>
            </w:r>
          </w:p>
        </w:tc>
      </w:tr>
      <w:tr w:rsidR="003B3B17" w:rsidRPr="00B06331" w:rsidTr="003B3B17">
        <w:trPr>
          <w:cnfStyle w:val="000000100000"/>
          <w:trHeight w:val="32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r w:rsidRPr="00B06331">
              <w:rPr>
                <w:rFonts w:ascii="Avenir Book" w:hAnsi="Avenir Book"/>
              </w:rPr>
              <w:t>Agriculture</w:t>
            </w: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Gambia Groundnut Corporation (GGC)</w:t>
            </w:r>
          </w:p>
        </w:tc>
      </w:tr>
      <w:tr w:rsidR="003B3B17" w:rsidRPr="00B06331" w:rsidTr="003B3B17">
        <w:trPr>
          <w:trHeight w:val="280"/>
        </w:trPr>
        <w:tc>
          <w:tcPr>
            <w:cnfStyle w:val="001000000000"/>
            <w:tcW w:w="3802" w:type="dxa"/>
          </w:tcPr>
          <w:p w:rsidR="003B3B17" w:rsidRPr="00B06331" w:rsidRDefault="003B3B17" w:rsidP="003B3B17">
            <w:pPr>
              <w:spacing w:line="240" w:lineRule="auto"/>
              <w:ind w:left="-18" w:firstLine="18"/>
              <w:contextualSpacing/>
              <w:jc w:val="both"/>
              <w:rPr>
                <w:rFonts w:ascii="Avenir Book" w:hAnsi="Avenir Book"/>
              </w:rPr>
            </w:pPr>
            <w:r w:rsidRPr="00B06331">
              <w:rPr>
                <w:rFonts w:ascii="Avenir Book" w:hAnsi="Avenir Book"/>
              </w:rPr>
              <w:t>Energy and Water</w:t>
            </w:r>
          </w:p>
        </w:tc>
        <w:tc>
          <w:tcPr>
            <w:tcW w:w="5586" w:type="dxa"/>
          </w:tcPr>
          <w:p w:rsidR="003B3B17" w:rsidRPr="00B06331" w:rsidRDefault="003B3B17" w:rsidP="003B3B17">
            <w:pPr>
              <w:spacing w:line="240" w:lineRule="auto"/>
              <w:ind w:left="720" w:hanging="720"/>
              <w:contextualSpacing/>
              <w:cnfStyle w:val="000000000000"/>
              <w:rPr>
                <w:rFonts w:ascii="Avenir Book" w:hAnsi="Avenir Book"/>
              </w:rPr>
            </w:pPr>
            <w:r w:rsidRPr="00B06331">
              <w:rPr>
                <w:rFonts w:ascii="Avenir Book" w:hAnsi="Avenir Book"/>
              </w:rPr>
              <w:t>National Water and Electricity Company (NAWEC)</w:t>
            </w:r>
          </w:p>
        </w:tc>
      </w:tr>
      <w:tr w:rsidR="003B3B17" w:rsidRPr="00B06331" w:rsidTr="003B3B17">
        <w:trPr>
          <w:cnfStyle w:val="000000100000"/>
          <w:trHeight w:val="28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Gambia National Petroleum Company (GNPC)</w:t>
            </w:r>
          </w:p>
        </w:tc>
      </w:tr>
      <w:tr w:rsidR="003B3B17" w:rsidRPr="00B06331" w:rsidTr="003B3B17">
        <w:trPr>
          <w:trHeight w:val="260"/>
        </w:trPr>
        <w:tc>
          <w:tcPr>
            <w:cnfStyle w:val="001000000000"/>
            <w:tcW w:w="3802" w:type="dxa"/>
          </w:tcPr>
          <w:p w:rsidR="003B3B17" w:rsidRPr="00B06331" w:rsidRDefault="003B3B17" w:rsidP="003B3B17">
            <w:pPr>
              <w:spacing w:line="240" w:lineRule="auto"/>
              <w:ind w:left="-18" w:firstLine="18"/>
              <w:contextualSpacing/>
              <w:jc w:val="both"/>
              <w:rPr>
                <w:rFonts w:ascii="Avenir Book" w:hAnsi="Avenir Book"/>
              </w:rPr>
            </w:pPr>
            <w:r w:rsidRPr="00B06331">
              <w:rPr>
                <w:rFonts w:ascii="Avenir Book" w:hAnsi="Avenir Book"/>
              </w:rPr>
              <w:t>Services</w:t>
            </w:r>
          </w:p>
        </w:tc>
        <w:tc>
          <w:tcPr>
            <w:tcW w:w="5586" w:type="dxa"/>
          </w:tcPr>
          <w:p w:rsidR="003B3B17" w:rsidRPr="00B06331" w:rsidRDefault="003B3B17" w:rsidP="003B3B17">
            <w:pPr>
              <w:spacing w:line="240" w:lineRule="auto"/>
              <w:ind w:left="720" w:hanging="720"/>
              <w:contextualSpacing/>
              <w:cnfStyle w:val="000000000000"/>
              <w:rPr>
                <w:rFonts w:ascii="Avenir Book" w:hAnsi="Avenir Book"/>
              </w:rPr>
            </w:pPr>
            <w:r w:rsidRPr="00B06331">
              <w:rPr>
                <w:rFonts w:ascii="Avenir Book" w:hAnsi="Avenir Book"/>
              </w:rPr>
              <w:t>Assets Management and Recovery Corporation (AMRC)</w:t>
            </w:r>
          </w:p>
        </w:tc>
      </w:tr>
      <w:tr w:rsidR="003B3B17" w:rsidRPr="00B06331" w:rsidTr="003B3B17">
        <w:trPr>
          <w:cnfStyle w:val="000000100000"/>
          <w:trHeight w:val="280"/>
        </w:trPr>
        <w:tc>
          <w:tcPr>
            <w:cnfStyle w:val="001000000000"/>
            <w:tcW w:w="3802" w:type="dxa"/>
          </w:tcPr>
          <w:p w:rsidR="003B3B17" w:rsidRPr="00B06331" w:rsidRDefault="003B3B17" w:rsidP="003B3B17">
            <w:pPr>
              <w:spacing w:line="240" w:lineRule="auto"/>
              <w:ind w:left="-18" w:firstLine="18"/>
              <w:contextualSpacing/>
              <w:rPr>
                <w:rFonts w:ascii="Avenir Book" w:hAnsi="Avenir Book"/>
              </w:rPr>
            </w:pPr>
          </w:p>
        </w:tc>
        <w:tc>
          <w:tcPr>
            <w:tcW w:w="5586" w:type="dxa"/>
          </w:tcPr>
          <w:p w:rsidR="003B3B17" w:rsidRPr="00B06331" w:rsidRDefault="003B3B17" w:rsidP="003B3B17">
            <w:pPr>
              <w:spacing w:line="240" w:lineRule="auto"/>
              <w:ind w:left="720" w:hanging="720"/>
              <w:contextualSpacing/>
              <w:cnfStyle w:val="000000100000"/>
              <w:rPr>
                <w:rFonts w:ascii="Avenir Book" w:hAnsi="Avenir Book"/>
              </w:rPr>
            </w:pPr>
            <w:r w:rsidRPr="00B06331">
              <w:rPr>
                <w:rFonts w:ascii="Avenir Book" w:hAnsi="Avenir Book"/>
              </w:rPr>
              <w:t>Social Security and Housing Finance Corporation (SSHFC)</w:t>
            </w:r>
          </w:p>
        </w:tc>
      </w:tr>
    </w:tbl>
    <w:p w:rsidR="003B3B17" w:rsidRPr="00B06331" w:rsidRDefault="003B3B17" w:rsidP="003B3B17">
      <w:pPr>
        <w:tabs>
          <w:tab w:val="left" w:pos="720"/>
        </w:tabs>
        <w:spacing w:before="120" w:after="120" w:line="240" w:lineRule="auto"/>
        <w:jc w:val="both"/>
        <w:rPr>
          <w:rFonts w:ascii="Avenir Book" w:hAnsi="Avenir Book"/>
        </w:rPr>
      </w:pP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Gambian SOEs have become a major burden on the government budget and pose critical risks to fiscal and debt sustainability. Challenges include poor corporate governance and accounting practices of </w:t>
      </w:r>
      <w:r w:rsidRPr="00B06331">
        <w:rPr>
          <w:rFonts w:ascii="Avenir Book" w:hAnsi="Avenir Book"/>
        </w:rPr>
        <w:lastRenderedPageBreak/>
        <w:t xml:space="preserve">SOEs together with weak oversight. An extensive network of cross-debts between the central government and SOEs also weighs on tax collection and the viability of the SOE sector. Financial controls and procedures throughout the SOE sector have been particularly inadequate and have provided opportunities for the misuse of SOE funds and other assets, with growing evidence of massive embezzlement emerging from the previous regime. </w:t>
      </w:r>
    </w:p>
    <w:p w:rsidR="00FA4F2B" w:rsidRPr="00B06331" w:rsidRDefault="003B3B17" w:rsidP="00FA4F2B">
      <w:pPr>
        <w:tabs>
          <w:tab w:val="left" w:pos="720"/>
        </w:tabs>
        <w:spacing w:before="120" w:after="120"/>
        <w:jc w:val="both"/>
        <w:rPr>
          <w:rFonts w:ascii="Avenir Book" w:hAnsi="Avenir Book"/>
        </w:rPr>
      </w:pPr>
      <w:r w:rsidRPr="00B06331">
        <w:rPr>
          <w:rFonts w:ascii="Avenir Book" w:hAnsi="Avenir Book"/>
        </w:rPr>
        <w:t>Because of poor governance and gaps and conflicts relating to oversights, inter-PE relationships, mandates, and legal framework (</w:t>
      </w:r>
      <w:r w:rsidR="004A3787" w:rsidRPr="00B06331">
        <w:rPr>
          <w:rFonts w:ascii="Avenir Book" w:hAnsi="Avenir Book"/>
        </w:rPr>
        <w:t>the</w:t>
      </w:r>
      <w:r w:rsidRPr="00B06331">
        <w:rPr>
          <w:rFonts w:ascii="Avenir Book" w:hAnsi="Avenir Book"/>
        </w:rPr>
        <w:t xml:space="preserve"> Public Enterprise Act of 1990) the performance of the SOE sector has been poo</w:t>
      </w:r>
      <w:r w:rsidR="007C036F" w:rsidRPr="00B06331">
        <w:rPr>
          <w:rFonts w:ascii="Avenir Book" w:hAnsi="Avenir Book"/>
        </w:rPr>
        <w:t xml:space="preserve">r as indicated by </w:t>
      </w:r>
      <w:r w:rsidRPr="00B06331">
        <w:rPr>
          <w:rFonts w:ascii="Avenir Book" w:hAnsi="Avenir Book"/>
        </w:rPr>
        <w:t>the debts incurred by the S</w:t>
      </w:r>
      <w:r w:rsidR="007C036F" w:rsidRPr="00B06331">
        <w:rPr>
          <w:rFonts w:ascii="Avenir Book" w:hAnsi="Avenir Book"/>
        </w:rPr>
        <w:t>OEs - see</w:t>
      </w:r>
      <w:r w:rsidRPr="00B06331">
        <w:rPr>
          <w:rFonts w:ascii="Avenir Book" w:hAnsi="Avenir Book"/>
        </w:rPr>
        <w:t xml:space="preserve"> table </w:t>
      </w:r>
      <w:r w:rsidR="00FA4F2B" w:rsidRPr="00B06331">
        <w:rPr>
          <w:rFonts w:ascii="Avenir Book" w:hAnsi="Avenir Book"/>
        </w:rPr>
        <w:t>3.4 below.</w:t>
      </w:r>
    </w:p>
    <w:p w:rsidR="003B3B17" w:rsidRPr="00B06331" w:rsidRDefault="009C3E1D" w:rsidP="00FA4F2B">
      <w:pPr>
        <w:tabs>
          <w:tab w:val="left" w:pos="720"/>
        </w:tabs>
        <w:spacing w:before="120" w:after="120"/>
        <w:jc w:val="both"/>
        <w:rPr>
          <w:rFonts w:ascii="Avenir Book" w:hAnsi="Avenir Book"/>
          <w:b/>
        </w:rPr>
      </w:pPr>
      <w:r w:rsidRPr="00B06331">
        <w:rPr>
          <w:rFonts w:ascii="Avenir Book" w:hAnsi="Avenir Book"/>
          <w:b/>
        </w:rPr>
        <w:tab/>
        <w:t>Table 3.4</w:t>
      </w:r>
      <w:r w:rsidR="003B3B17" w:rsidRPr="00B06331">
        <w:rPr>
          <w:rFonts w:ascii="Avenir Book" w:hAnsi="Avenir Book"/>
          <w:b/>
        </w:rPr>
        <w:t>: External Debts Incurred on behalf of the SOEs</w:t>
      </w:r>
      <w:r w:rsidR="00355000" w:rsidRPr="00B06331">
        <w:rPr>
          <w:rFonts w:ascii="Avenir Book" w:hAnsi="Avenir Book"/>
          <w:b/>
        </w:rPr>
        <w:t xml:space="preserve"> as</w:t>
      </w:r>
      <w:r w:rsidR="003B3B17" w:rsidRPr="00B06331">
        <w:rPr>
          <w:rFonts w:ascii="Avenir Book" w:hAnsi="Avenir Book"/>
          <w:b/>
        </w:rPr>
        <w:t xml:space="preserve"> %GDP</w:t>
      </w:r>
    </w:p>
    <w:tbl>
      <w:tblPr>
        <w:tblStyle w:val="GridTable4-Accent12"/>
        <w:tblW w:w="8679" w:type="dxa"/>
        <w:tblLook w:val="04A0"/>
      </w:tblPr>
      <w:tblGrid>
        <w:gridCol w:w="4528"/>
        <w:gridCol w:w="885"/>
        <w:gridCol w:w="786"/>
        <w:gridCol w:w="688"/>
        <w:gridCol w:w="808"/>
        <w:gridCol w:w="984"/>
      </w:tblGrid>
      <w:tr w:rsidR="003B3B17" w:rsidRPr="00B06331" w:rsidTr="003B3B17">
        <w:trPr>
          <w:cnfStyle w:val="100000000000"/>
          <w:trHeight w:val="386"/>
        </w:trPr>
        <w:tc>
          <w:tcPr>
            <w:cnfStyle w:val="001000000000"/>
            <w:tcW w:w="4528" w:type="dxa"/>
          </w:tcPr>
          <w:p w:rsidR="003B3B17" w:rsidRPr="00B06331" w:rsidRDefault="003B3B17" w:rsidP="003B3B17">
            <w:pPr>
              <w:spacing w:line="240" w:lineRule="auto"/>
              <w:contextualSpacing/>
              <w:rPr>
                <w:rFonts w:ascii="Avenir Book" w:hAnsi="Avenir Book"/>
              </w:rPr>
            </w:pPr>
            <w:r w:rsidRPr="00B06331">
              <w:rPr>
                <w:rFonts w:ascii="Avenir Book" w:hAnsi="Avenir Book"/>
              </w:rPr>
              <w:t>SOE/Project</w:t>
            </w:r>
          </w:p>
        </w:tc>
        <w:tc>
          <w:tcPr>
            <w:tcW w:w="885" w:type="dxa"/>
          </w:tcPr>
          <w:p w:rsidR="003B3B17" w:rsidRPr="00B06331" w:rsidRDefault="003B3B17" w:rsidP="003B3B17">
            <w:pPr>
              <w:spacing w:line="240" w:lineRule="auto"/>
              <w:ind w:left="720" w:hanging="720"/>
              <w:contextualSpacing/>
              <w:jc w:val="center"/>
              <w:cnfStyle w:val="100000000000"/>
              <w:rPr>
                <w:rFonts w:ascii="Avenir Book" w:hAnsi="Avenir Book"/>
              </w:rPr>
            </w:pPr>
            <w:r w:rsidRPr="00B06331">
              <w:rPr>
                <w:rFonts w:ascii="Avenir Book" w:hAnsi="Avenir Book"/>
              </w:rPr>
              <w:t>2010</w:t>
            </w:r>
          </w:p>
        </w:tc>
        <w:tc>
          <w:tcPr>
            <w:tcW w:w="786" w:type="dxa"/>
          </w:tcPr>
          <w:p w:rsidR="003B3B17" w:rsidRPr="00B06331" w:rsidRDefault="003B3B17" w:rsidP="003B3B17">
            <w:pPr>
              <w:spacing w:line="240" w:lineRule="auto"/>
              <w:ind w:left="720" w:hanging="720"/>
              <w:contextualSpacing/>
              <w:jc w:val="center"/>
              <w:cnfStyle w:val="100000000000"/>
              <w:rPr>
                <w:rFonts w:ascii="Avenir Book" w:hAnsi="Avenir Book"/>
              </w:rPr>
            </w:pPr>
            <w:r w:rsidRPr="00B06331">
              <w:rPr>
                <w:rFonts w:ascii="Avenir Book" w:hAnsi="Avenir Book"/>
              </w:rPr>
              <w:t>2011</w:t>
            </w:r>
          </w:p>
        </w:tc>
        <w:tc>
          <w:tcPr>
            <w:tcW w:w="688" w:type="dxa"/>
          </w:tcPr>
          <w:p w:rsidR="003B3B17" w:rsidRPr="00B06331" w:rsidRDefault="003B3B17" w:rsidP="003B3B17">
            <w:pPr>
              <w:spacing w:line="240" w:lineRule="auto"/>
              <w:ind w:left="720" w:hanging="720"/>
              <w:contextualSpacing/>
              <w:jc w:val="center"/>
              <w:cnfStyle w:val="100000000000"/>
              <w:rPr>
                <w:rFonts w:ascii="Avenir Book" w:hAnsi="Avenir Book"/>
              </w:rPr>
            </w:pPr>
            <w:r w:rsidRPr="00B06331">
              <w:rPr>
                <w:rFonts w:ascii="Avenir Book" w:hAnsi="Avenir Book"/>
              </w:rPr>
              <w:t>2012</w:t>
            </w:r>
          </w:p>
        </w:tc>
        <w:tc>
          <w:tcPr>
            <w:tcW w:w="808" w:type="dxa"/>
          </w:tcPr>
          <w:p w:rsidR="003B3B17" w:rsidRPr="00B06331" w:rsidRDefault="003B3B17" w:rsidP="003B3B17">
            <w:pPr>
              <w:spacing w:line="240" w:lineRule="auto"/>
              <w:ind w:left="720" w:hanging="720"/>
              <w:contextualSpacing/>
              <w:jc w:val="center"/>
              <w:cnfStyle w:val="100000000000"/>
              <w:rPr>
                <w:rFonts w:ascii="Avenir Book" w:hAnsi="Avenir Book"/>
              </w:rPr>
            </w:pPr>
            <w:r w:rsidRPr="00B06331">
              <w:rPr>
                <w:rFonts w:ascii="Avenir Book" w:hAnsi="Avenir Book"/>
              </w:rPr>
              <w:t>2013</w:t>
            </w:r>
          </w:p>
        </w:tc>
        <w:tc>
          <w:tcPr>
            <w:tcW w:w="984" w:type="dxa"/>
          </w:tcPr>
          <w:p w:rsidR="003B3B17" w:rsidRPr="00B06331" w:rsidRDefault="003B3B17" w:rsidP="003B3B17">
            <w:pPr>
              <w:spacing w:line="240" w:lineRule="auto"/>
              <w:ind w:left="720" w:hanging="720"/>
              <w:contextualSpacing/>
              <w:jc w:val="center"/>
              <w:cnfStyle w:val="100000000000"/>
              <w:rPr>
                <w:rFonts w:ascii="Avenir Book" w:hAnsi="Avenir Book"/>
              </w:rPr>
            </w:pPr>
            <w:r w:rsidRPr="00B06331">
              <w:rPr>
                <w:rFonts w:ascii="Avenir Book" w:hAnsi="Avenir Book"/>
              </w:rPr>
              <w:t>2014</w:t>
            </w:r>
          </w:p>
        </w:tc>
      </w:tr>
      <w:tr w:rsidR="003B3B17" w:rsidRPr="00B06331" w:rsidTr="003B3B17">
        <w:trPr>
          <w:cnfStyle w:val="000000100000"/>
          <w:trHeight w:val="350"/>
        </w:trPr>
        <w:tc>
          <w:tcPr>
            <w:cnfStyle w:val="001000000000"/>
            <w:tcW w:w="4528" w:type="dxa"/>
          </w:tcPr>
          <w:p w:rsidR="003B3B17" w:rsidRPr="00B06331" w:rsidRDefault="003B3B17" w:rsidP="003B3B17">
            <w:pPr>
              <w:spacing w:line="240" w:lineRule="auto"/>
              <w:contextualSpacing/>
              <w:rPr>
                <w:rFonts w:ascii="Avenir Book" w:hAnsi="Avenir Book"/>
              </w:rPr>
            </w:pPr>
            <w:r w:rsidRPr="00B06331">
              <w:rPr>
                <w:rFonts w:ascii="Avenir Book" w:hAnsi="Avenir Book"/>
              </w:rPr>
              <w:t>Grand Total (% share of GDP)</w:t>
            </w:r>
          </w:p>
        </w:tc>
        <w:tc>
          <w:tcPr>
            <w:tcW w:w="885" w:type="dxa"/>
          </w:tcPr>
          <w:p w:rsidR="003B3B17" w:rsidRPr="00B06331" w:rsidRDefault="003B3B17" w:rsidP="003B3B17">
            <w:pPr>
              <w:spacing w:line="240" w:lineRule="auto"/>
              <w:ind w:left="720" w:hanging="720"/>
              <w:contextualSpacing/>
              <w:jc w:val="center"/>
              <w:cnfStyle w:val="000000100000"/>
              <w:rPr>
                <w:rFonts w:ascii="Avenir Book" w:hAnsi="Avenir Book"/>
              </w:rPr>
            </w:pPr>
            <w:r w:rsidRPr="00B06331">
              <w:rPr>
                <w:rFonts w:ascii="Avenir Book" w:hAnsi="Avenir Book"/>
              </w:rPr>
              <w:t>6.4</w:t>
            </w:r>
          </w:p>
        </w:tc>
        <w:tc>
          <w:tcPr>
            <w:tcW w:w="786" w:type="dxa"/>
          </w:tcPr>
          <w:p w:rsidR="003B3B17" w:rsidRPr="00B06331" w:rsidRDefault="003B3B17" w:rsidP="003B3B17">
            <w:pPr>
              <w:spacing w:line="240" w:lineRule="auto"/>
              <w:ind w:left="720" w:hanging="720"/>
              <w:contextualSpacing/>
              <w:jc w:val="center"/>
              <w:cnfStyle w:val="000000100000"/>
              <w:rPr>
                <w:rFonts w:ascii="Avenir Book" w:hAnsi="Avenir Book"/>
              </w:rPr>
            </w:pPr>
            <w:r w:rsidRPr="00B06331">
              <w:rPr>
                <w:rFonts w:ascii="Avenir Book" w:hAnsi="Avenir Book"/>
              </w:rPr>
              <w:t>8.7</w:t>
            </w:r>
          </w:p>
        </w:tc>
        <w:tc>
          <w:tcPr>
            <w:tcW w:w="688" w:type="dxa"/>
          </w:tcPr>
          <w:p w:rsidR="003B3B17" w:rsidRPr="00B06331" w:rsidRDefault="003B3B17" w:rsidP="003B3B17">
            <w:pPr>
              <w:spacing w:line="240" w:lineRule="auto"/>
              <w:ind w:left="720" w:hanging="720"/>
              <w:contextualSpacing/>
              <w:jc w:val="center"/>
              <w:cnfStyle w:val="000000100000"/>
              <w:rPr>
                <w:rFonts w:ascii="Avenir Book" w:hAnsi="Avenir Book"/>
              </w:rPr>
            </w:pPr>
            <w:r w:rsidRPr="00B06331">
              <w:rPr>
                <w:rFonts w:ascii="Avenir Book" w:hAnsi="Avenir Book"/>
              </w:rPr>
              <w:t>10.0</w:t>
            </w:r>
          </w:p>
        </w:tc>
        <w:tc>
          <w:tcPr>
            <w:tcW w:w="808" w:type="dxa"/>
          </w:tcPr>
          <w:p w:rsidR="003B3B17" w:rsidRPr="00B06331" w:rsidRDefault="003B3B17" w:rsidP="003B3B17">
            <w:pPr>
              <w:spacing w:line="240" w:lineRule="auto"/>
              <w:ind w:left="720" w:hanging="720"/>
              <w:contextualSpacing/>
              <w:jc w:val="center"/>
              <w:cnfStyle w:val="000000100000"/>
              <w:rPr>
                <w:rFonts w:ascii="Avenir Book" w:hAnsi="Avenir Book"/>
              </w:rPr>
            </w:pPr>
            <w:r w:rsidRPr="00B06331">
              <w:rPr>
                <w:rFonts w:ascii="Avenir Book" w:hAnsi="Avenir Book"/>
              </w:rPr>
              <w:t>11.5</w:t>
            </w:r>
          </w:p>
        </w:tc>
        <w:tc>
          <w:tcPr>
            <w:tcW w:w="984" w:type="dxa"/>
          </w:tcPr>
          <w:p w:rsidR="003B3B17" w:rsidRPr="00B06331" w:rsidRDefault="003B3B17" w:rsidP="003B3B17">
            <w:pPr>
              <w:spacing w:line="240" w:lineRule="auto"/>
              <w:ind w:left="720" w:hanging="720"/>
              <w:contextualSpacing/>
              <w:jc w:val="center"/>
              <w:cnfStyle w:val="000000100000"/>
              <w:rPr>
                <w:rFonts w:ascii="Avenir Book" w:hAnsi="Avenir Book"/>
              </w:rPr>
            </w:pPr>
            <w:r w:rsidRPr="00B06331">
              <w:rPr>
                <w:rFonts w:ascii="Avenir Book" w:hAnsi="Avenir Book"/>
              </w:rPr>
              <w:t>12.5</w:t>
            </w:r>
          </w:p>
        </w:tc>
      </w:tr>
    </w:tbl>
    <w:p w:rsidR="003B3B17" w:rsidRPr="00B06331" w:rsidRDefault="003B3B17" w:rsidP="003B3B17">
      <w:pPr>
        <w:tabs>
          <w:tab w:val="left" w:pos="0"/>
        </w:tabs>
        <w:spacing w:after="120" w:line="240" w:lineRule="auto"/>
        <w:ind w:left="720" w:hanging="720"/>
        <w:contextualSpacing/>
        <w:rPr>
          <w:rFonts w:ascii="Avenir Book" w:hAnsi="Avenir Book"/>
          <w:b/>
          <w:sz w:val="20"/>
        </w:rPr>
      </w:pPr>
      <w:r w:rsidRPr="00B06331">
        <w:rPr>
          <w:rFonts w:ascii="Avenir Book" w:hAnsi="Avenir Book"/>
          <w:b/>
          <w:sz w:val="20"/>
        </w:rPr>
        <w:tab/>
        <w:t>Source: MOFEA: Loans and Debt Department</w:t>
      </w:r>
    </w:p>
    <w:p w:rsidR="003B3B17" w:rsidRPr="00B06331" w:rsidRDefault="003B3B17" w:rsidP="003B3B17">
      <w:pPr>
        <w:tabs>
          <w:tab w:val="left" w:pos="720"/>
        </w:tabs>
        <w:spacing w:before="360" w:after="120"/>
        <w:jc w:val="both"/>
        <w:rPr>
          <w:rFonts w:ascii="Avenir Book" w:hAnsi="Avenir Book"/>
        </w:rPr>
      </w:pPr>
      <w:r w:rsidRPr="00B06331">
        <w:rPr>
          <w:rFonts w:ascii="Avenir Book" w:hAnsi="Avenir Book"/>
        </w:rPr>
        <w:t>The poor financial performance of the SOE sector is compounded by their inefficiencies and imposition of non-commercial public service obligations and below cost pricing formulas without any compensation from Government. At the national level, arrears</w:t>
      </w:r>
      <w:r w:rsidR="007C036F" w:rsidRPr="00B06331">
        <w:rPr>
          <w:rFonts w:ascii="Avenir Book" w:hAnsi="Avenir Book"/>
        </w:rPr>
        <w:t>,</w:t>
      </w:r>
      <w:r w:rsidRPr="00B06331">
        <w:rPr>
          <w:rFonts w:ascii="Avenir Book" w:hAnsi="Avenir Book"/>
        </w:rPr>
        <w:t xml:space="preserve"> and the absence of transparent budget allocations to cover non-commercial public service obligations obscures the priorities for public expenditure and investment. </w:t>
      </w:r>
    </w:p>
    <w:p w:rsidR="003B3B17" w:rsidRPr="00B06331" w:rsidRDefault="003B3B17" w:rsidP="00BC1302">
      <w:pPr>
        <w:jc w:val="both"/>
        <w:rPr>
          <w:rFonts w:ascii="Avenir Book" w:hAnsi="Avenir Book"/>
        </w:rPr>
      </w:pPr>
      <w:r w:rsidRPr="00B06331">
        <w:rPr>
          <w:rFonts w:ascii="Avenir Book" w:hAnsi="Avenir Book"/>
        </w:rPr>
        <w:t xml:space="preserve">As shown in </w:t>
      </w:r>
      <w:r w:rsidR="00427A58" w:rsidRPr="00B06331">
        <w:rPr>
          <w:rFonts w:ascii="Avenir Book" w:hAnsi="Avenir Book"/>
        </w:rPr>
        <w:t>Figure 3.7</w:t>
      </w:r>
      <w:r w:rsidRPr="00B06331">
        <w:rPr>
          <w:rFonts w:ascii="Avenir Book" w:hAnsi="Avenir Book"/>
        </w:rPr>
        <w:t>below, the consolidated performance of the SOE sector declined steadily over the four-year period from 2010-2013. While total sector income increased from GMD 3.8 b</w:t>
      </w:r>
      <w:r w:rsidR="00A95BFE" w:rsidRPr="00B06331">
        <w:rPr>
          <w:rFonts w:ascii="Avenir Book" w:hAnsi="Avenir Book"/>
        </w:rPr>
        <w:t>illio</w:t>
      </w:r>
      <w:r w:rsidRPr="00B06331">
        <w:rPr>
          <w:rFonts w:ascii="Avenir Book" w:hAnsi="Avenir Book"/>
        </w:rPr>
        <w:t>n in 2010 to GMD 6.4 b</w:t>
      </w:r>
      <w:r w:rsidR="00A95BFE" w:rsidRPr="00B06331">
        <w:rPr>
          <w:rFonts w:ascii="Avenir Book" w:hAnsi="Avenir Book"/>
        </w:rPr>
        <w:t>illio</w:t>
      </w:r>
      <w:r w:rsidRPr="00B06331">
        <w:rPr>
          <w:rFonts w:ascii="Avenir Book" w:hAnsi="Avenir Book"/>
        </w:rPr>
        <w:t xml:space="preserve">n in 2014, </w:t>
      </w:r>
      <w:r w:rsidR="007C036F" w:rsidRPr="00B06331">
        <w:rPr>
          <w:rFonts w:ascii="Avenir Book" w:hAnsi="Avenir Book"/>
        </w:rPr>
        <w:t>post-tax</w:t>
      </w:r>
      <w:r w:rsidRPr="00B06331">
        <w:rPr>
          <w:rFonts w:ascii="Avenir Book" w:hAnsi="Avenir Book"/>
        </w:rPr>
        <w:t xml:space="preserve"> losses over the same period increased from GMD 0.3 b</w:t>
      </w:r>
      <w:r w:rsidR="00A95BFE" w:rsidRPr="00B06331">
        <w:rPr>
          <w:rFonts w:ascii="Avenir Book" w:hAnsi="Avenir Book"/>
        </w:rPr>
        <w:t>illio</w:t>
      </w:r>
      <w:r w:rsidRPr="00B06331">
        <w:rPr>
          <w:rFonts w:ascii="Avenir Book" w:hAnsi="Avenir Book"/>
        </w:rPr>
        <w:t>n to GMD 1.7 b</w:t>
      </w:r>
      <w:r w:rsidR="00A95BFE" w:rsidRPr="00B06331">
        <w:rPr>
          <w:rFonts w:ascii="Avenir Book" w:hAnsi="Avenir Book"/>
        </w:rPr>
        <w:t>illio</w:t>
      </w:r>
      <w:r w:rsidRPr="00B06331">
        <w:rPr>
          <w:rFonts w:ascii="Avenir Book" w:hAnsi="Avenir Book"/>
        </w:rPr>
        <w:t xml:space="preserve">n, equivalent to 1 percent of GDP in 2010 and 5 percent of GDP in 2013.  </w:t>
      </w:r>
      <w:bookmarkStart w:id="52" w:name="_Toc433281261"/>
    </w:p>
    <w:p w:rsidR="003B3B17" w:rsidRPr="00B06331" w:rsidRDefault="003B3B17" w:rsidP="003B3B17">
      <w:pPr>
        <w:pStyle w:val="Caption"/>
        <w:jc w:val="center"/>
        <w:rPr>
          <w:rFonts w:ascii="Avenir Book" w:hAnsi="Avenir Book"/>
          <w:b/>
          <w:i w:val="0"/>
          <w:iCs w:val="0"/>
          <w:color w:val="auto"/>
          <w:sz w:val="22"/>
          <w:szCs w:val="22"/>
        </w:rPr>
      </w:pPr>
      <w:r w:rsidRPr="00B06331">
        <w:rPr>
          <w:rFonts w:ascii="Avenir Book" w:hAnsi="Avenir Book"/>
          <w:b/>
          <w:i w:val="0"/>
          <w:iCs w:val="0"/>
          <w:color w:val="auto"/>
          <w:sz w:val="22"/>
          <w:szCs w:val="22"/>
        </w:rPr>
        <w:t xml:space="preserve">Figure </w:t>
      </w:r>
      <w:r w:rsidR="009C3E1D" w:rsidRPr="00B06331">
        <w:rPr>
          <w:rFonts w:ascii="Avenir Book" w:hAnsi="Avenir Book"/>
          <w:b/>
          <w:i w:val="0"/>
          <w:iCs w:val="0"/>
          <w:color w:val="auto"/>
          <w:sz w:val="22"/>
          <w:szCs w:val="22"/>
        </w:rPr>
        <w:t>3.7</w:t>
      </w:r>
      <w:r w:rsidRPr="00B06331">
        <w:rPr>
          <w:rFonts w:ascii="Avenir Book" w:hAnsi="Avenir Book"/>
          <w:b/>
          <w:i w:val="0"/>
          <w:iCs w:val="0"/>
          <w:color w:val="auto"/>
          <w:sz w:val="22"/>
          <w:szCs w:val="22"/>
        </w:rPr>
        <w:t>: The Gambia:  Income and Losses of the SOE Sector, 2010-2013 (GMD m</w:t>
      </w:r>
      <w:r w:rsidR="00A95BFE" w:rsidRPr="00B06331">
        <w:rPr>
          <w:rFonts w:ascii="Avenir Book" w:hAnsi="Avenir Book"/>
          <w:b/>
          <w:i w:val="0"/>
          <w:iCs w:val="0"/>
          <w:color w:val="auto"/>
          <w:sz w:val="22"/>
          <w:szCs w:val="22"/>
        </w:rPr>
        <w:t>illio</w:t>
      </w:r>
      <w:r w:rsidRPr="00B06331">
        <w:rPr>
          <w:rFonts w:ascii="Avenir Book" w:hAnsi="Avenir Book"/>
          <w:b/>
          <w:i w:val="0"/>
          <w:iCs w:val="0"/>
          <w:color w:val="auto"/>
          <w:sz w:val="22"/>
          <w:szCs w:val="22"/>
        </w:rPr>
        <w:t>n)</w:t>
      </w:r>
      <w:bookmarkEnd w:id="52"/>
    </w:p>
    <w:p w:rsidR="003B3B17" w:rsidRPr="00B06331" w:rsidRDefault="003B3B17" w:rsidP="003B3B17">
      <w:pPr>
        <w:spacing w:line="240" w:lineRule="auto"/>
        <w:jc w:val="center"/>
        <w:rPr>
          <w:rFonts w:ascii="Avenir Book" w:hAnsi="Avenir Book"/>
        </w:rPr>
      </w:pPr>
      <w:r w:rsidRPr="00B06331">
        <w:rPr>
          <w:rFonts w:ascii="Avenir Book" w:hAnsi="Avenir Book"/>
          <w:noProof/>
        </w:rPr>
        <w:lastRenderedPageBreak/>
        <w:drawing>
          <wp:inline distT="0" distB="0" distL="0" distR="0">
            <wp:extent cx="4634230" cy="45815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3B17" w:rsidRPr="00B06331" w:rsidRDefault="003B3B17" w:rsidP="003B3B17">
      <w:pPr>
        <w:spacing w:line="240" w:lineRule="auto"/>
        <w:rPr>
          <w:rFonts w:ascii="Avenir Book" w:hAnsi="Avenir Book"/>
        </w:rPr>
      </w:pPr>
      <w:r w:rsidRPr="00B06331">
        <w:rPr>
          <w:rFonts w:ascii="Avenir Book" w:hAnsi="Avenir Book"/>
        </w:rPr>
        <w:tab/>
      </w:r>
      <w:r w:rsidRPr="00B06331">
        <w:rPr>
          <w:rFonts w:ascii="Avenir Book" w:hAnsi="Avenir Book"/>
          <w:sz w:val="18"/>
        </w:rPr>
        <w:t>Source:  SOE audited financial statements</w:t>
      </w:r>
    </w:p>
    <w:p w:rsidR="00581D02" w:rsidRPr="00B06331" w:rsidRDefault="003B3B17" w:rsidP="00581D02">
      <w:pPr>
        <w:jc w:val="both"/>
        <w:rPr>
          <w:rFonts w:ascii="Avenir Book" w:hAnsi="Avenir Book"/>
        </w:rPr>
      </w:pPr>
      <w:r w:rsidRPr="00B06331">
        <w:rPr>
          <w:rFonts w:ascii="Avenir Book" w:hAnsi="Avenir Book"/>
        </w:rPr>
        <w:t>As indicated on Figure 3.</w:t>
      </w:r>
      <w:r w:rsidR="00427A58" w:rsidRPr="00B06331">
        <w:rPr>
          <w:rFonts w:ascii="Avenir Book" w:hAnsi="Avenir Book"/>
        </w:rPr>
        <w:t>8</w:t>
      </w:r>
      <w:r w:rsidRPr="00B06331">
        <w:rPr>
          <w:rFonts w:ascii="Avenir Book" w:hAnsi="Avenir Book"/>
        </w:rPr>
        <w:t xml:space="preserve">, seven SOEs were unprofitable in 2013, with NAWEC registering the largest deficit at GMD 1,377 mn in 2013. Others in the same situation were GAMCEL (GMD 244mn), GAMTEL (GMD 132mn), GCAA (GMD 99mn), GGC (GMD 41mn), GRTS (GMD </w:t>
      </w:r>
      <w:bookmarkStart w:id="53" w:name="_Toc433281262"/>
      <w:r w:rsidRPr="00B06331">
        <w:rPr>
          <w:rFonts w:ascii="Avenir Book" w:hAnsi="Avenir Book"/>
        </w:rPr>
        <w:t>13 m</w:t>
      </w:r>
      <w:r w:rsidR="00A95BFE" w:rsidRPr="00B06331">
        <w:rPr>
          <w:rFonts w:ascii="Avenir Book" w:hAnsi="Avenir Book"/>
        </w:rPr>
        <w:t>illio</w:t>
      </w:r>
      <w:r w:rsidRPr="00B06331">
        <w:rPr>
          <w:rFonts w:ascii="Avenir Book" w:hAnsi="Avenir Book"/>
        </w:rPr>
        <w:t>n) and AMRC (GMD 0.2 m</w:t>
      </w:r>
      <w:r w:rsidR="00A95BFE" w:rsidRPr="00B06331">
        <w:rPr>
          <w:rFonts w:ascii="Avenir Book" w:hAnsi="Avenir Book"/>
        </w:rPr>
        <w:t>illio</w:t>
      </w:r>
      <w:r w:rsidRPr="00B06331">
        <w:rPr>
          <w:rFonts w:ascii="Avenir Book" w:hAnsi="Avenir Book"/>
        </w:rPr>
        <w:t xml:space="preserve">n).  </w:t>
      </w:r>
    </w:p>
    <w:p w:rsidR="003B3B17" w:rsidRPr="00B06331" w:rsidRDefault="003B3B17" w:rsidP="003B3B17">
      <w:pPr>
        <w:pStyle w:val="Caption"/>
        <w:jc w:val="center"/>
        <w:rPr>
          <w:rFonts w:ascii="Avenir Book" w:hAnsi="Avenir Book"/>
          <w:b/>
          <w:i w:val="0"/>
          <w:iCs w:val="0"/>
          <w:color w:val="auto"/>
          <w:sz w:val="22"/>
          <w:szCs w:val="22"/>
        </w:rPr>
      </w:pPr>
      <w:r w:rsidRPr="00B06331">
        <w:rPr>
          <w:rFonts w:ascii="Avenir Book" w:hAnsi="Avenir Book"/>
          <w:b/>
          <w:i w:val="0"/>
          <w:iCs w:val="0"/>
          <w:color w:val="auto"/>
          <w:sz w:val="22"/>
          <w:szCs w:val="22"/>
        </w:rPr>
        <w:t xml:space="preserve">Figure </w:t>
      </w:r>
      <w:r w:rsidR="009C3E1D" w:rsidRPr="00B06331">
        <w:rPr>
          <w:rFonts w:ascii="Avenir Book" w:hAnsi="Avenir Book"/>
          <w:b/>
          <w:i w:val="0"/>
          <w:iCs w:val="0"/>
          <w:color w:val="auto"/>
          <w:sz w:val="22"/>
          <w:szCs w:val="22"/>
        </w:rPr>
        <w:t>3.8</w:t>
      </w:r>
      <w:r w:rsidRPr="00B06331">
        <w:rPr>
          <w:rFonts w:ascii="Avenir Book" w:hAnsi="Avenir Book"/>
          <w:b/>
          <w:i w:val="0"/>
          <w:iCs w:val="0"/>
          <w:color w:val="auto"/>
          <w:sz w:val="22"/>
          <w:szCs w:val="22"/>
        </w:rPr>
        <w:t>: The Gambia:  SOEs registering Losses in 2013</w:t>
      </w:r>
      <w:bookmarkEnd w:id="53"/>
    </w:p>
    <w:p w:rsidR="003B3B17" w:rsidRPr="00B06331" w:rsidRDefault="003B3B17" w:rsidP="003B3B17">
      <w:pPr>
        <w:spacing w:line="240" w:lineRule="auto"/>
        <w:jc w:val="center"/>
        <w:rPr>
          <w:rFonts w:ascii="Avenir Book" w:hAnsi="Avenir Book"/>
        </w:rPr>
      </w:pPr>
      <w:r w:rsidRPr="00B06331">
        <w:rPr>
          <w:rFonts w:ascii="Avenir Book" w:hAnsi="Avenir Book"/>
          <w:noProof/>
        </w:rPr>
        <w:lastRenderedPageBreak/>
        <w:drawing>
          <wp:inline distT="0" distB="0" distL="0" distR="0">
            <wp:extent cx="4538980" cy="2847975"/>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B17" w:rsidRPr="00B06331" w:rsidRDefault="003B3B17" w:rsidP="003B3B17">
      <w:pPr>
        <w:jc w:val="both"/>
        <w:rPr>
          <w:rFonts w:ascii="Avenir Book" w:hAnsi="Avenir Book"/>
        </w:rPr>
      </w:pPr>
      <w:r w:rsidRPr="00B06331">
        <w:rPr>
          <w:rFonts w:ascii="Avenir Book" w:hAnsi="Avenir Book"/>
        </w:rPr>
        <w:t>During the same period</w:t>
      </w:r>
      <w:r w:rsidR="007C036F" w:rsidRPr="00B06331">
        <w:rPr>
          <w:rFonts w:ascii="Avenir Book" w:hAnsi="Avenir Book"/>
        </w:rPr>
        <w:t>,</w:t>
      </w:r>
      <w:r w:rsidRPr="00B06331">
        <w:rPr>
          <w:rFonts w:ascii="Avenir Book" w:hAnsi="Avenir Book"/>
        </w:rPr>
        <w:t xml:space="preserve"> the sect</w:t>
      </w:r>
      <w:r w:rsidR="007C036F" w:rsidRPr="00B06331">
        <w:rPr>
          <w:rFonts w:ascii="Avenir Book" w:hAnsi="Avenir Book"/>
        </w:rPr>
        <w:t>or’s net worth</w:t>
      </w:r>
      <w:r w:rsidRPr="00B06331">
        <w:rPr>
          <w:rFonts w:ascii="Avenir Book" w:hAnsi="Avenir Book"/>
        </w:rPr>
        <w:t xml:space="preserve"> fell from GMD 7.9 b</w:t>
      </w:r>
      <w:r w:rsidR="00A95BFE" w:rsidRPr="00B06331">
        <w:rPr>
          <w:rFonts w:ascii="Avenir Book" w:hAnsi="Avenir Book"/>
        </w:rPr>
        <w:t>illio</w:t>
      </w:r>
      <w:r w:rsidRPr="00B06331">
        <w:rPr>
          <w:rFonts w:ascii="Avenir Book" w:hAnsi="Avenir Book"/>
        </w:rPr>
        <w:t>n in 2010 to GMD 5.5 b</w:t>
      </w:r>
      <w:r w:rsidR="00A95BFE" w:rsidRPr="00B06331">
        <w:rPr>
          <w:rFonts w:ascii="Avenir Book" w:hAnsi="Avenir Book"/>
        </w:rPr>
        <w:t>illio</w:t>
      </w:r>
      <w:r w:rsidRPr="00B06331">
        <w:rPr>
          <w:rFonts w:ascii="Avenir Book" w:hAnsi="Avenir Book"/>
        </w:rPr>
        <w:t xml:space="preserve">n in 2013. This primarily reflected the large build-up in SOE liabilities in recent years, which expanded by an average of 21 percent per year from 2011 through 2013. Total assets posted strong gains, expanding by an average of 8.6 percent during the same period, however, the pace of expansion substantially lagged behind that of liabilities as highlighted </w:t>
      </w:r>
      <w:r w:rsidR="00427A58" w:rsidRPr="00B06331">
        <w:rPr>
          <w:rFonts w:ascii="Avenir Book" w:hAnsi="Avenir Book"/>
        </w:rPr>
        <w:t>by Figure 3.9</w:t>
      </w:r>
      <w:r w:rsidRPr="00B06331">
        <w:rPr>
          <w:rFonts w:ascii="Avenir Book" w:hAnsi="Avenir Book"/>
        </w:rPr>
        <w:t>, below</w:t>
      </w:r>
      <w:bookmarkStart w:id="54" w:name="_Toc433281263"/>
      <w:r w:rsidRPr="00B06331">
        <w:rPr>
          <w:rFonts w:ascii="Avenir Book" w:hAnsi="Avenir Book"/>
        </w:rPr>
        <w:t xml:space="preserve">.  </w:t>
      </w:r>
    </w:p>
    <w:p w:rsidR="003B3B17" w:rsidRPr="00B06331" w:rsidRDefault="003B3B17" w:rsidP="003B3B17">
      <w:pPr>
        <w:pStyle w:val="Caption"/>
        <w:jc w:val="center"/>
        <w:rPr>
          <w:rFonts w:ascii="Avenir Book" w:hAnsi="Avenir Book"/>
          <w:i w:val="0"/>
          <w:iCs w:val="0"/>
          <w:color w:val="auto"/>
          <w:sz w:val="22"/>
          <w:szCs w:val="22"/>
        </w:rPr>
      </w:pPr>
      <w:r w:rsidRPr="00B06331">
        <w:rPr>
          <w:rFonts w:ascii="Avenir Book" w:hAnsi="Avenir Book"/>
          <w:b/>
          <w:i w:val="0"/>
          <w:iCs w:val="0"/>
          <w:color w:val="auto"/>
          <w:sz w:val="22"/>
          <w:szCs w:val="22"/>
        </w:rPr>
        <w:t>Figure 3</w:t>
      </w:r>
      <w:r w:rsidR="00427A58" w:rsidRPr="00B06331">
        <w:rPr>
          <w:rFonts w:ascii="Avenir Book" w:hAnsi="Avenir Book"/>
          <w:b/>
          <w:i w:val="0"/>
          <w:iCs w:val="0"/>
          <w:color w:val="auto"/>
          <w:sz w:val="22"/>
          <w:szCs w:val="22"/>
        </w:rPr>
        <w:t>.9</w:t>
      </w:r>
      <w:r w:rsidRPr="00B06331">
        <w:rPr>
          <w:rFonts w:ascii="Avenir Book" w:hAnsi="Avenir Book"/>
          <w:b/>
          <w:i w:val="0"/>
          <w:iCs w:val="0"/>
          <w:color w:val="auto"/>
          <w:sz w:val="22"/>
          <w:szCs w:val="22"/>
        </w:rPr>
        <w:t>: Total Assets and Liabilities of the SOE Sector, 2010-2013 (GMD)</w:t>
      </w:r>
      <w:bookmarkEnd w:id="54"/>
      <w:r w:rsidRPr="00B06331">
        <w:rPr>
          <w:rFonts w:ascii="Avenir Book" w:hAnsi="Avenir Book"/>
          <w:i w:val="0"/>
          <w:noProof/>
          <w:color w:val="auto"/>
          <w:sz w:val="22"/>
          <w:szCs w:val="22"/>
        </w:rPr>
        <w:drawing>
          <wp:inline distT="0" distB="0" distL="0" distR="0">
            <wp:extent cx="5229225" cy="2338705"/>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3B17" w:rsidRPr="00B06331" w:rsidRDefault="003B3B17" w:rsidP="003B3B17">
      <w:pPr>
        <w:spacing w:line="240" w:lineRule="auto"/>
        <w:ind w:firstLine="720"/>
        <w:rPr>
          <w:rFonts w:ascii="Avenir Book" w:hAnsi="Avenir Book"/>
          <w:b/>
          <w:sz w:val="20"/>
        </w:rPr>
      </w:pPr>
      <w:r w:rsidRPr="00B06331">
        <w:rPr>
          <w:rFonts w:ascii="Avenir Book" w:hAnsi="Avenir Book"/>
          <w:b/>
          <w:sz w:val="20"/>
        </w:rPr>
        <w:t>Source: SOE audited financial statements</w:t>
      </w:r>
    </w:p>
    <w:p w:rsidR="003B3B17" w:rsidRPr="00B06331" w:rsidRDefault="003B3B17" w:rsidP="003B3B17">
      <w:pPr>
        <w:jc w:val="both"/>
        <w:rPr>
          <w:rFonts w:ascii="Avenir Book" w:hAnsi="Avenir Book"/>
        </w:rPr>
      </w:pPr>
      <w:r w:rsidRPr="00B06331">
        <w:rPr>
          <w:rFonts w:ascii="Avenir Book" w:hAnsi="Avenir Book"/>
        </w:rPr>
        <w:t xml:space="preserve">In </w:t>
      </w:r>
      <w:r w:rsidR="00A95BFE" w:rsidRPr="00B06331">
        <w:rPr>
          <w:rFonts w:ascii="Avenir Book" w:hAnsi="Avenir Book"/>
        </w:rPr>
        <w:t>2009,</w:t>
      </w:r>
      <w:r w:rsidRPr="00B06331">
        <w:rPr>
          <w:rFonts w:ascii="Avenir Book" w:hAnsi="Avenir Book"/>
        </w:rPr>
        <w:t xml:space="preserve"> oversight of SOEs shifted from the Gambia Divestiture Agency to the Ministry of Finance and Economic Affairs (MOFEA). The lapse in oversight arrangements continued to undermine measures aimed at monitoring SOE performance, to anticipate needed corrective action, and to identify and manage fiscal risks. Over the last two years, MOFEA had intervened (some of which were loans) to cover losses incurred by NAWEC, GAMTEL/GAMCEL and GGC and by guaranteeing their other debts.</w:t>
      </w:r>
    </w:p>
    <w:p w:rsidR="003B3B17" w:rsidRPr="00B06331" w:rsidRDefault="003B3B17" w:rsidP="003B3B17">
      <w:pPr>
        <w:pStyle w:val="ATRbodytext"/>
        <w:spacing w:before="0" w:after="0" w:line="276" w:lineRule="auto"/>
        <w:rPr>
          <w:rFonts w:ascii="Avenir Book" w:hAnsi="Avenir Book"/>
        </w:rPr>
      </w:pPr>
      <w:r w:rsidRPr="00B06331">
        <w:rPr>
          <w:rFonts w:ascii="Avenir Book" w:hAnsi="Avenir Book"/>
        </w:rPr>
        <w:lastRenderedPageBreak/>
        <w:t xml:space="preserve">Current efforts are focused on limiting contingent liabilities and promoting enhanced transparency and the financial viability of SOEs. Efforts have also been undertaken to proceed with </w:t>
      </w:r>
      <w:r w:rsidR="007C036F" w:rsidRPr="00B06331">
        <w:rPr>
          <w:rFonts w:ascii="Avenir Book" w:hAnsi="Avenir Book"/>
        </w:rPr>
        <w:t>broader SOE reform</w:t>
      </w:r>
      <w:r w:rsidRPr="00B06331">
        <w:rPr>
          <w:rFonts w:ascii="Avenir Book" w:hAnsi="Avenir Book"/>
        </w:rPr>
        <w:t xml:space="preserve">. In April 2016, the Cabinet approved a comprehensive SOE reform program. The proposals in the action plan remain pertinent and continue to be supported by the new Government. They provide the basis for a sustained SOE reform program that goes beyond the immediate measures envisaged for fiscal consolidation. </w:t>
      </w:r>
    </w:p>
    <w:p w:rsidR="003B3B17" w:rsidRPr="00B06331" w:rsidRDefault="003B3B17" w:rsidP="003B3B17">
      <w:pPr>
        <w:pStyle w:val="ATRbodytext"/>
        <w:spacing w:before="0" w:after="0" w:line="276" w:lineRule="auto"/>
        <w:rPr>
          <w:rFonts w:ascii="Avenir Book" w:hAnsi="Avenir Book"/>
        </w:rPr>
      </w:pPr>
    </w:p>
    <w:p w:rsidR="003B3B17" w:rsidRPr="00B06331" w:rsidRDefault="003B3B17" w:rsidP="003B3B17">
      <w:pPr>
        <w:pStyle w:val="ATRbodytext"/>
        <w:spacing w:before="0" w:after="0" w:line="276" w:lineRule="auto"/>
        <w:rPr>
          <w:rFonts w:ascii="Avenir Book" w:hAnsi="Avenir Book"/>
        </w:rPr>
      </w:pPr>
      <w:r w:rsidRPr="00B06331">
        <w:rPr>
          <w:rFonts w:ascii="Avenir Book" w:hAnsi="Avenir Book"/>
        </w:rPr>
        <w:t>SOE reform priorities over t</w:t>
      </w:r>
      <w:r w:rsidR="007C036F" w:rsidRPr="00B06331">
        <w:rPr>
          <w:rFonts w:ascii="Avenir Book" w:hAnsi="Avenir Book"/>
        </w:rPr>
        <w:t xml:space="preserve">he medium term include: (i) </w:t>
      </w:r>
      <w:r w:rsidRPr="00B06331">
        <w:rPr>
          <w:rFonts w:ascii="Avenir Book" w:hAnsi="Avenir Book"/>
        </w:rPr>
        <w:t>revision and implantation of a revised legal and reg</w:t>
      </w:r>
      <w:r w:rsidR="007C036F" w:rsidRPr="00B06331">
        <w:rPr>
          <w:rFonts w:ascii="Avenir Book" w:hAnsi="Avenir Book"/>
        </w:rPr>
        <w:t xml:space="preserve">ulatory SOE framework; (ii) </w:t>
      </w:r>
      <w:r w:rsidRPr="00B06331">
        <w:rPr>
          <w:rFonts w:ascii="Avenir Book" w:hAnsi="Avenir Book"/>
        </w:rPr>
        <w:t xml:space="preserve">transition to a fully centralized ownership structure </w:t>
      </w:r>
      <w:r w:rsidR="007C036F" w:rsidRPr="00B06331">
        <w:rPr>
          <w:rFonts w:ascii="Avenir Book" w:hAnsi="Avenir Book"/>
        </w:rPr>
        <w:t xml:space="preserve">where deemed appropriate; (iii) </w:t>
      </w:r>
      <w:r w:rsidRPr="00B06331">
        <w:rPr>
          <w:rFonts w:ascii="Avenir Book" w:hAnsi="Avenir Book"/>
        </w:rPr>
        <w:t>full implementation of enterprise level restructuring and performance plans, complete divestiture and/or PPP arrangements and the separation of SOE regulatory and commercial functions wh</w:t>
      </w:r>
      <w:r w:rsidR="007C036F" w:rsidRPr="00B06331">
        <w:rPr>
          <w:rFonts w:ascii="Avenir Book" w:hAnsi="Avenir Book"/>
        </w:rPr>
        <w:t xml:space="preserve">ere appropriate; and (iv) </w:t>
      </w:r>
      <w:r w:rsidRPr="00B06331">
        <w:rPr>
          <w:rFonts w:ascii="Avenir Book" w:hAnsi="Avenir Book"/>
        </w:rPr>
        <w:t>creation of an institute of Directors to strengthen SOE managerial capacity.</w:t>
      </w:r>
    </w:p>
    <w:p w:rsidR="003B3B17" w:rsidRPr="00B06331" w:rsidRDefault="003B3B17" w:rsidP="003B3B17">
      <w:pPr>
        <w:pStyle w:val="ATRbodytext"/>
        <w:spacing w:before="0" w:after="0" w:line="276" w:lineRule="auto"/>
        <w:rPr>
          <w:rFonts w:ascii="Avenir Book" w:hAnsi="Avenir Book"/>
        </w:rPr>
      </w:pPr>
    </w:p>
    <w:p w:rsidR="00FB7889" w:rsidRPr="00B06331" w:rsidRDefault="00FB7889" w:rsidP="00FB7889">
      <w:pPr>
        <w:pStyle w:val="Heading3"/>
        <w:rPr>
          <w:rFonts w:asciiTheme="minorHAnsi" w:hAnsiTheme="minorHAnsi" w:cstheme="minorHAnsi"/>
          <w:b/>
          <w:sz w:val="22"/>
          <w:szCs w:val="22"/>
        </w:rPr>
      </w:pPr>
      <w:bookmarkStart w:id="55" w:name="_Toc492364737"/>
      <w:r w:rsidRPr="00B06331">
        <w:rPr>
          <w:rFonts w:asciiTheme="minorHAnsi" w:hAnsiTheme="minorHAnsi" w:cstheme="minorHAnsi"/>
          <w:b/>
          <w:sz w:val="22"/>
          <w:szCs w:val="22"/>
        </w:rPr>
        <w:t>3.2.4 Public Finance Management (PFM) Reform</w:t>
      </w:r>
      <w:bookmarkEnd w:id="55"/>
    </w:p>
    <w:p w:rsidR="00FB7889" w:rsidRPr="00B06331" w:rsidRDefault="00FB7889" w:rsidP="00FB7889">
      <w:pPr>
        <w:pStyle w:val="ListParagraph"/>
        <w:spacing w:after="0"/>
        <w:ind w:left="0"/>
        <w:jc w:val="both"/>
        <w:rPr>
          <w:rFonts w:ascii="Avenir Book" w:hAnsi="Avenir Book"/>
          <w:szCs w:val="24"/>
        </w:rPr>
      </w:pPr>
    </w:p>
    <w:p w:rsidR="00FB7889" w:rsidRPr="00B06331" w:rsidRDefault="00FB7889" w:rsidP="00FB7889">
      <w:pPr>
        <w:pStyle w:val="ListParagraph"/>
        <w:spacing w:after="0"/>
        <w:ind w:left="0"/>
        <w:jc w:val="both"/>
        <w:rPr>
          <w:rFonts w:ascii="Avenir Book" w:hAnsi="Avenir Book"/>
          <w:szCs w:val="24"/>
        </w:rPr>
      </w:pPr>
      <w:r w:rsidRPr="00B06331">
        <w:rPr>
          <w:rFonts w:ascii="Avenir Book" w:hAnsi="Avenir Book"/>
          <w:szCs w:val="24"/>
        </w:rPr>
        <w:t xml:space="preserve">The Gambia’s ongoing PFM Reform has contributed to economic growth from 5.1% in 2010 to 6.2% in 2013 (CCA 2015), validating the positive correlation between PFM and transparency, accountability, and economic growth. Presently the reform features components dealing with accountability and transparency in procurement, auditing, and budget credibility. Its strategic focus will also strengthen planning processes; fiscal discipline; domestic resource mobilization, partnerships, and aid coordination; as well as strengthen the institutions involved with reforms. </w:t>
      </w:r>
    </w:p>
    <w:p w:rsidR="00FB7889" w:rsidRPr="00B06331" w:rsidRDefault="00FB7889" w:rsidP="00FB7889">
      <w:pPr>
        <w:pStyle w:val="ListParagraph"/>
        <w:spacing w:after="0"/>
        <w:ind w:left="0"/>
        <w:jc w:val="both"/>
        <w:rPr>
          <w:rFonts w:ascii="Avenir Book" w:hAnsi="Avenir Book"/>
          <w:szCs w:val="24"/>
        </w:rPr>
      </w:pPr>
    </w:p>
    <w:p w:rsidR="00FB7889" w:rsidRPr="00B06331" w:rsidRDefault="00FB7889" w:rsidP="00FB7889">
      <w:pPr>
        <w:pStyle w:val="ListParagraph"/>
        <w:spacing w:after="0"/>
        <w:ind w:left="0"/>
        <w:jc w:val="both"/>
        <w:rPr>
          <w:rFonts w:ascii="Avenir Book" w:hAnsi="Avenir Book"/>
          <w:szCs w:val="24"/>
        </w:rPr>
      </w:pPr>
      <w:r w:rsidRPr="00B06331">
        <w:rPr>
          <w:rFonts w:ascii="Avenir Book" w:hAnsi="Avenir Book"/>
          <w:szCs w:val="24"/>
        </w:rPr>
        <w:t xml:space="preserve">A Public Expenditure and Financial Accountability (PEFA) Assessment conducted in 2014 established that overall, The Gambia’s PFM systems improved significantly by over 80%, whereby most indicators registered an improvement compared to the previous PEFA conducted in FY2009. </w:t>
      </w:r>
    </w:p>
    <w:p w:rsidR="00FB7889" w:rsidRPr="00B06331" w:rsidRDefault="00FB7889" w:rsidP="00FB7889">
      <w:pPr>
        <w:pStyle w:val="ListParagraph"/>
        <w:spacing w:after="0"/>
        <w:ind w:left="0"/>
        <w:jc w:val="both"/>
        <w:rPr>
          <w:rFonts w:ascii="Avenir Book" w:hAnsi="Avenir Book"/>
          <w:szCs w:val="24"/>
        </w:rPr>
      </w:pPr>
    </w:p>
    <w:p w:rsidR="003B3B17" w:rsidRPr="00B06331" w:rsidRDefault="00FB7889" w:rsidP="00FB7889">
      <w:pPr>
        <w:pStyle w:val="ListParagraph"/>
        <w:spacing w:after="0"/>
        <w:ind w:left="0"/>
        <w:jc w:val="both"/>
        <w:rPr>
          <w:rFonts w:ascii="Avenir Book" w:hAnsi="Avenir Book"/>
          <w:szCs w:val="24"/>
        </w:rPr>
      </w:pPr>
      <w:r w:rsidRPr="00B06331">
        <w:rPr>
          <w:rFonts w:ascii="Avenir Book" w:hAnsi="Avenir Book"/>
          <w:szCs w:val="24"/>
        </w:rPr>
        <w:t xml:space="preserve">However, there is significant room for improvements particularly focused on </w:t>
      </w:r>
      <w:r w:rsidR="00A95BFE" w:rsidRPr="00B06331">
        <w:rPr>
          <w:rFonts w:ascii="Avenir Book" w:hAnsi="Avenir Book"/>
          <w:szCs w:val="24"/>
        </w:rPr>
        <w:t>policy-planning-budget linkages,</w:t>
      </w:r>
      <w:r w:rsidRPr="00B06331">
        <w:rPr>
          <w:rFonts w:ascii="Avenir Book" w:hAnsi="Avenir Book"/>
          <w:szCs w:val="24"/>
        </w:rPr>
        <w:t xml:space="preserve"> institutional capacity to execute reforms, external aid dependency, partnership management and the high variations between actual and budgeted expenditures which experienced 15-31% variations over the past four years. </w:t>
      </w:r>
    </w:p>
    <w:p w:rsidR="00FB7889" w:rsidRPr="00B06331" w:rsidRDefault="00FB7889" w:rsidP="00FB7889">
      <w:pPr>
        <w:pStyle w:val="ListParagraph"/>
        <w:spacing w:after="0"/>
        <w:ind w:left="0"/>
        <w:jc w:val="both"/>
        <w:rPr>
          <w:rFonts w:ascii="Avenir Book" w:hAnsi="Avenir Book"/>
          <w:szCs w:val="24"/>
        </w:rPr>
      </w:pPr>
    </w:p>
    <w:p w:rsidR="00FB7889" w:rsidRPr="00B06331" w:rsidRDefault="00FB7889" w:rsidP="00FB7889">
      <w:pPr>
        <w:pStyle w:val="ListParagraph"/>
        <w:spacing w:after="0"/>
        <w:ind w:left="0"/>
        <w:jc w:val="both"/>
        <w:rPr>
          <w:rFonts w:ascii="Avenir Book" w:hAnsi="Avenir Book"/>
          <w:szCs w:val="24"/>
        </w:rPr>
      </w:pPr>
    </w:p>
    <w:p w:rsidR="00FB7889" w:rsidRPr="00B06331" w:rsidRDefault="00FB7889" w:rsidP="00FB7889">
      <w:pPr>
        <w:pStyle w:val="ListParagraph"/>
        <w:spacing w:after="0"/>
        <w:ind w:left="0"/>
        <w:jc w:val="both"/>
        <w:rPr>
          <w:rFonts w:ascii="Avenir Book" w:hAnsi="Avenir Book"/>
          <w:szCs w:val="24"/>
        </w:rPr>
      </w:pPr>
    </w:p>
    <w:tbl>
      <w:tblPr>
        <w:tblW w:w="9360" w:type="dxa"/>
        <w:tblLook w:val="04A0"/>
      </w:tblPr>
      <w:tblGrid>
        <w:gridCol w:w="9360"/>
      </w:tblGrid>
      <w:tr w:rsidR="00BC1302" w:rsidRPr="00B06331" w:rsidTr="003B3B17">
        <w:trPr>
          <w:trHeight w:val="360"/>
        </w:trPr>
        <w:tc>
          <w:tcPr>
            <w:tcW w:w="9360" w:type="dxa"/>
            <w:tcBorders>
              <w:left w:val="nil"/>
              <w:right w:val="nil"/>
            </w:tcBorders>
            <w:shd w:val="clear" w:color="000000" w:fill="FFFFFF"/>
            <w:noWrap/>
            <w:vAlign w:val="center"/>
            <w:hideMark/>
          </w:tcPr>
          <w:p w:rsidR="00BC1302" w:rsidRPr="00B06331" w:rsidRDefault="00BC1302" w:rsidP="007C036F">
            <w:pPr>
              <w:spacing w:after="160" w:line="259" w:lineRule="auto"/>
              <w:rPr>
                <w:rFonts w:ascii="Times New Roman" w:eastAsia="Times New Roman" w:hAnsi="Times New Roman"/>
                <w:color w:val="000000"/>
                <w:sz w:val="16"/>
                <w:szCs w:val="16"/>
              </w:rPr>
            </w:pPr>
            <w:bookmarkStart w:id="56" w:name="_Toc481152768"/>
          </w:p>
        </w:tc>
      </w:tr>
    </w:tbl>
    <w:p w:rsidR="003B3B17" w:rsidRPr="00B06331" w:rsidRDefault="003B3B17" w:rsidP="00BC1302">
      <w:pPr>
        <w:pStyle w:val="Heading2"/>
        <w:rPr>
          <w:rFonts w:asciiTheme="minorHAnsi" w:hAnsiTheme="minorHAnsi" w:cstheme="minorHAnsi"/>
          <w:sz w:val="22"/>
          <w:szCs w:val="22"/>
        </w:rPr>
      </w:pPr>
      <w:bookmarkStart w:id="57" w:name="_Toc492364738"/>
      <w:bookmarkEnd w:id="56"/>
      <w:r w:rsidRPr="00B06331">
        <w:rPr>
          <w:rFonts w:asciiTheme="minorHAnsi" w:hAnsiTheme="minorHAnsi" w:cstheme="minorHAnsi"/>
          <w:sz w:val="22"/>
          <w:szCs w:val="22"/>
        </w:rPr>
        <w:t>3.3 Agriculture and Fisheries</w:t>
      </w:r>
      <w:bookmarkEnd w:id="35"/>
      <w:bookmarkEnd w:id="57"/>
    </w:p>
    <w:p w:rsidR="00031906" w:rsidRPr="00B06331" w:rsidRDefault="00031906" w:rsidP="00031906">
      <w:pPr>
        <w:pStyle w:val="Heading3"/>
        <w:rPr>
          <w:rFonts w:asciiTheme="minorHAnsi" w:hAnsiTheme="minorHAnsi" w:cstheme="minorHAnsi"/>
          <w:b/>
          <w:sz w:val="22"/>
        </w:rPr>
      </w:pPr>
      <w:bookmarkStart w:id="58" w:name="_Toc492364739"/>
      <w:r w:rsidRPr="00B06331">
        <w:rPr>
          <w:rFonts w:asciiTheme="minorHAnsi" w:hAnsiTheme="minorHAnsi" w:cstheme="minorHAnsi"/>
          <w:b/>
          <w:sz w:val="22"/>
        </w:rPr>
        <w:lastRenderedPageBreak/>
        <w:t>3.3.1 Agriculture</w:t>
      </w:r>
      <w:bookmarkEnd w:id="58"/>
    </w:p>
    <w:p w:rsidR="003B3B17" w:rsidRPr="00B06331" w:rsidRDefault="003B3B17" w:rsidP="003B3B17">
      <w:pPr>
        <w:tabs>
          <w:tab w:val="left" w:pos="720"/>
        </w:tabs>
        <w:spacing w:before="120" w:after="120"/>
        <w:jc w:val="both"/>
        <w:rPr>
          <w:rFonts w:ascii="Avenir Book" w:hAnsi="Avenir Book"/>
          <w:szCs w:val="24"/>
        </w:rPr>
      </w:pPr>
      <w:r w:rsidRPr="00B06331">
        <w:rPr>
          <w:rFonts w:ascii="Avenir Book" w:hAnsi="Avenir Book"/>
          <w:szCs w:val="24"/>
        </w:rPr>
        <w:t xml:space="preserve">Agriculture </w:t>
      </w:r>
      <w:r w:rsidRPr="00B06331">
        <w:rPr>
          <w:rStyle w:val="FootnoteReference"/>
          <w:rFonts w:ascii="Avenir Book" w:hAnsi="Avenir Book"/>
          <w:szCs w:val="24"/>
        </w:rPr>
        <w:footnoteReference w:id="5"/>
      </w:r>
      <w:r w:rsidRPr="00B06331">
        <w:rPr>
          <w:rFonts w:ascii="Avenir Book" w:hAnsi="Avenir Book"/>
          <w:szCs w:val="24"/>
        </w:rPr>
        <w:t xml:space="preserve">is one of the main drivers of </w:t>
      </w:r>
      <w:r w:rsidR="006B6E03" w:rsidRPr="00B06331">
        <w:rPr>
          <w:rFonts w:ascii="Avenir Book" w:hAnsi="Avenir Book"/>
          <w:szCs w:val="24"/>
        </w:rPr>
        <w:t xml:space="preserve">Gambia’s </w:t>
      </w:r>
      <w:smartTag w:uri="urn:schemas-microsoft-com:office:smarttags" w:element="stockticker">
        <w:r w:rsidRPr="00B06331">
          <w:rPr>
            <w:rFonts w:ascii="Avenir Book" w:hAnsi="Avenir Book"/>
            <w:szCs w:val="24"/>
          </w:rPr>
          <w:t>GDP</w:t>
        </w:r>
      </w:smartTag>
      <w:r w:rsidRPr="00B06331">
        <w:rPr>
          <w:rFonts w:ascii="Avenir Book" w:hAnsi="Avenir Book"/>
          <w:szCs w:val="24"/>
        </w:rPr>
        <w:t xml:space="preserve"> growth. It employs nearly half (46.4 %) of the working population and 80.7 % of the rural working population. The sector typically con</w:t>
      </w:r>
      <w:r w:rsidR="006B6E03" w:rsidRPr="00B06331">
        <w:rPr>
          <w:rFonts w:ascii="Avenir Book" w:hAnsi="Avenir Book"/>
          <w:szCs w:val="24"/>
        </w:rPr>
        <w:t xml:space="preserve">tributes up to 31 % of </w:t>
      </w:r>
      <w:smartTag w:uri="urn:schemas-microsoft-com:office:smarttags" w:element="stockticker">
        <w:r w:rsidRPr="00B06331">
          <w:rPr>
            <w:rFonts w:ascii="Avenir Book" w:hAnsi="Avenir Book"/>
            <w:szCs w:val="24"/>
          </w:rPr>
          <w:t>GDP</w:t>
        </w:r>
      </w:smartTag>
      <w:r w:rsidR="006B6E03" w:rsidRPr="00B06331">
        <w:rPr>
          <w:rFonts w:ascii="Avenir Book" w:hAnsi="Avenir Book"/>
          <w:szCs w:val="24"/>
        </w:rPr>
        <w:t xml:space="preserve"> although this </w:t>
      </w:r>
      <w:r w:rsidRPr="00B06331">
        <w:rPr>
          <w:rFonts w:ascii="Avenir Book" w:hAnsi="Avenir Book"/>
          <w:szCs w:val="24"/>
        </w:rPr>
        <w:t xml:space="preserve">declined to 20% of </w:t>
      </w:r>
      <w:smartTag w:uri="urn:schemas-microsoft-com:office:smarttags" w:element="stockticker">
        <w:r w:rsidRPr="00B06331">
          <w:rPr>
            <w:rFonts w:ascii="Avenir Book" w:hAnsi="Avenir Book"/>
            <w:szCs w:val="24"/>
          </w:rPr>
          <w:t>GDP</w:t>
        </w:r>
      </w:smartTag>
      <w:r w:rsidRPr="00B06331">
        <w:rPr>
          <w:rFonts w:ascii="Avenir Book" w:hAnsi="Avenir Book"/>
          <w:szCs w:val="24"/>
        </w:rPr>
        <w:t xml:space="preserve"> in 2016 (IHS 2016). Furthermore, 72% of the population relies on agriculture for livelihood and 91% of the rural poor work as farmers. Groundnuts are the main source of foreign exchange for the Gambiaaccounting for 30%, and meeting 50% of the national food requirements (CCA 2015).  In addition, agro-industries constitute 15% of GDP which is a significant component of Gambia’s industries and another growth driver. </w:t>
      </w:r>
    </w:p>
    <w:p w:rsidR="003B3B17" w:rsidRPr="00B06331" w:rsidRDefault="006B6E03" w:rsidP="003B3B17">
      <w:pPr>
        <w:tabs>
          <w:tab w:val="left" w:pos="720"/>
        </w:tabs>
        <w:spacing w:before="120" w:after="120"/>
        <w:jc w:val="both"/>
        <w:rPr>
          <w:rFonts w:ascii="Avenir Book" w:hAnsi="Avenir Book"/>
          <w:szCs w:val="24"/>
        </w:rPr>
      </w:pPr>
      <w:r w:rsidRPr="00B06331">
        <w:rPr>
          <w:rFonts w:ascii="Avenir Book" w:hAnsi="Avenir Book"/>
          <w:szCs w:val="24"/>
        </w:rPr>
        <w:t xml:space="preserve">However, Gambia’s agriculture </w:t>
      </w:r>
      <w:r w:rsidR="003B3B17" w:rsidRPr="00B06331">
        <w:rPr>
          <w:rFonts w:ascii="Avenir Book" w:hAnsi="Avenir Book"/>
          <w:szCs w:val="24"/>
        </w:rPr>
        <w:t xml:space="preserve">is relatively undiversified, mainly small-holder based and characterized </w:t>
      </w:r>
      <w:r w:rsidR="00A95BFE" w:rsidRPr="00B06331">
        <w:rPr>
          <w:rFonts w:ascii="Avenir Book" w:hAnsi="Avenir Book"/>
          <w:szCs w:val="24"/>
        </w:rPr>
        <w:t>by rain</w:t>
      </w:r>
      <w:r w:rsidR="003B3B17" w:rsidRPr="00B06331">
        <w:rPr>
          <w:rFonts w:ascii="Avenir Book" w:hAnsi="Avenir Book"/>
          <w:szCs w:val="24"/>
        </w:rPr>
        <w:t>-fed subsistence crops (millet, maize, rice, sorghum, cassava), and traditional cash crops such as groundnuts, cotton, and cashew to a lesser extent. Horticulture production is increasing, albeit moderately. Livestock (cattle, small ruminants and poultry) account respectively for 25% of the agriculture GDP.</w:t>
      </w:r>
    </w:p>
    <w:p w:rsidR="003B3B17" w:rsidRPr="00B06331" w:rsidRDefault="003B3B17" w:rsidP="003B3B17">
      <w:pPr>
        <w:spacing w:after="80"/>
        <w:jc w:val="both"/>
        <w:rPr>
          <w:rFonts w:ascii="Avenir Book" w:hAnsi="Avenir Book"/>
          <w:szCs w:val="24"/>
        </w:rPr>
      </w:pPr>
      <w:r w:rsidRPr="00B06331">
        <w:rPr>
          <w:rFonts w:ascii="Avenir Book" w:hAnsi="Avenir Book"/>
          <w:szCs w:val="24"/>
        </w:rPr>
        <w:t>During the last decade, real agricultural production expanded 3.4-3.7% annually (barely one point percentage above the population growth rate). There is relatively wide yield gap across major crops, and yields are lower than the West African average except for groundnuts. Average yields of coarse grains declined slightly between 2008 and 2013; rice yields declined more than those of coarse grains. Domestic production covers about 30% of country’s needs for rice, the main staple. Rice imports account for half of all food imports. According to the preliminary results of IHS 2015/16, 55.1% of the population is food insecure, and 35.9% of the population would not meet their daily food requirements of 2400 calories even if they allocated all their consumption to food (extreme poor). In addition to a growing food import bill, this situation has direct economic costs (cost of illness and lost labor productivity), and long term adverse effects o</w:t>
      </w:r>
      <w:r w:rsidR="006B6E03" w:rsidRPr="00B06331">
        <w:rPr>
          <w:rFonts w:ascii="Avenir Book" w:hAnsi="Avenir Book"/>
          <w:szCs w:val="24"/>
        </w:rPr>
        <w:t>n human development</w:t>
      </w:r>
      <w:r w:rsidRPr="00B06331">
        <w:rPr>
          <w:rFonts w:ascii="Avenir Book" w:hAnsi="Avenir Book"/>
          <w:szCs w:val="24"/>
        </w:rPr>
        <w:t>.</w:t>
      </w:r>
    </w:p>
    <w:p w:rsidR="003B3B17" w:rsidRPr="00B06331" w:rsidRDefault="003B3B17" w:rsidP="003B3B17">
      <w:pPr>
        <w:tabs>
          <w:tab w:val="left" w:pos="720"/>
        </w:tabs>
        <w:spacing w:before="120" w:after="120"/>
        <w:jc w:val="both"/>
        <w:rPr>
          <w:rFonts w:ascii="Avenir Book" w:hAnsi="Avenir Book"/>
          <w:szCs w:val="24"/>
        </w:rPr>
      </w:pPr>
      <w:r w:rsidRPr="00B06331">
        <w:rPr>
          <w:rFonts w:ascii="Avenir Book" w:hAnsi="Avenir Book"/>
          <w:szCs w:val="24"/>
        </w:rPr>
        <w:t>The low performance of agriculture is due to a range of factors, including: an unfavorable macro-fiscal stance in recent years; a weak policy and institutional framework; insufficient budgets (capital and recurrent); difficult access to modern inputs and to finance; ineffective research and a</w:t>
      </w:r>
      <w:r w:rsidR="00A2752C" w:rsidRPr="00B06331">
        <w:rPr>
          <w:rFonts w:ascii="Avenir Book" w:hAnsi="Avenir Book"/>
          <w:szCs w:val="24"/>
        </w:rPr>
        <w:t>dvisory services</w:t>
      </w:r>
      <w:r w:rsidRPr="00B06331">
        <w:rPr>
          <w:rFonts w:ascii="Avenir Book" w:hAnsi="Avenir Book"/>
          <w:szCs w:val="24"/>
        </w:rPr>
        <w:t>; rainfall variability and climate shocks; lack of transport and market infrastructures; limited irrigation; high post-harvest losses due to poor handling, inappropriate storage, as well as poor adherence to SPS &amp; TBT standards of the export markets. A more detailed analysis of sector performance is given below.</w:t>
      </w:r>
    </w:p>
    <w:p w:rsidR="00031906" w:rsidRPr="00B06331" w:rsidRDefault="00031906" w:rsidP="00BC1302">
      <w:pPr>
        <w:pStyle w:val="Heading3"/>
        <w:rPr>
          <w:rFonts w:asciiTheme="minorHAnsi" w:hAnsiTheme="minorHAnsi" w:cstheme="minorHAnsi"/>
          <w:b/>
          <w:sz w:val="22"/>
          <w:szCs w:val="22"/>
        </w:rPr>
      </w:pPr>
    </w:p>
    <w:p w:rsidR="00A2752C" w:rsidRPr="00B06331" w:rsidRDefault="003B3B17" w:rsidP="00031906">
      <w:pPr>
        <w:rPr>
          <w:b/>
        </w:rPr>
      </w:pPr>
      <w:r w:rsidRPr="00B06331">
        <w:rPr>
          <w:b/>
        </w:rPr>
        <w:t xml:space="preserve">Sector Performance </w:t>
      </w:r>
    </w:p>
    <w:p w:rsidR="003B3B17" w:rsidRPr="00B06331" w:rsidRDefault="003B3B17" w:rsidP="003B3B17">
      <w:pPr>
        <w:spacing w:after="80"/>
        <w:jc w:val="both"/>
        <w:rPr>
          <w:rFonts w:ascii="Avenir Book" w:hAnsi="Avenir Book"/>
          <w:b/>
          <w:szCs w:val="24"/>
        </w:rPr>
      </w:pPr>
      <w:r w:rsidRPr="00B06331">
        <w:rPr>
          <w:rFonts w:ascii="Avenir Book" w:hAnsi="Avenir Book"/>
          <w:b/>
          <w:color w:val="365F91"/>
          <w:szCs w:val="24"/>
        </w:rPr>
        <w:t xml:space="preserve">Policy &amp; Institutional Framework </w:t>
      </w:r>
    </w:p>
    <w:p w:rsidR="003B3B17" w:rsidRPr="00B06331" w:rsidRDefault="003B3B17" w:rsidP="003B3B17">
      <w:pPr>
        <w:tabs>
          <w:tab w:val="left" w:pos="720"/>
        </w:tabs>
        <w:spacing w:before="120" w:after="120"/>
        <w:jc w:val="both"/>
        <w:rPr>
          <w:rFonts w:ascii="Avenir Book" w:hAnsi="Avenir Book"/>
          <w:szCs w:val="24"/>
        </w:rPr>
      </w:pPr>
      <w:r w:rsidRPr="00B06331">
        <w:rPr>
          <w:rFonts w:ascii="Avenir Book" w:hAnsi="Avenir Book"/>
          <w:szCs w:val="24"/>
        </w:rPr>
        <w:t xml:space="preserve">With food self-sufficiency and commodity exports at its heart, the Gambia’s recently expired midterm agricultural strategy is the Gambia National Agricultural Investment Plan (GNAIP), which is part of the African Union Comprehensive Africa Agriculture Development Programme (CAADP). Presently, the Gambia is working on a second generation GNAIP and has also adopted the Zero Hunger initiative </w:t>
      </w:r>
      <w:r w:rsidRPr="00B06331">
        <w:rPr>
          <w:rFonts w:ascii="Avenir Book" w:hAnsi="Avenir Book"/>
          <w:szCs w:val="24"/>
        </w:rPr>
        <w:lastRenderedPageBreak/>
        <w:t>which focuses on Sustainable Development Goal (SDG) 2 aiming to “</w:t>
      </w:r>
      <w:r w:rsidRPr="00B06331">
        <w:rPr>
          <w:rFonts w:ascii="Avenir Book" w:hAnsi="Avenir Book"/>
          <w:i/>
          <w:szCs w:val="24"/>
        </w:rPr>
        <w:t>End hunger, achieve food security and improved nutrition, and promote sustainable agriculture</w:t>
      </w:r>
      <w:r w:rsidRPr="00B06331">
        <w:rPr>
          <w:rFonts w:ascii="Avenir Book" w:hAnsi="Avenir Book"/>
          <w:szCs w:val="24"/>
        </w:rPr>
        <w:t>” by 2030.</w:t>
      </w:r>
    </w:p>
    <w:p w:rsidR="003B3B17" w:rsidRPr="00B06331" w:rsidRDefault="003B3B17" w:rsidP="003B3B17">
      <w:pPr>
        <w:spacing w:after="80" w:line="240" w:lineRule="auto"/>
        <w:jc w:val="both"/>
        <w:rPr>
          <w:rFonts w:ascii="Avenir Book" w:hAnsi="Avenir Book"/>
          <w:szCs w:val="24"/>
        </w:rPr>
      </w:pPr>
      <w:r w:rsidRPr="00B06331">
        <w:rPr>
          <w:rFonts w:ascii="Avenir Book" w:hAnsi="Avenir Book"/>
          <w:szCs w:val="24"/>
        </w:rPr>
        <w:t xml:space="preserve">Overall, three major shortcomings prevented </w:t>
      </w:r>
      <w:r w:rsidR="00817965" w:rsidRPr="00B06331">
        <w:rPr>
          <w:rFonts w:ascii="Avenir Book" w:hAnsi="Avenir Book"/>
          <w:szCs w:val="24"/>
        </w:rPr>
        <w:t>the GNAIP</w:t>
      </w:r>
      <w:r w:rsidRPr="00B06331">
        <w:rPr>
          <w:rFonts w:ascii="Avenir Book" w:hAnsi="Avenir Book"/>
          <w:szCs w:val="24"/>
        </w:rPr>
        <w:t xml:space="preserve"> policy framework from fostering rapid agricultural growth</w:t>
      </w:r>
      <w:r w:rsidR="00A2752C" w:rsidRPr="00B06331">
        <w:rPr>
          <w:rFonts w:ascii="Avenir Book" w:hAnsi="Avenir Book"/>
          <w:szCs w:val="24"/>
        </w:rPr>
        <w:t xml:space="preserve"> and transformation</w:t>
      </w:r>
      <w:r w:rsidRPr="00B06331">
        <w:rPr>
          <w:rFonts w:ascii="Avenir Book" w:hAnsi="Avenir Book"/>
          <w:szCs w:val="24"/>
        </w:rPr>
        <w:t>.</w:t>
      </w:r>
    </w:p>
    <w:p w:rsidR="003B3B17" w:rsidRPr="00B06331" w:rsidRDefault="003B3B17" w:rsidP="003B3B17">
      <w:pPr>
        <w:spacing w:after="80" w:line="240" w:lineRule="auto"/>
        <w:jc w:val="both"/>
        <w:rPr>
          <w:rFonts w:ascii="Avenir Book" w:hAnsi="Avenir Book"/>
          <w:szCs w:val="24"/>
        </w:rPr>
      </w:pPr>
    </w:p>
    <w:p w:rsidR="003B3B17" w:rsidRPr="00B06331" w:rsidRDefault="003B3B17" w:rsidP="003B3B17">
      <w:pPr>
        <w:spacing w:after="80"/>
        <w:jc w:val="both"/>
        <w:rPr>
          <w:rFonts w:ascii="Avenir Book" w:hAnsi="Avenir Book"/>
          <w:szCs w:val="24"/>
        </w:rPr>
      </w:pPr>
      <w:r w:rsidRPr="00B06331">
        <w:rPr>
          <w:rFonts w:ascii="Avenir Book" w:hAnsi="Avenir Book"/>
          <w:szCs w:val="24"/>
          <w:u w:val="single"/>
        </w:rPr>
        <w:t>Firstly</w:t>
      </w:r>
      <w:r w:rsidRPr="00B06331">
        <w:rPr>
          <w:rFonts w:ascii="Avenir Book" w:hAnsi="Avenir Book"/>
          <w:szCs w:val="24"/>
        </w:rPr>
        <w:t>, GNAIP did not fully capture (at least at the program level) the key building blocks indispensable for successful agricultural development (e.g., technology development and transfer, market infrastructure to enhance market access and reduce transport cost, etc.).</w:t>
      </w:r>
    </w:p>
    <w:p w:rsidR="003B3B17" w:rsidRPr="00B06331" w:rsidRDefault="003B3B17" w:rsidP="003B3B17">
      <w:pPr>
        <w:spacing w:after="80"/>
        <w:jc w:val="both"/>
        <w:rPr>
          <w:rFonts w:ascii="Avenir Book" w:hAnsi="Avenir Book"/>
          <w:szCs w:val="24"/>
        </w:rPr>
      </w:pPr>
      <w:r w:rsidRPr="00B06331">
        <w:rPr>
          <w:rFonts w:ascii="Avenir Book" w:hAnsi="Avenir Book"/>
          <w:szCs w:val="24"/>
          <w:u w:val="single"/>
        </w:rPr>
        <w:t>Secondly,</w:t>
      </w:r>
      <w:r w:rsidRPr="00B06331">
        <w:rPr>
          <w:rFonts w:ascii="Avenir Book" w:hAnsi="Avenir Book"/>
          <w:szCs w:val="24"/>
        </w:rPr>
        <w:t xml:space="preserve"> there was a mismatch between the envisaged annual growth rate of 8% and the budget allocationswhich only reached 6% once in 2011. This was further compounded by poor quality expenditures heavily skewed towards operations. </w:t>
      </w:r>
    </w:p>
    <w:p w:rsidR="003B3B17" w:rsidRPr="00B06331" w:rsidRDefault="003B3B17" w:rsidP="003B3B17">
      <w:pPr>
        <w:spacing w:after="80"/>
        <w:jc w:val="both"/>
        <w:rPr>
          <w:rFonts w:ascii="Avenir Book" w:hAnsi="Avenir Book"/>
          <w:szCs w:val="24"/>
        </w:rPr>
      </w:pPr>
      <w:r w:rsidRPr="00B06331">
        <w:rPr>
          <w:rFonts w:ascii="Avenir Book" w:hAnsi="Avenir Book"/>
          <w:szCs w:val="24"/>
        </w:rPr>
        <w:t>Available evidence suggests that during the last decade, the composition of the expenditures was skewed toward operating costs, especially wages and allowances which accounted for slightly over 40% of the ministry’s budget. In recent years, direct input subsidies (fertilizer and seeds) to producers accounted for a large share of investment spending. Overall, it is estimated that the ministry of agriculture allocates about one third of its budget to investment expenditures. A large portion of these investment expenditures consists of donor-funded projects. Limited operational capacity and small (recurrent and investment) budgets meant that the ministry has not been able to sustain the achievements of donor-funded projects after the end of external funding. Hence, the common complaint by government and development partners that “so much spending is taking place in agriculture with little results”.In short, the level and composition of the sectoral budget exhibit little synergy with the government policy objectives for agricultural development, and the imbalance between current and capital investments is a major source of inefficiency and low productivity of expenditures in the sector. This imbalance limits the potential impact and sustainability of interventions.</w:t>
      </w:r>
    </w:p>
    <w:p w:rsidR="003B3B17" w:rsidRPr="00B06331" w:rsidRDefault="00A2752C" w:rsidP="003B3B17">
      <w:pPr>
        <w:spacing w:after="80"/>
        <w:jc w:val="both"/>
        <w:rPr>
          <w:rFonts w:ascii="Avenir Book" w:hAnsi="Avenir Book"/>
          <w:szCs w:val="24"/>
        </w:rPr>
      </w:pPr>
      <w:r w:rsidRPr="00B06331">
        <w:rPr>
          <w:rFonts w:ascii="Avenir Book" w:hAnsi="Avenir Book"/>
          <w:szCs w:val="24"/>
          <w:u w:val="single"/>
        </w:rPr>
        <w:t>Thirdly</w:t>
      </w:r>
      <w:r w:rsidRPr="00B06331">
        <w:rPr>
          <w:rFonts w:ascii="Avenir Book" w:hAnsi="Avenir Book"/>
          <w:szCs w:val="24"/>
        </w:rPr>
        <w:t>,parallel,</w:t>
      </w:r>
      <w:r w:rsidR="003B3B17" w:rsidRPr="00B06331">
        <w:rPr>
          <w:rFonts w:ascii="Avenir Book" w:hAnsi="Avenir Book"/>
          <w:szCs w:val="24"/>
        </w:rPr>
        <w:t xml:space="preserve"> and erratic decision-making and deteriorated institutional framework that was dictated by the former executive</w:t>
      </w:r>
      <w:r w:rsidRPr="00B06331">
        <w:rPr>
          <w:rFonts w:ascii="Avenir Book" w:hAnsi="Avenir Book"/>
          <w:szCs w:val="24"/>
        </w:rPr>
        <w:t xml:space="preserve"> posed major challenges</w:t>
      </w:r>
      <w:r w:rsidR="003B3B17" w:rsidRPr="00B06331">
        <w:rPr>
          <w:rFonts w:ascii="Avenir Book" w:hAnsi="Avenir Book"/>
          <w:szCs w:val="24"/>
        </w:rPr>
        <w:t xml:space="preserve">. In support of the so-called “Vision 2016” food self-sufficiency goal that was adopted with little planning and dedicated mobilization of resources, most public funds and staff time were diverted to rice production activities(including the many rice fields owned by the former president). No specific actionswere taken to address the two major constraints to increasing rice production, i.e. access to irrigated land and shortages of inputs (seeds, fertilizer). </w:t>
      </w:r>
    </w:p>
    <w:p w:rsidR="003B3B17" w:rsidRPr="00B06331" w:rsidRDefault="003B3B17" w:rsidP="003B3B17">
      <w:pPr>
        <w:spacing w:after="80"/>
        <w:jc w:val="both"/>
        <w:rPr>
          <w:rFonts w:ascii="Avenir Book" w:hAnsi="Avenir Book"/>
          <w:szCs w:val="24"/>
        </w:rPr>
      </w:pPr>
      <w:r w:rsidRPr="00B06331">
        <w:rPr>
          <w:rFonts w:ascii="Avenir Book" w:hAnsi="Avenir Book"/>
          <w:szCs w:val="24"/>
        </w:rPr>
        <w:t xml:space="preserve">In addition to influencing sectoral investment decisions, the former executive was also routinely involved in the day-to-day management of the ministry of agriculture including assuming the function of minister of agriculture several times; as a </w:t>
      </w:r>
      <w:r w:rsidR="00A95BFE" w:rsidRPr="00B06331">
        <w:rPr>
          <w:rFonts w:ascii="Avenir Book" w:hAnsi="Avenir Book"/>
          <w:szCs w:val="24"/>
        </w:rPr>
        <w:t>result,</w:t>
      </w:r>
      <w:r w:rsidRPr="00B06331">
        <w:rPr>
          <w:rFonts w:ascii="Avenir Book" w:hAnsi="Avenir Book"/>
          <w:szCs w:val="24"/>
        </w:rPr>
        <w:t xml:space="preserve"> the human resources of the ministry and related agencies were heavy-handedly managed. This resulted in rapid turnover of personnel ranging from ministers, to senior staff and technicians. The former executive also engineered multiple reorganizations of the central and field officesthat often resulted in distorted reporting lines.The cumulative impact of this management style weakened the technical and institutional capacity of the ministry of agriculture, and stifled all initiatives that would have helped to improve operational </w:t>
      </w:r>
      <w:r w:rsidRPr="00B06331">
        <w:rPr>
          <w:rFonts w:ascii="Avenir Book" w:hAnsi="Avenir Book"/>
          <w:szCs w:val="24"/>
        </w:rPr>
        <w:lastRenderedPageBreak/>
        <w:t>performance. In short, the ability of the ministry of agriculture to deliver the required public goods and services to farming communities decreased in recent years.</w:t>
      </w:r>
    </w:p>
    <w:p w:rsidR="003B3B17" w:rsidRPr="00B06331" w:rsidRDefault="003B3B17" w:rsidP="003B3B17">
      <w:pPr>
        <w:spacing w:after="0"/>
        <w:jc w:val="both"/>
        <w:rPr>
          <w:rFonts w:ascii="Avenir Book" w:hAnsi="Avenir Book"/>
          <w:szCs w:val="24"/>
        </w:rPr>
      </w:pPr>
      <w:r w:rsidRPr="00B06331">
        <w:rPr>
          <w:rFonts w:ascii="Avenir Book" w:hAnsi="Avenir Book"/>
          <w:szCs w:val="24"/>
        </w:rPr>
        <w:t>These analysis are further reinforced by the review of the implementation of the Gambia National Agricultural Investment Plan (GNAIP) 2011 -</w:t>
      </w:r>
      <w:r w:rsidR="00A2752C" w:rsidRPr="00B06331">
        <w:rPr>
          <w:rFonts w:ascii="Avenir Book" w:hAnsi="Avenir Book"/>
          <w:szCs w:val="24"/>
        </w:rPr>
        <w:t>2015 which</w:t>
      </w:r>
      <w:r w:rsidRPr="00B06331">
        <w:rPr>
          <w:rFonts w:ascii="Avenir Book" w:hAnsi="Avenir Book"/>
          <w:szCs w:val="24"/>
        </w:rPr>
        <w:t xml:space="preserve"> focused on performance targets, coordination, communication, and capacity building (Ceesay, M. et al, 2016)</w:t>
      </w:r>
      <w:r w:rsidR="00A2752C" w:rsidRPr="00B06331">
        <w:rPr>
          <w:rFonts w:ascii="Avenir Book" w:hAnsi="Avenir Book"/>
          <w:szCs w:val="24"/>
        </w:rPr>
        <w:t xml:space="preserve">. The review showed that </w:t>
      </w:r>
      <w:r w:rsidRPr="00B06331">
        <w:rPr>
          <w:rFonts w:ascii="Avenir Book" w:hAnsi="Avenir Book"/>
          <w:szCs w:val="24"/>
        </w:rPr>
        <w:t xml:space="preserve">commercial bank loans to agriculture averaged less than 5% for the period. Parameters relating to involvement in GNAIP processes, outreach, coordination, and communication of GNAIP were considered moderately unsatisfactory and individual capacity gaps were also highlighted as unsatisfactory in relation to the effective functioning and implementation of GNAIP. Moreover, since many of the solutions to agricultural challenges- e.g., undeveloped markets </w:t>
      </w:r>
      <w:r w:rsidR="00A2752C" w:rsidRPr="00B06331">
        <w:rPr>
          <w:rFonts w:ascii="Avenir Book" w:hAnsi="Avenir Book"/>
          <w:szCs w:val="24"/>
        </w:rPr>
        <w:t>lie</w:t>
      </w:r>
      <w:r w:rsidRPr="00B06331">
        <w:rPr>
          <w:rFonts w:ascii="Avenir Book" w:hAnsi="Avenir Book"/>
          <w:szCs w:val="24"/>
        </w:rPr>
        <w:t xml:space="preserve"> elsewhere, the present poor state of inter-sectoral collaboration and the development of synergies is not helping the sector. </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t xml:space="preserve">This unsatisfactory state has important implications for the Gambia’s quest for Zero Hunger as agricultural output has not been able to keep pace with Gambians’ growing demand for food, further </w:t>
      </w:r>
      <w:r w:rsidR="00A2752C" w:rsidRPr="00B06331">
        <w:rPr>
          <w:rFonts w:ascii="Avenir Book" w:hAnsi="Avenir Book"/>
          <w:szCs w:val="24"/>
        </w:rPr>
        <w:t>creating food insecurity</w:t>
      </w:r>
      <w:r w:rsidRPr="00B06331">
        <w:rPr>
          <w:rFonts w:ascii="Avenir Book" w:hAnsi="Avenir Book"/>
          <w:szCs w:val="24"/>
        </w:rPr>
        <w:t xml:space="preserve">. </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80"/>
        <w:jc w:val="both"/>
        <w:rPr>
          <w:rFonts w:ascii="Avenir Book" w:hAnsi="Avenir Book"/>
          <w:b/>
        </w:rPr>
      </w:pPr>
      <w:r w:rsidRPr="00B06331">
        <w:rPr>
          <w:rFonts w:ascii="Avenir Book" w:hAnsi="Avenir Book"/>
          <w:b/>
          <w:color w:val="365F91"/>
        </w:rPr>
        <w:t>Agriculture Financing</w:t>
      </w:r>
    </w:p>
    <w:p w:rsidR="003B3B17" w:rsidRPr="00B06331" w:rsidRDefault="003B3B17" w:rsidP="003B3B17">
      <w:pPr>
        <w:spacing w:after="80"/>
        <w:jc w:val="both"/>
        <w:rPr>
          <w:rFonts w:ascii="Avenir Book" w:hAnsi="Avenir Book"/>
          <w:szCs w:val="24"/>
        </w:rPr>
      </w:pPr>
      <w:r w:rsidRPr="00B06331">
        <w:rPr>
          <w:rFonts w:ascii="Avenir Book" w:hAnsi="Avenir Book"/>
          <w:szCs w:val="24"/>
        </w:rPr>
        <w:t xml:space="preserve">A weak policy environment limits private sector participation in agricultural financing especially in the provision of timely inputs, processing and adding value to farm produce. The high cost of domestic borrowing, coupled with the ingrained risks in agriculture has contrived to make financing of agricultural investments less attractive. Presently only 4.8% of commercial bank loans are allocated to agriculture, demonstrating significant room for improvement.  </w:t>
      </w:r>
    </w:p>
    <w:p w:rsidR="003B3B17" w:rsidRPr="00B06331" w:rsidRDefault="003B3B17" w:rsidP="003B3B17">
      <w:pPr>
        <w:spacing w:after="80"/>
        <w:jc w:val="both"/>
        <w:rPr>
          <w:rFonts w:ascii="Avenir Book" w:hAnsi="Avenir Book"/>
          <w:szCs w:val="24"/>
        </w:rPr>
      </w:pPr>
      <w:r w:rsidRPr="00B06331">
        <w:rPr>
          <w:rFonts w:ascii="Avenir Book" w:hAnsi="Avenir Book"/>
          <w:szCs w:val="24"/>
        </w:rPr>
        <w:t>Government funding for the agriculture sector has not gone above 6% du</w:t>
      </w:r>
      <w:r w:rsidR="001F69FD" w:rsidRPr="00B06331">
        <w:rPr>
          <w:rFonts w:ascii="Avenir Book" w:hAnsi="Avenir Book"/>
          <w:szCs w:val="24"/>
        </w:rPr>
        <w:t xml:space="preserve">ring the past five years, and is </w:t>
      </w:r>
      <w:r w:rsidRPr="00B06331">
        <w:rPr>
          <w:rFonts w:ascii="Avenir Book" w:hAnsi="Avenir Book"/>
          <w:szCs w:val="24"/>
        </w:rPr>
        <w:t>below the 10 % Malabo-r</w:t>
      </w:r>
      <w:r w:rsidR="001F69FD" w:rsidRPr="00B06331">
        <w:rPr>
          <w:rFonts w:ascii="Avenir Book" w:hAnsi="Avenir Book"/>
          <w:szCs w:val="24"/>
        </w:rPr>
        <w:t>ecommended target</w:t>
      </w:r>
      <w:r w:rsidRPr="00B06331">
        <w:rPr>
          <w:rFonts w:ascii="Avenir Book" w:hAnsi="Avenir Book"/>
          <w:szCs w:val="24"/>
        </w:rPr>
        <w:t>. Meanwhile, the major proportion of funding for the sector comes primarily from development partners which contributed an estimated $ 163 million, for the period 2008 to 2019. In recent years, direct input subsidies (fertilizer and seeds) to producers accounted for a large share of investment spending.</w:t>
      </w:r>
    </w:p>
    <w:p w:rsidR="003B3B17" w:rsidRPr="00B06331" w:rsidRDefault="003B3B17" w:rsidP="003B3B17">
      <w:pPr>
        <w:spacing w:after="80"/>
        <w:jc w:val="both"/>
        <w:rPr>
          <w:rFonts w:ascii="Avenir Book" w:hAnsi="Avenir Book"/>
          <w:szCs w:val="24"/>
        </w:rPr>
      </w:pPr>
      <w:r w:rsidRPr="00B06331">
        <w:rPr>
          <w:rFonts w:ascii="Avenir Book" w:hAnsi="Avenir Book"/>
          <w:szCs w:val="24"/>
        </w:rPr>
        <w:t>Agricultural producers, especially smallholders face challenging and limited access to finance. Despite their pivotal role in national food production and trade, smallholders tend have little or no access to formal credit. When informal sources of finance are available, they do not meet all the financial needs, are short-term, and carry high costs. This lack of access to financing limits smallholders’ ability to invest in productivity-enhancing technologies.</w:t>
      </w:r>
    </w:p>
    <w:p w:rsidR="003B3B17" w:rsidRPr="00B06331" w:rsidRDefault="003B3B17" w:rsidP="003B3B17">
      <w:pPr>
        <w:keepNext/>
        <w:keepLines/>
        <w:tabs>
          <w:tab w:val="left" w:pos="720"/>
        </w:tabs>
        <w:spacing w:before="120" w:after="120"/>
        <w:jc w:val="both"/>
        <w:outlineLvl w:val="3"/>
        <w:rPr>
          <w:rFonts w:ascii="Avenir Book" w:hAnsi="Avenir Book"/>
          <w:b/>
          <w:szCs w:val="24"/>
        </w:rPr>
      </w:pPr>
      <w:r w:rsidRPr="00B06331">
        <w:rPr>
          <w:rFonts w:ascii="Avenir Book" w:hAnsi="Avenir Book"/>
          <w:b/>
          <w:color w:val="365F91"/>
          <w:szCs w:val="24"/>
        </w:rPr>
        <w:t>Land and Water Management</w:t>
      </w:r>
    </w:p>
    <w:p w:rsidR="003B3B17" w:rsidRPr="00B06331" w:rsidRDefault="003B3B17" w:rsidP="003B3B17">
      <w:pPr>
        <w:spacing w:after="80"/>
        <w:jc w:val="both"/>
        <w:rPr>
          <w:rFonts w:ascii="Avenir Book" w:hAnsi="Avenir Book"/>
          <w:szCs w:val="24"/>
        </w:rPr>
      </w:pPr>
      <w:r w:rsidRPr="00B06331">
        <w:rPr>
          <w:rFonts w:ascii="Avenir Book" w:hAnsi="Avenir Book"/>
          <w:szCs w:val="24"/>
        </w:rPr>
        <w:t>Given the country’s geo-physical characteristics, the soil resources in The Gam</w:t>
      </w:r>
      <w:r w:rsidR="00A2752C" w:rsidRPr="00B06331">
        <w:rPr>
          <w:rFonts w:ascii="Avenir Book" w:hAnsi="Avenir Book"/>
          <w:szCs w:val="24"/>
        </w:rPr>
        <w:t xml:space="preserve">bia are fragile </w:t>
      </w:r>
      <w:r w:rsidRPr="00B06331">
        <w:rPr>
          <w:rFonts w:ascii="Avenir Book" w:hAnsi="Avenir Book"/>
          <w:szCs w:val="24"/>
        </w:rPr>
        <w:t xml:space="preserve">and of relatively low fertility. The poor farming practices currently in use have not been helpful and resulted to consistently less than optimal yields and low agricultural productivity. Moreover, drudgery and low yields characterize agricultural operations. While there is some level of mechanization with the addition of a fleet of tractors mainly for land preparation, the demand to </w:t>
      </w:r>
      <w:r w:rsidR="00A2752C" w:rsidRPr="00B06331">
        <w:rPr>
          <w:rFonts w:ascii="Avenir Book" w:hAnsi="Avenir Book"/>
          <w:szCs w:val="24"/>
        </w:rPr>
        <w:t xml:space="preserve">transform the sector and </w:t>
      </w:r>
      <w:r w:rsidRPr="00B06331">
        <w:rPr>
          <w:rFonts w:ascii="Avenir Book" w:hAnsi="Avenir Book"/>
          <w:szCs w:val="24"/>
        </w:rPr>
        <w:t xml:space="preserve">achieve Zero </w:t>
      </w:r>
      <w:r w:rsidRPr="00B06331">
        <w:rPr>
          <w:rFonts w:ascii="Avenir Book" w:hAnsi="Avenir Book"/>
          <w:szCs w:val="24"/>
        </w:rPr>
        <w:lastRenderedPageBreak/>
        <w:t>Hunger will require land and labor efficiency through technolo</w:t>
      </w:r>
      <w:r w:rsidR="00DA42B5" w:rsidRPr="00B06331">
        <w:rPr>
          <w:rFonts w:ascii="Avenir Book" w:hAnsi="Avenir Book"/>
          <w:szCs w:val="24"/>
        </w:rPr>
        <w:t>gy which</w:t>
      </w:r>
      <w:r w:rsidRPr="00B06331">
        <w:rPr>
          <w:rFonts w:ascii="Avenir Book" w:hAnsi="Avenir Book"/>
          <w:szCs w:val="24"/>
        </w:rPr>
        <w:t xml:space="preserve"> is weak in some cases and nonexistent in others.  </w:t>
      </w:r>
    </w:p>
    <w:p w:rsidR="003B3B17" w:rsidRPr="00B06331" w:rsidRDefault="003B3B17" w:rsidP="003B3B17">
      <w:pPr>
        <w:spacing w:after="80"/>
        <w:jc w:val="both"/>
        <w:rPr>
          <w:rFonts w:ascii="Avenir Book" w:hAnsi="Avenir Book"/>
          <w:szCs w:val="24"/>
        </w:rPr>
      </w:pPr>
      <w:r w:rsidRPr="00B06331">
        <w:rPr>
          <w:rFonts w:ascii="Avenir Book" w:hAnsi="Avenir Book"/>
          <w:szCs w:val="24"/>
        </w:rPr>
        <w:t>The low soil fertility levels are further exacerbated by the national overdependence on rainfall for agricultural production with low use of irrigation systems. Although the rainy season lasts for roughly 5 months in the year, only 6% of the arable land is irrigated (ANR, 2016-2026). As a result, very little production takes place during the</w:t>
      </w:r>
      <w:r w:rsidR="00DA42B5" w:rsidRPr="00B06331">
        <w:rPr>
          <w:rFonts w:ascii="Avenir Book" w:hAnsi="Avenir Book"/>
          <w:szCs w:val="24"/>
        </w:rPr>
        <w:t xml:space="preserve"> dry season. However, although the River Gambia is</w:t>
      </w:r>
      <w:r w:rsidRPr="00B06331">
        <w:rPr>
          <w:rFonts w:ascii="Avenir Book" w:hAnsi="Avenir Book"/>
          <w:szCs w:val="24"/>
        </w:rPr>
        <w:t xml:space="preserve"> a natural source for irrigation, various studies have shown that the maximum threshold for pump irrigation using river Gambia is at 6,000 ha (ANR, 2016-2026).</w:t>
      </w:r>
      <w:r w:rsidR="00DA42B5" w:rsidRPr="00B06331">
        <w:rPr>
          <w:rFonts w:ascii="Avenir Book" w:hAnsi="Avenir Book"/>
          <w:szCs w:val="24"/>
        </w:rPr>
        <w:t xml:space="preserve"> Going</w:t>
      </w:r>
      <w:r w:rsidRPr="00B06331">
        <w:rPr>
          <w:rFonts w:ascii="Avenir Book" w:hAnsi="Avenir Book"/>
          <w:szCs w:val="24"/>
        </w:rPr>
        <w:t xml:space="preserve"> beyond this will correspondingly over stretch the salinity front which has negative implications for production.  The sustainable use of the groundwater and innovative rainwater harvesting and utilization has consequently emerged as a viable option. </w:t>
      </w:r>
    </w:p>
    <w:p w:rsidR="003B3B17" w:rsidRPr="00B06331" w:rsidRDefault="003B3B17" w:rsidP="003B3B17">
      <w:pPr>
        <w:spacing w:after="80"/>
        <w:jc w:val="both"/>
        <w:rPr>
          <w:rFonts w:ascii="Avenir Book" w:hAnsi="Avenir Book"/>
          <w:szCs w:val="24"/>
        </w:rPr>
      </w:pPr>
      <w:r w:rsidRPr="00B06331">
        <w:rPr>
          <w:rFonts w:ascii="Avenir Book" w:hAnsi="Avenir Book"/>
          <w:szCs w:val="24"/>
        </w:rPr>
        <w:t xml:space="preserve">The ANR Policy calls for the judicious and prudent utilization of land to satisfy competing </w:t>
      </w:r>
      <w:r w:rsidR="00817965" w:rsidRPr="00B06331">
        <w:rPr>
          <w:rFonts w:ascii="Avenir Book" w:hAnsi="Avenir Book"/>
          <w:szCs w:val="24"/>
        </w:rPr>
        <w:t>requirements. P</w:t>
      </w:r>
      <w:r w:rsidRPr="00B06331">
        <w:rPr>
          <w:rFonts w:ascii="Avenir Book" w:hAnsi="Avenir Book"/>
          <w:szCs w:val="24"/>
        </w:rPr>
        <w:t>oor land and water management has put farmers on a collision path with pastoralists, ecologist, industr</w:t>
      </w:r>
      <w:r w:rsidR="00DA42B5" w:rsidRPr="00B06331">
        <w:rPr>
          <w:rFonts w:ascii="Avenir Book" w:hAnsi="Avenir Book"/>
          <w:szCs w:val="24"/>
        </w:rPr>
        <w:t>ialists, and urbanization</w:t>
      </w:r>
      <w:r w:rsidRPr="00B06331">
        <w:rPr>
          <w:rFonts w:ascii="Avenir Book" w:hAnsi="Avenir Book"/>
          <w:szCs w:val="24"/>
        </w:rPr>
        <w:t xml:space="preserve">. Further exacerbating the land related challenges is the fact that almost all farmlands in rural Gambia are held under a customary land tenure system, which tends to discourage long term investment and limit women’s access to land. </w:t>
      </w:r>
    </w:p>
    <w:p w:rsidR="003B3B17" w:rsidRPr="00B06331" w:rsidRDefault="003B3B17" w:rsidP="003B3B17">
      <w:pPr>
        <w:tabs>
          <w:tab w:val="left" w:pos="720"/>
        </w:tabs>
        <w:spacing w:before="120" w:after="120"/>
        <w:jc w:val="both"/>
        <w:rPr>
          <w:rFonts w:ascii="Avenir Book" w:hAnsi="Avenir Book"/>
          <w:b/>
          <w:color w:val="365F91"/>
          <w:szCs w:val="24"/>
        </w:rPr>
      </w:pPr>
      <w:r w:rsidRPr="00B06331">
        <w:rPr>
          <w:rFonts w:ascii="Avenir Book" w:hAnsi="Avenir Book"/>
          <w:b/>
          <w:color w:val="365F91"/>
          <w:szCs w:val="24"/>
        </w:rPr>
        <w:t>Livestock &amp; Poultry</w:t>
      </w:r>
    </w:p>
    <w:p w:rsidR="003B3B17" w:rsidRPr="00B06331" w:rsidRDefault="003B3B17" w:rsidP="003B3B17">
      <w:pPr>
        <w:spacing w:after="0"/>
        <w:contextualSpacing/>
        <w:jc w:val="both"/>
        <w:rPr>
          <w:rFonts w:ascii="Avenir Book" w:hAnsi="Avenir Book"/>
          <w:szCs w:val="24"/>
        </w:rPr>
      </w:pPr>
      <w:r w:rsidRPr="00B06331">
        <w:rPr>
          <w:rFonts w:ascii="Avenir Book" w:hAnsi="Avenir Book"/>
          <w:szCs w:val="24"/>
        </w:rPr>
        <w:t xml:space="preserve">Due to low production and increasing demand for livestock and products, The Gambia like most other countries in Africa continues to import from other countries. For example, imports of dairy products doubled between 1984 and 2004 from USD 224 million to USD 530 million. In addition to the loss of valuable revenue, these imports are detrimental to the development of local production chains, thereby intensifying the region’s dependency. </w:t>
      </w:r>
    </w:p>
    <w:p w:rsidR="003B3B17" w:rsidRPr="00B06331" w:rsidRDefault="003B3B17" w:rsidP="003B3B17">
      <w:pPr>
        <w:tabs>
          <w:tab w:val="left" w:pos="720"/>
        </w:tabs>
        <w:spacing w:before="120" w:after="120"/>
        <w:jc w:val="both"/>
        <w:rPr>
          <w:rFonts w:ascii="Avenir Book" w:hAnsi="Avenir Book"/>
          <w:szCs w:val="24"/>
        </w:rPr>
      </w:pPr>
      <w:r w:rsidRPr="00B06331">
        <w:rPr>
          <w:rFonts w:ascii="Avenir Book" w:hAnsi="Avenir Book"/>
          <w:szCs w:val="24"/>
        </w:rPr>
        <w:t>Livestock and poultry production is increasing thus cementing its significance in the economic development of the country and the fight against poverty and hunger. However, this increase coupled with uncontrolled grazing pose challenges to the environment. There is also the need to create an enabling environment that ensures pastoralists’ mobility, including trans-b</w:t>
      </w:r>
      <w:r w:rsidR="00A95BFE" w:rsidRPr="00B06331">
        <w:rPr>
          <w:rFonts w:ascii="Avenir Book" w:hAnsi="Avenir Book"/>
          <w:szCs w:val="24"/>
        </w:rPr>
        <w:t xml:space="preserve">oundary passage as appropriate, </w:t>
      </w:r>
      <w:r w:rsidRPr="00B06331">
        <w:rPr>
          <w:rFonts w:ascii="Avenir Book" w:hAnsi="Avenir Book"/>
          <w:szCs w:val="24"/>
        </w:rPr>
        <w:t xml:space="preserve">securing access to land, water, markets and services, adaptive land management, and facilitating responsible governance of common resources, in accordance with national and international laws. </w:t>
      </w:r>
    </w:p>
    <w:p w:rsidR="003B3B17" w:rsidRPr="00B06331" w:rsidRDefault="003B3B17" w:rsidP="003B3B17">
      <w:pPr>
        <w:pStyle w:val="Default"/>
        <w:spacing w:line="276" w:lineRule="auto"/>
        <w:jc w:val="both"/>
        <w:rPr>
          <w:rFonts w:ascii="Avenir Book" w:hAnsi="Avenir Book" w:cs="Times New Roman"/>
          <w:color w:val="auto"/>
          <w:sz w:val="22"/>
        </w:rPr>
      </w:pPr>
      <w:r w:rsidRPr="00B06331">
        <w:rPr>
          <w:rFonts w:ascii="Avenir Book" w:hAnsi="Avenir Book" w:cs="Times New Roman"/>
          <w:color w:val="auto"/>
          <w:sz w:val="22"/>
        </w:rPr>
        <w:t xml:space="preserve">The cattle population is predominantly of the trypanotolerant N’Dama breed, although the zebu-type Gobra and crosses of the N‟Dama and Gobra are also present. The small ruminant population comprises trypanotolerant Djallonke sheep and the West African Dwarf goats. </w:t>
      </w:r>
      <w:r w:rsidR="00A95BFE" w:rsidRPr="00B06331">
        <w:rPr>
          <w:rFonts w:ascii="Avenir Book" w:hAnsi="Avenir Book" w:cs="Times New Roman"/>
          <w:color w:val="auto"/>
          <w:sz w:val="22"/>
        </w:rPr>
        <w:t>However,</w:t>
      </w:r>
      <w:r w:rsidRPr="00B06331">
        <w:rPr>
          <w:rFonts w:ascii="Avenir Book" w:hAnsi="Avenir Book" w:cs="Times New Roman"/>
          <w:color w:val="auto"/>
          <w:sz w:val="22"/>
        </w:rPr>
        <w:t xml:space="preserve"> non-trypanotolerant Sahelian sheep and goats and their crosses with the local breeds also exist. </w:t>
      </w:r>
    </w:p>
    <w:p w:rsidR="003B3B17" w:rsidRPr="00B06331" w:rsidRDefault="003B3B17" w:rsidP="003B3B17">
      <w:pPr>
        <w:pStyle w:val="Default"/>
        <w:spacing w:line="276" w:lineRule="auto"/>
        <w:jc w:val="both"/>
        <w:rPr>
          <w:rFonts w:ascii="Avenir Book" w:hAnsi="Avenir Book" w:cs="Times New Roman"/>
          <w:color w:val="auto"/>
          <w:sz w:val="22"/>
        </w:rPr>
      </w:pPr>
    </w:p>
    <w:p w:rsidR="003B3B17" w:rsidRPr="00B06331" w:rsidRDefault="003B3B17" w:rsidP="003B3B17">
      <w:pPr>
        <w:pStyle w:val="Default"/>
        <w:spacing w:line="276" w:lineRule="auto"/>
        <w:jc w:val="both"/>
        <w:rPr>
          <w:rFonts w:ascii="Avenir Book" w:hAnsi="Avenir Book" w:cs="Times New Roman"/>
          <w:color w:val="auto"/>
          <w:sz w:val="22"/>
        </w:rPr>
      </w:pPr>
      <w:r w:rsidRPr="00B06331">
        <w:rPr>
          <w:rFonts w:ascii="Avenir Book" w:hAnsi="Avenir Book" w:cs="Times New Roman"/>
          <w:color w:val="auto"/>
          <w:sz w:val="22"/>
        </w:rPr>
        <w:t xml:space="preserve">Diversity of livestock resources is essential to the provision of diverse forms </w:t>
      </w:r>
      <w:r w:rsidR="00DA42B5" w:rsidRPr="00B06331">
        <w:rPr>
          <w:rFonts w:ascii="Avenir Book" w:hAnsi="Avenir Book" w:cs="Times New Roman"/>
          <w:color w:val="auto"/>
          <w:sz w:val="22"/>
        </w:rPr>
        <w:t xml:space="preserve">products </w:t>
      </w:r>
      <w:r w:rsidRPr="00B06331">
        <w:rPr>
          <w:rFonts w:ascii="Avenir Book" w:hAnsi="Avenir Book" w:cs="Times New Roman"/>
          <w:color w:val="auto"/>
          <w:sz w:val="22"/>
        </w:rPr>
        <w:t xml:space="preserve">of animal origin, income generation, and provision of draft power for crop production and transport. However, growing threats of genetic erosion of livestock species diversity caused by human activities resulting from destruction or alteration of ecosystems and habitats lead to extinction and endangering of livestock species and breeds. Conserving the diversity of the livestock species and breeds is part of the aims of the international Convention on Biological Diversity which the Gambia is a signatory party. However, </w:t>
      </w:r>
      <w:r w:rsidRPr="00B06331">
        <w:rPr>
          <w:rFonts w:ascii="Avenir Book" w:hAnsi="Avenir Book" w:cs="Times New Roman"/>
          <w:color w:val="auto"/>
          <w:sz w:val="22"/>
        </w:rPr>
        <w:lastRenderedPageBreak/>
        <w:t>The Gambia, like many other developing countries, has</w:t>
      </w:r>
      <w:r w:rsidR="00817965" w:rsidRPr="00B06331">
        <w:rPr>
          <w:rFonts w:ascii="Avenir Book" w:hAnsi="Avenir Book" w:cs="Times New Roman"/>
          <w:color w:val="auto"/>
          <w:sz w:val="22"/>
        </w:rPr>
        <w:t xml:space="preserve"> limited capacities to </w:t>
      </w:r>
      <w:r w:rsidR="00A95BFE" w:rsidRPr="00B06331">
        <w:rPr>
          <w:rFonts w:ascii="Avenir Book" w:hAnsi="Avenir Book" w:cs="Times New Roman"/>
          <w:color w:val="auto"/>
          <w:sz w:val="22"/>
        </w:rPr>
        <w:t>inventories</w:t>
      </w:r>
      <w:r w:rsidRPr="00B06331">
        <w:rPr>
          <w:rFonts w:ascii="Avenir Book" w:hAnsi="Avenir Book" w:cs="Times New Roman"/>
          <w:color w:val="auto"/>
          <w:sz w:val="22"/>
        </w:rPr>
        <w:t>, monitor, characterize, develop, sustainably utilize, and conserve our animal genetic resources.</w:t>
      </w:r>
    </w:p>
    <w:p w:rsidR="003B3B17" w:rsidRPr="00B06331" w:rsidRDefault="003B3B17" w:rsidP="003B3B17">
      <w:pPr>
        <w:pStyle w:val="Default"/>
        <w:spacing w:line="276" w:lineRule="auto"/>
        <w:jc w:val="both"/>
        <w:rPr>
          <w:rFonts w:ascii="Avenir Book" w:hAnsi="Avenir Book" w:cs="Times New Roman"/>
          <w:color w:val="auto"/>
          <w:sz w:val="22"/>
        </w:rPr>
      </w:pPr>
    </w:p>
    <w:p w:rsidR="003B3B17" w:rsidRPr="00B06331" w:rsidRDefault="003B3B17" w:rsidP="003B3B17">
      <w:pPr>
        <w:jc w:val="both"/>
        <w:rPr>
          <w:rFonts w:ascii="Avenir Book" w:hAnsi="Avenir Book"/>
          <w:szCs w:val="24"/>
        </w:rPr>
      </w:pPr>
      <w:r w:rsidRPr="00B06331">
        <w:rPr>
          <w:rFonts w:ascii="Avenir Book" w:hAnsi="Avenir Book"/>
          <w:szCs w:val="24"/>
        </w:rPr>
        <w:t xml:space="preserve">The feed resources available in The Gambia include forages from rangelands, crop residues and crop by-products. The rangelands are the main source of forage for most of the year but they are common property resources with open, uncontrolled access to both sedentary and migratory livestock herders. The rangelands provide adequate nutrition for ruminant livestock during the rainy season but the quality of the forages decreases greatly during dry season, at which time growth rates, body weights and milk yields are seriously affected. The extension of crop production due to human population increase is reducing the availability of natural grazing areas. The carrying capacity of the rangelands is often jeopardized by human activities such as uncontrolled exploitation, encroachment of cropland, persistent bushfires, and the lack of legislation or their enforcement. Restricted livestock access to pasture and water due to lack of stock routes causes conflicts between crop farmers and livestock herders during the cropping season. </w:t>
      </w:r>
    </w:p>
    <w:p w:rsidR="003B3B17" w:rsidRPr="00B06331" w:rsidRDefault="003B3B17" w:rsidP="003B3B17">
      <w:pPr>
        <w:pStyle w:val="Default"/>
        <w:spacing w:line="276" w:lineRule="auto"/>
        <w:jc w:val="both"/>
        <w:rPr>
          <w:rFonts w:ascii="Avenir Book" w:hAnsi="Avenir Book" w:cs="Times New Roman"/>
          <w:color w:val="auto"/>
          <w:sz w:val="22"/>
        </w:rPr>
      </w:pPr>
      <w:r w:rsidRPr="00B06331">
        <w:rPr>
          <w:rFonts w:ascii="Avenir Book" w:hAnsi="Avenir Book" w:cs="Times New Roman"/>
          <w:color w:val="auto"/>
          <w:sz w:val="22"/>
        </w:rPr>
        <w:t xml:space="preserve">Activities to improve and manage rangelands were initiated by the Mixed Farming Project in 1981 with the objective of increasing the availability of forage for livestock, particularly during the dry season. These activities involved fencing, reseeding and deferment of grazing for two years to allow good establishment. However, the prevailing land tenure system, the high cost of the technology (fencing, labour) and the high prevalence of bush fires during the dry season militated against the adoption of the innovation. Furthermore, the poor organizational capacities of the farmers have been a contributing factor to the operationalization of rangeland management activities. Government must therefore support diversified sustainable livestock production systems and at the same time promote sustainable natural resource management practices for broader community resilience to climate change by promoting adaptable community based livestock and rangeland management techniques. </w:t>
      </w:r>
    </w:p>
    <w:p w:rsidR="003B3B17" w:rsidRPr="00B06331" w:rsidRDefault="003B3B17" w:rsidP="003B3B17">
      <w:pPr>
        <w:pStyle w:val="Default"/>
        <w:spacing w:line="276" w:lineRule="auto"/>
        <w:jc w:val="both"/>
        <w:rPr>
          <w:rFonts w:ascii="Avenir Book" w:hAnsi="Avenir Book" w:cs="Times New Roman"/>
          <w:color w:val="auto"/>
          <w:sz w:val="22"/>
        </w:rPr>
      </w:pPr>
    </w:p>
    <w:p w:rsidR="003B3B17" w:rsidRPr="00B06331" w:rsidRDefault="003B3B17" w:rsidP="003B3B17">
      <w:pPr>
        <w:pStyle w:val="Default"/>
        <w:spacing w:line="276" w:lineRule="auto"/>
        <w:jc w:val="both"/>
        <w:rPr>
          <w:rFonts w:ascii="Avenir Book" w:hAnsi="Avenir Book" w:cs="Times New Roman"/>
          <w:color w:val="auto"/>
          <w:sz w:val="22"/>
        </w:rPr>
      </w:pPr>
      <w:r w:rsidRPr="00B06331">
        <w:rPr>
          <w:rFonts w:ascii="Avenir Book" w:hAnsi="Avenir Book" w:cs="Times New Roman"/>
          <w:color w:val="auto"/>
          <w:sz w:val="22"/>
        </w:rPr>
        <w:t>Farmers in the Gambia consider diseases of livestock as one of the major constraints inhibiting livestock production. Over the years, disease outbreaks hav</w:t>
      </w:r>
      <w:r w:rsidR="00DA42B5" w:rsidRPr="00B06331">
        <w:rPr>
          <w:rFonts w:ascii="Avenir Book" w:hAnsi="Avenir Book" w:cs="Times New Roman"/>
          <w:color w:val="auto"/>
          <w:sz w:val="22"/>
        </w:rPr>
        <w:t xml:space="preserve">e had devastating effects </w:t>
      </w:r>
      <w:r w:rsidR="00E87A16" w:rsidRPr="00B06331">
        <w:rPr>
          <w:rFonts w:ascii="Avenir Book" w:hAnsi="Avenir Book" w:cs="Times New Roman"/>
          <w:color w:val="auto"/>
          <w:sz w:val="22"/>
        </w:rPr>
        <w:t>on animal</w:t>
      </w:r>
      <w:r w:rsidRPr="00B06331">
        <w:rPr>
          <w:rFonts w:ascii="Avenir Book" w:hAnsi="Avenir Book" w:cs="Times New Roman"/>
          <w:color w:val="auto"/>
          <w:sz w:val="22"/>
        </w:rPr>
        <w:t xml:space="preserve"> population, resulting in a negative impact on both rural and national economies. This is evidenced by the recent outbreaks of Contagious Bovine Pleuropneumonia (CBPP) in cattle, Peste des Petits Ruminants (PPR) in small ruminants and Newcastle Disease (NCD) in rural poultry. Mortalities due to PPR and NCD could reach 40% in small ruminants and 90% in rural poultry, respectively.</w:t>
      </w:r>
    </w:p>
    <w:p w:rsidR="003B3B17" w:rsidRPr="00B06331" w:rsidRDefault="003B3B17" w:rsidP="003B3B17">
      <w:pPr>
        <w:pStyle w:val="Default"/>
        <w:spacing w:line="276" w:lineRule="auto"/>
        <w:jc w:val="both"/>
        <w:rPr>
          <w:rFonts w:ascii="Avenir Book" w:hAnsi="Avenir Book" w:cs="Times New Roman"/>
          <w:color w:val="auto"/>
          <w:sz w:val="22"/>
        </w:rPr>
      </w:pPr>
    </w:p>
    <w:p w:rsidR="003B3B17" w:rsidRPr="00B06331" w:rsidRDefault="003B3B17" w:rsidP="003B3B17">
      <w:pPr>
        <w:jc w:val="both"/>
        <w:rPr>
          <w:rFonts w:ascii="Avenir Book" w:hAnsi="Avenir Book"/>
          <w:szCs w:val="24"/>
        </w:rPr>
      </w:pPr>
      <w:r w:rsidRPr="00B06331">
        <w:rPr>
          <w:rFonts w:ascii="Avenir Book" w:hAnsi="Avenir Book"/>
          <w:szCs w:val="24"/>
        </w:rPr>
        <w:t>Under the PACE-Gambia project, an epidemio-surveillance network covering all parts of the country was established. The main objective of this network was to collect disease information for early warning and reaction. Vaccination programmes are pivotal in the control of many emergency animal diseases, but should be carefully planned and targeted to meet a well-defined objective. Well-planned, comprehensive vaccination programmes, supplemented by other disease control measures can go a long way towards eliminating many epidemic livestock diseases. This may be the strategy of choice in areas where large-scale eradication is unacceptable for one reason or another.</w:t>
      </w:r>
    </w:p>
    <w:p w:rsidR="003B3B17" w:rsidRPr="00B06331" w:rsidRDefault="003B3B17" w:rsidP="003B3B17">
      <w:pPr>
        <w:jc w:val="both"/>
        <w:rPr>
          <w:rFonts w:ascii="Avenir Book" w:hAnsi="Avenir Book"/>
          <w:szCs w:val="24"/>
        </w:rPr>
      </w:pPr>
      <w:r w:rsidRPr="00B06331">
        <w:rPr>
          <w:rFonts w:ascii="Avenir Book" w:hAnsi="Avenir Book"/>
          <w:szCs w:val="24"/>
        </w:rPr>
        <w:lastRenderedPageBreak/>
        <w:t>The poultry industry has a significant potential for income generation and employment creation for rural smallholders, women and youth, as well as for import substitution. But the transformation of the poultry sector from traditional to commercial requires a unique set of modern technologies, commercial inputs, institutional and policy innovations and coordinating mechanisms. The inadequate supply of feed, its poor quality and high cost are identified as major challenges to commercial poultry production in the country.</w:t>
      </w:r>
    </w:p>
    <w:p w:rsidR="003B3B17" w:rsidRPr="00B06331" w:rsidRDefault="003B3B17" w:rsidP="003B3B17">
      <w:pPr>
        <w:jc w:val="both"/>
        <w:rPr>
          <w:rFonts w:ascii="Avenir Book" w:hAnsi="Avenir Book"/>
          <w:szCs w:val="24"/>
        </w:rPr>
      </w:pPr>
      <w:r w:rsidRPr="00B06331">
        <w:rPr>
          <w:rFonts w:ascii="Avenir Book" w:hAnsi="Avenir Book"/>
          <w:szCs w:val="24"/>
        </w:rPr>
        <w:t>At present, domestic supply of all the locally manufactured feed does not meet the local demand of the poultry industry. Due to the inadequate and unreliable amount of feed produced in the country, 70% of poultry feed is imported from neighboring Senegal. For example, in 2014, the total production capacity of the four existing mills was estimated at 12,065 MT but only 1,441 MT was produced. Consequently, in the same year, a substantial amount of poultry feed was imported.</w:t>
      </w:r>
    </w:p>
    <w:p w:rsidR="003B3B17" w:rsidRPr="00B06331" w:rsidRDefault="003B3B17" w:rsidP="003B3B17">
      <w:pPr>
        <w:jc w:val="both"/>
        <w:rPr>
          <w:rFonts w:ascii="Avenir Book" w:hAnsi="Avenir Book"/>
          <w:szCs w:val="24"/>
        </w:rPr>
      </w:pPr>
      <w:r w:rsidRPr="00B06331">
        <w:rPr>
          <w:rFonts w:ascii="Avenir Book" w:hAnsi="Avenir Book"/>
          <w:szCs w:val="24"/>
        </w:rPr>
        <w:t>The poor quality of the locally produced feed currently available to the industry generates high production loss due to poor feed conversion and mortalities resulting in low returns on investment. An efficient feed mill industry that can produce regular and quality feed is crucial for a sustainable and viable poultry production enterprise.</w:t>
      </w:r>
    </w:p>
    <w:p w:rsidR="003B3B17" w:rsidRPr="00B06331" w:rsidRDefault="003B3B17" w:rsidP="003B3B17">
      <w:pPr>
        <w:spacing w:after="80"/>
        <w:jc w:val="both"/>
        <w:rPr>
          <w:rFonts w:ascii="Avenir Book" w:hAnsi="Avenir Book"/>
          <w:b/>
          <w:color w:val="365F91"/>
          <w:szCs w:val="24"/>
        </w:rPr>
      </w:pPr>
      <w:r w:rsidRPr="00B06331">
        <w:rPr>
          <w:rFonts w:ascii="Avenir Book" w:hAnsi="Avenir Book"/>
          <w:b/>
          <w:color w:val="365F91"/>
          <w:szCs w:val="24"/>
        </w:rPr>
        <w:t xml:space="preserve">Agricultural commercialization </w:t>
      </w:r>
    </w:p>
    <w:p w:rsidR="003B3B17" w:rsidRPr="00B06331" w:rsidRDefault="003B3B17" w:rsidP="003B3B17">
      <w:pPr>
        <w:tabs>
          <w:tab w:val="left" w:pos="720"/>
        </w:tabs>
        <w:spacing w:before="120" w:after="120"/>
        <w:jc w:val="both"/>
        <w:rPr>
          <w:rFonts w:ascii="Avenir Book" w:hAnsi="Avenir Book"/>
          <w:szCs w:val="24"/>
        </w:rPr>
      </w:pPr>
      <w:r w:rsidRPr="00B06331">
        <w:rPr>
          <w:rFonts w:ascii="Avenir Book" w:hAnsi="Avenir Book"/>
          <w:szCs w:val="24"/>
        </w:rPr>
        <w:t>The transformation from a predominantly subsistence to a commercial and diversified agriculture will significantly contribute to food and nutrition security in The Gambia. Presently, the low and unpredictable level of output induces price volatility that affects negatively net food buyers, especially the poor, and creates production and price risks that are unfavorable for increased investment.</w:t>
      </w:r>
    </w:p>
    <w:p w:rsidR="003B3B17" w:rsidRPr="00B06331" w:rsidRDefault="003B3B17" w:rsidP="003B3B17">
      <w:pPr>
        <w:tabs>
          <w:tab w:val="left" w:pos="720"/>
        </w:tabs>
        <w:spacing w:before="120" w:after="120"/>
        <w:jc w:val="both"/>
        <w:rPr>
          <w:rFonts w:ascii="Avenir Book" w:hAnsi="Avenir Book"/>
          <w:szCs w:val="24"/>
        </w:rPr>
      </w:pPr>
      <w:r w:rsidRPr="00B06331">
        <w:rPr>
          <w:rFonts w:ascii="Avenir Book" w:hAnsi="Avenir Book"/>
          <w:szCs w:val="24"/>
        </w:rPr>
        <w:t>Consequently, recovery and the progress of the agriculture sector hinges on resolving the myriad of challenges, whic</w:t>
      </w:r>
      <w:r w:rsidR="002920DE" w:rsidRPr="00B06331">
        <w:rPr>
          <w:rFonts w:ascii="Avenir Book" w:hAnsi="Avenir Book"/>
          <w:szCs w:val="24"/>
        </w:rPr>
        <w:t>h are summed up in Box 3.1</w:t>
      </w:r>
      <w:r w:rsidRPr="00B06331">
        <w:rPr>
          <w:rFonts w:ascii="Avenir Book" w:hAnsi="Avenir Book"/>
          <w:szCs w:val="24"/>
        </w:rPr>
        <w:t xml:space="preserve"> below.</w:t>
      </w:r>
    </w:p>
    <w:tbl>
      <w:tblPr>
        <w:tblStyle w:val="GridTable4-Accent12"/>
        <w:tblW w:w="0" w:type="auto"/>
        <w:tblLook w:val="04A0"/>
      </w:tblPr>
      <w:tblGrid>
        <w:gridCol w:w="9468"/>
      </w:tblGrid>
      <w:tr w:rsidR="003B3B17" w:rsidRPr="00B06331" w:rsidTr="003B3B17">
        <w:trPr>
          <w:cnfStyle w:val="100000000000"/>
        </w:trPr>
        <w:tc>
          <w:tcPr>
            <w:cnfStyle w:val="001000000000"/>
            <w:tcW w:w="9468" w:type="dxa"/>
            <w:hideMark/>
          </w:tcPr>
          <w:p w:rsidR="003B3B17" w:rsidRPr="00B06331" w:rsidRDefault="002920DE" w:rsidP="003B3B17">
            <w:pPr>
              <w:tabs>
                <w:tab w:val="left" w:pos="720"/>
              </w:tabs>
              <w:spacing w:before="120" w:after="120"/>
              <w:jc w:val="center"/>
              <w:rPr>
                <w:rFonts w:ascii="Avenir Book" w:hAnsi="Avenir Book"/>
                <w:szCs w:val="24"/>
                <w:lang w:val="en-GB"/>
              </w:rPr>
            </w:pPr>
            <w:r w:rsidRPr="00B06331">
              <w:rPr>
                <w:rFonts w:ascii="Avenir Book" w:hAnsi="Avenir Book"/>
                <w:szCs w:val="24"/>
                <w:lang w:val="en-GB"/>
              </w:rPr>
              <w:t>Box 3.1</w:t>
            </w:r>
            <w:r w:rsidR="003B3B17" w:rsidRPr="00B06331">
              <w:rPr>
                <w:rFonts w:ascii="Avenir Book" w:hAnsi="Avenir Book"/>
                <w:szCs w:val="24"/>
                <w:lang w:val="en-GB"/>
              </w:rPr>
              <w:t>: Barriers/Challenges to Agricultural Commercialization</w:t>
            </w:r>
          </w:p>
        </w:tc>
      </w:tr>
      <w:tr w:rsidR="003B3B17" w:rsidRPr="00B06331" w:rsidTr="003B3B17">
        <w:trPr>
          <w:cnfStyle w:val="000000100000"/>
        </w:trPr>
        <w:tc>
          <w:tcPr>
            <w:cnfStyle w:val="001000000000"/>
            <w:tcW w:w="9468" w:type="dxa"/>
            <w:hideMark/>
          </w:tcPr>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Several factors continued to hinder private sector involvement in agriculture. These include (i) restrictions on trade (for example long-standing ban on the import of onions and other vegetables) and harassment of traders (especially in the many industries where the former president had businesses), (ii) trade logistics and transport constraints, (iii) lack of access to credit, and (iv) deficiencies in market information systems.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Agricultural inputs and machinery:  Inadequate and timely availability of agricultural machinery and inputs including fertilizer, improved seeds and pesticides are major constraint to production and productivity. Although liberalized, the practice of direct procurement and uncoordinated distribution of fertilizer and seeds by the Government and donor-funded projects and the fixing of input prices has prevented the emergence of viable private sector suppliers.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Agricultural value addition: high cost and unreliable electricity supply, limited access to affordable finance as well as low and inconsistent supply of primary commodities and inadequate infrastructure</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Marketing: marketing of domestic produce is hampered by issues of quality and standards as well as quantity particularly for groundnut, fruits and vegetables, meat and meat products.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 xml:space="preserve">Women Farmers: Despite their crucial contribution to farming and food production, women farmers face a range of challenges - difficulty accessing inputs and extension services (access to knowledge and </w:t>
            </w:r>
            <w:r w:rsidRPr="00B06331">
              <w:rPr>
                <w:rFonts w:ascii="Avenir Book" w:hAnsi="Avenir Book"/>
                <w:b w:val="0"/>
                <w:szCs w:val="22"/>
              </w:rPr>
              <w:lastRenderedPageBreak/>
              <w:t>technology) as well as mechanisms that guarantee equal participation in decision-making. The greatest challenge facing women is access to land, even though the issue has been addressed in the Women’s Act 2010.</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Research and Extension Services -To optimize its potentials for improved and climate resilient varieties, appropriate production and post-harvest technologies, the National Research System must overcome its operational challenges due to lack of equipment and funds to cover operating costs. The extension service, including the “mixed farming centers faces similar constraints. There is no viable farmer’s training center, and the current extension model (“Village Level Service Delivery”) has a very low worker to farmer ratio (1: to more than 3,500). It is estimated that no more than 12% of farmers have access to extension services.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Livestock:  is also constrained by inadequate access to veterinary services, feed and watering points, and a poor marketing environment that dissuades private sector participation. Resources and support required to facilitate a vibrant sector is inadequate. Rapidly depleting feed stocks as a result of growing incursions on natural habitat and graze lands by competing interests is also a challenge.</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 xml:space="preserve">Transport and Infrastructure:  inadequate transport and market infrastructure, low density and poor road networks resulting in high transportation cost, post-harvest losses and animal welfare issues are impediments to the commercialization of agriculture. </w:t>
            </w:r>
            <w:r w:rsidR="00E87A16" w:rsidRPr="00B06331">
              <w:rPr>
                <w:rFonts w:ascii="Avenir Book" w:hAnsi="Avenir Book"/>
                <w:b w:val="0"/>
                <w:szCs w:val="22"/>
              </w:rPr>
              <w:t>Similarly,</w:t>
            </w:r>
            <w:r w:rsidRPr="00B06331">
              <w:rPr>
                <w:rFonts w:ascii="Avenir Book" w:hAnsi="Avenir Book"/>
                <w:b w:val="0"/>
                <w:szCs w:val="22"/>
              </w:rPr>
              <w:t xml:space="preserve"> unreliable energy, and limited warehouses, cold storage, and spot market facilities are major obstacles to efficient product aggregation and post-harvest value addition that would create incentive for increased investment in productivity-enhancing technologies and in agribusiness.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b w:val="0"/>
                <w:szCs w:val="22"/>
              </w:rPr>
            </w:pPr>
            <w:r w:rsidRPr="00B06331">
              <w:rPr>
                <w:rFonts w:ascii="Avenir Book" w:hAnsi="Avenir Book"/>
                <w:b w:val="0"/>
                <w:szCs w:val="22"/>
              </w:rPr>
              <w:t>Climate Change- Increased frequency and severity of climate-related hazards are having a noticeable impact on the performance of the Gambian agriculture and economy. Since 2010, The Gambia experienced (i) droughts (2011, 2014, and 2015 to a lesser extent) that repeatedly prevented crops from maturing, and (ii) devastating floods and winds storms (2012 and 2016) leading to loss of lives and destruction of crops and food reserves in affected areas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sz w:val="22"/>
                <w:szCs w:val="22"/>
              </w:rPr>
            </w:pPr>
            <w:r w:rsidRPr="00B06331">
              <w:rPr>
                <w:rFonts w:ascii="Avenir Book" w:hAnsi="Avenir Book"/>
                <w:b w:val="0"/>
                <w:szCs w:val="22"/>
              </w:rPr>
              <w:t>The Fisheries challenges appear to lie both in the management of fisheries (involving fish resources, fishing activities including illegal fisheries) and in the post-harvest handling of catches.</w:t>
            </w:r>
          </w:p>
        </w:tc>
      </w:tr>
    </w:tbl>
    <w:p w:rsidR="003B3B17" w:rsidRPr="00B06331" w:rsidRDefault="003B3B17" w:rsidP="003B3B17">
      <w:pPr>
        <w:pStyle w:val="ListParagraph"/>
        <w:tabs>
          <w:tab w:val="left" w:pos="720"/>
        </w:tabs>
        <w:spacing w:before="120" w:after="120"/>
        <w:jc w:val="both"/>
        <w:rPr>
          <w:rFonts w:ascii="Avenir Book" w:hAnsi="Avenir Book"/>
        </w:rPr>
      </w:pPr>
    </w:p>
    <w:p w:rsidR="003B3B17" w:rsidRPr="00B06331" w:rsidRDefault="003B3B17" w:rsidP="00031906">
      <w:pPr>
        <w:rPr>
          <w:b/>
        </w:rPr>
      </w:pPr>
      <w:r w:rsidRPr="00B06331">
        <w:rPr>
          <w:b/>
        </w:rPr>
        <w:t>Overall Conclusion</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The Gambia has an agricultural resource base that could catalyze rapid growth and transformation, provided the necessary policies and programmes are in place and effectively implemented. The country has the highest rainfall average among Sahelian countries, 43% of its arable land is still u</w:t>
      </w:r>
      <w:r w:rsidR="001953F9" w:rsidRPr="00B06331">
        <w:rPr>
          <w:rFonts w:ascii="Avenir Book" w:hAnsi="Avenir Book"/>
        </w:rPr>
        <w:t>nexploited and presently, only 6</w:t>
      </w:r>
      <w:r w:rsidRPr="00B06331">
        <w:rPr>
          <w:rFonts w:ascii="Avenir Book" w:hAnsi="Avenir Book"/>
        </w:rPr>
        <w:t xml:space="preserve">% of the arable land is under irrigation. </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To transform this potential into sustained agricultural growth, decisive actions addressing the following will be required:  </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rPr>
      </w:pPr>
      <w:r w:rsidRPr="00B06331">
        <w:rPr>
          <w:rFonts w:ascii="Avenir Book" w:hAnsi="Avenir Book"/>
        </w:rPr>
        <w:t>An updated sector policy to create an enabling environment for a private sector-led agricultural growth and transformation;</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rPr>
      </w:pPr>
      <w:r w:rsidRPr="00B06331">
        <w:rPr>
          <w:rFonts w:ascii="Avenir Book" w:hAnsi="Avenir Book"/>
        </w:rPr>
        <w:t xml:space="preserve">Sustainable intensification of crop and livestock production (irrigation, mechanization, timely availability of quality inputs, animal feed and vaccines, markets, </w:t>
      </w:r>
      <w:r w:rsidR="00E87A16" w:rsidRPr="00B06331">
        <w:rPr>
          <w:rFonts w:ascii="Avenir Book" w:hAnsi="Avenir Book"/>
        </w:rPr>
        <w:t>etc.</w:t>
      </w:r>
      <w:r w:rsidRPr="00B06331">
        <w:rPr>
          <w:rFonts w:ascii="Avenir Book" w:hAnsi="Avenir Book"/>
        </w:rPr>
        <w:t>; and</w:t>
      </w:r>
    </w:p>
    <w:p w:rsidR="00135C1E" w:rsidRPr="00B06331" w:rsidRDefault="003B3B17" w:rsidP="00135C1E">
      <w:pPr>
        <w:pStyle w:val="ListParagraph"/>
        <w:numPr>
          <w:ilvl w:val="0"/>
          <w:numId w:val="101"/>
        </w:numPr>
        <w:tabs>
          <w:tab w:val="left" w:pos="720"/>
        </w:tabs>
        <w:spacing w:before="120" w:after="120"/>
        <w:jc w:val="both"/>
        <w:rPr>
          <w:rFonts w:ascii="Avenir Book" w:hAnsi="Avenir Book"/>
        </w:rPr>
      </w:pPr>
      <w:r w:rsidRPr="00B06331">
        <w:rPr>
          <w:rFonts w:ascii="Avenir Book" w:hAnsi="Avenir Book"/>
        </w:rPr>
        <w:t>An enabling business environment for commercial agriculture and agribusiness.</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lastRenderedPageBreak/>
        <w:t>Implementing these and other reforms would boost productivity, ensure diversification, build resilience, and ensure that the country achieves an annual a</w:t>
      </w:r>
      <w:r w:rsidR="00135C1E" w:rsidRPr="00B06331">
        <w:rPr>
          <w:rFonts w:ascii="Avenir Book" w:hAnsi="Avenir Book"/>
        </w:rPr>
        <w:t xml:space="preserve">gricultural growth rate of 6%. </w:t>
      </w:r>
      <w:r w:rsidRPr="00B06331">
        <w:rPr>
          <w:rFonts w:ascii="Avenir Book" w:hAnsi="Avenir Book"/>
        </w:rPr>
        <w:t>Achieving sustained growth of agricultural productivity will have several benefits at different levels:</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rPr>
      </w:pPr>
      <w:r w:rsidRPr="00B06331">
        <w:rPr>
          <w:rFonts w:ascii="Avenir Book" w:hAnsi="Avenir Book"/>
        </w:rPr>
        <w:t>Direct benefits to most of the poor and indirect benefits for the rest of the population in terms of access to food;</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rPr>
      </w:pPr>
      <w:r w:rsidRPr="00B06331">
        <w:rPr>
          <w:rFonts w:ascii="Avenir Book" w:hAnsi="Avenir Book"/>
        </w:rPr>
        <w:t>Lower bill of food imports; and</w:t>
      </w:r>
    </w:p>
    <w:p w:rsidR="003B3B17" w:rsidRPr="00B06331" w:rsidRDefault="003B3B17" w:rsidP="004143E3">
      <w:pPr>
        <w:pStyle w:val="ListParagraph"/>
        <w:numPr>
          <w:ilvl w:val="0"/>
          <w:numId w:val="101"/>
        </w:numPr>
        <w:tabs>
          <w:tab w:val="left" w:pos="720"/>
        </w:tabs>
        <w:spacing w:before="120" w:after="120"/>
        <w:jc w:val="both"/>
        <w:rPr>
          <w:rFonts w:ascii="Avenir Book" w:hAnsi="Avenir Book"/>
        </w:rPr>
      </w:pPr>
      <w:r w:rsidRPr="00B06331">
        <w:rPr>
          <w:rFonts w:ascii="Avenir Book" w:hAnsi="Avenir Book"/>
        </w:rPr>
        <w:t>Enhanced food and nutritional security of the most vulnerable – children and pregnant mothers and consequently reduced infant and maternal mortality.</w:t>
      </w:r>
    </w:p>
    <w:p w:rsidR="003B3B17" w:rsidRPr="00B06331" w:rsidRDefault="003B3B17" w:rsidP="003B3B17">
      <w:pPr>
        <w:spacing w:after="80"/>
        <w:jc w:val="both"/>
        <w:rPr>
          <w:rFonts w:ascii="Avenir Book" w:hAnsi="Avenir Book"/>
          <w:b/>
          <w:color w:val="365F91"/>
          <w:szCs w:val="24"/>
        </w:rPr>
      </w:pPr>
    </w:p>
    <w:p w:rsidR="003B3B17" w:rsidRPr="00B06331" w:rsidRDefault="00031906" w:rsidP="00031906">
      <w:pPr>
        <w:pStyle w:val="Heading3"/>
        <w:rPr>
          <w:rFonts w:asciiTheme="minorHAnsi" w:hAnsiTheme="minorHAnsi" w:cstheme="minorHAnsi"/>
          <w:b/>
          <w:sz w:val="22"/>
        </w:rPr>
      </w:pPr>
      <w:bookmarkStart w:id="59" w:name="_Toc492364740"/>
      <w:r w:rsidRPr="00B06331">
        <w:rPr>
          <w:rFonts w:asciiTheme="minorHAnsi" w:hAnsiTheme="minorHAnsi" w:cstheme="minorHAnsi"/>
          <w:b/>
          <w:sz w:val="22"/>
        </w:rPr>
        <w:t>3.3.2 Fisheries</w:t>
      </w:r>
      <w:bookmarkEnd w:id="59"/>
    </w:p>
    <w:p w:rsidR="00031906" w:rsidRPr="00B06331" w:rsidRDefault="00031906" w:rsidP="003B3B17">
      <w:pPr>
        <w:jc w:val="both"/>
        <w:rPr>
          <w:rFonts w:ascii="Avenir Book" w:hAnsi="Avenir Book"/>
        </w:rPr>
      </w:pPr>
    </w:p>
    <w:p w:rsidR="003B3B17" w:rsidRPr="00B06331" w:rsidRDefault="003B3B17" w:rsidP="003B3B17">
      <w:pPr>
        <w:jc w:val="both"/>
        <w:rPr>
          <w:rFonts w:ascii="Avenir Book" w:hAnsi="Avenir Book"/>
        </w:rPr>
      </w:pPr>
      <w:r w:rsidRPr="00B06331">
        <w:rPr>
          <w:rFonts w:ascii="Avenir Book" w:hAnsi="Avenir Book"/>
        </w:rPr>
        <w:t xml:space="preserve">The Gambia is endowed with rich fish resources both in the ocean </w:t>
      </w:r>
      <w:r w:rsidR="00135C1E" w:rsidRPr="00B06331">
        <w:rPr>
          <w:rFonts w:ascii="Avenir Book" w:hAnsi="Avenir Book"/>
        </w:rPr>
        <w:t>and in the river Gambia. A</w:t>
      </w:r>
      <w:r w:rsidRPr="00B06331">
        <w:rPr>
          <w:rFonts w:ascii="Avenir Book" w:hAnsi="Avenir Book"/>
        </w:rPr>
        <w:t xml:space="preserve"> well-managed fisheries sector can generate surplus (resource rents) from the natural fish resources, which can in turn be invested back into the economy in terms of exports, foreign exchange earnings and income revenues, as well as the provisio</w:t>
      </w:r>
      <w:r w:rsidR="00135C1E" w:rsidRPr="00B06331">
        <w:rPr>
          <w:rFonts w:ascii="Avenir Book" w:hAnsi="Avenir Book"/>
        </w:rPr>
        <w:t xml:space="preserve">n of jobs. </w:t>
      </w:r>
      <w:r w:rsidRPr="00B06331">
        <w:rPr>
          <w:rFonts w:ascii="Avenir Book" w:hAnsi="Avenir Book"/>
        </w:rPr>
        <w:t>Fisheries and aquaculture are natural capital that are important in The Gambia and can provide benefits in perpetuity to the economy and the population; and estuaries that sup</w:t>
      </w:r>
      <w:r w:rsidR="00135C1E" w:rsidRPr="00B06331">
        <w:rPr>
          <w:rFonts w:ascii="Avenir Book" w:hAnsi="Avenir Book"/>
        </w:rPr>
        <w:t>port wildlife and biodiversity.</w:t>
      </w:r>
      <w:r w:rsidRPr="00B06331">
        <w:rPr>
          <w:rFonts w:ascii="Avenir Book" w:hAnsi="Avenir Book"/>
        </w:rPr>
        <w:t xml:space="preserve">The fisheries industry value chain shares largely overlapping interests with that of tourism industry– from the fish resources in the waters to the final consumption of fish products. In general, identifying potential investment linkages between fisheries and other industries is useful so that synergies can be leveraged for generating larger results with limited resources. The same could be said for its linkages with social protection especially its small-scale commercial fishers. </w:t>
      </w:r>
    </w:p>
    <w:p w:rsidR="003B3B17" w:rsidRPr="00B06331" w:rsidRDefault="003B3B17" w:rsidP="003B3B17">
      <w:pPr>
        <w:jc w:val="both"/>
        <w:rPr>
          <w:rFonts w:ascii="Avenir Book" w:hAnsi="Avenir Book"/>
        </w:rPr>
      </w:pPr>
      <w:r w:rsidRPr="00B06331">
        <w:rPr>
          <w:rFonts w:ascii="Avenir Book" w:hAnsi="Avenir Book"/>
        </w:rPr>
        <w:t xml:space="preserve">However, as in many other coastal states, the country does not achieve the maximum sustainable benefits from its fisheries resources. Challenges appear to lie both in the management of fisheries (involving fish resources and fishing activities) and in the post-harvest handling of catches. On the one hand, the future availability of fish resources is uncertain given the lack of knowledge of the current state of fish stocks and the inadequate access control to fishing (including the prevalence of illegal fishing). On the other hand, a lot of the value of fish caught in the Gambian waters is lost due to poor post-harvest handling. The value also escapes the country due to a lack of proper measures to trace the trade in fish products and fisheries-related services. </w:t>
      </w:r>
    </w:p>
    <w:p w:rsidR="003B3B17" w:rsidRPr="00B06331" w:rsidRDefault="003B3B17" w:rsidP="003B3B17">
      <w:pPr>
        <w:jc w:val="both"/>
        <w:rPr>
          <w:rFonts w:ascii="Avenir Book" w:hAnsi="Avenir Book"/>
        </w:rPr>
      </w:pPr>
      <w:r w:rsidRPr="00B06331">
        <w:rPr>
          <w:rFonts w:ascii="Avenir Book" w:hAnsi="Avenir Book"/>
        </w:rPr>
        <w:t xml:space="preserve">Industrial fishing for local processing has nearly collapsed, and exports have plummeted due to increased illegal fishing, poor surveillance of the fisheries resources in the high seas, unsustainable number of commercial fishing licenses, declining landed catches, high cost of energy needed for processing, and the Gambia’s inability to comply with stringent sanitary and phyto-sanitary requirements in the EU market. The fisheries sector faces additional challenges, </w:t>
      </w:r>
      <w:r w:rsidR="00E87A16" w:rsidRPr="00B06331">
        <w:rPr>
          <w:rFonts w:ascii="Avenir Book" w:hAnsi="Avenir Book"/>
        </w:rPr>
        <w:t>including</w:t>
      </w:r>
      <w:r w:rsidRPr="00B06331">
        <w:rPr>
          <w:rFonts w:ascii="Avenir Book" w:hAnsi="Avenir Book"/>
        </w:rPr>
        <w:t xml:space="preserve"> high attrition rate of trained and skilled workers, limited access to funding for the sustainable provision of adequate raw materials, a relatively small output making it difficult for the sector to make a mark on any market, while energy costs associated with the sector are very high and unpredictable.</w:t>
      </w:r>
    </w:p>
    <w:p w:rsidR="003B3B17" w:rsidRPr="00B06331" w:rsidRDefault="003B3B17" w:rsidP="003B3B17">
      <w:pPr>
        <w:jc w:val="both"/>
        <w:rPr>
          <w:rFonts w:ascii="Avenir Book" w:hAnsi="Avenir Book"/>
        </w:rPr>
      </w:pPr>
      <w:r w:rsidRPr="00B06331">
        <w:rPr>
          <w:rFonts w:ascii="Avenir Book" w:hAnsi="Avenir Book"/>
        </w:rPr>
        <w:lastRenderedPageBreak/>
        <w:t>Additional challenges include:</w:t>
      </w:r>
    </w:p>
    <w:p w:rsidR="003B3B17" w:rsidRPr="00B06331" w:rsidRDefault="003B3B17" w:rsidP="004143E3">
      <w:pPr>
        <w:pStyle w:val="ListParagraph"/>
        <w:numPr>
          <w:ilvl w:val="0"/>
          <w:numId w:val="87"/>
        </w:numPr>
        <w:spacing w:after="0"/>
        <w:contextualSpacing w:val="0"/>
        <w:jc w:val="both"/>
        <w:rPr>
          <w:rFonts w:ascii="Avenir Book" w:hAnsi="Avenir Book"/>
        </w:rPr>
      </w:pPr>
      <w:r w:rsidRPr="00B06331">
        <w:rPr>
          <w:rFonts w:ascii="Avenir Book" w:hAnsi="Avenir Book"/>
        </w:rPr>
        <w:t>Incomprehensive and incoherent legal and policy framework that does not recognize fisheries and aquaculture as an economic resource with established systems for its full exploitation;</w:t>
      </w:r>
    </w:p>
    <w:p w:rsidR="003B3B17" w:rsidRPr="00B06331" w:rsidRDefault="003B3B17" w:rsidP="004143E3">
      <w:pPr>
        <w:pStyle w:val="ListParagraph"/>
        <w:numPr>
          <w:ilvl w:val="0"/>
          <w:numId w:val="87"/>
        </w:numPr>
        <w:spacing w:after="0"/>
        <w:contextualSpacing w:val="0"/>
        <w:jc w:val="both"/>
        <w:rPr>
          <w:rFonts w:ascii="Avenir Book" w:hAnsi="Avenir Book"/>
        </w:rPr>
      </w:pPr>
      <w:r w:rsidRPr="00B06331">
        <w:rPr>
          <w:rFonts w:ascii="Avenir Book" w:hAnsi="Avenir Book"/>
        </w:rPr>
        <w:t>Absence of a dedicated and deep water fishing port, well-equipped fishing  jetty and inadequate repair and maintenance services;</w:t>
      </w:r>
    </w:p>
    <w:p w:rsidR="003B3B17" w:rsidRPr="00B06331" w:rsidRDefault="003B3B17" w:rsidP="004143E3">
      <w:pPr>
        <w:pStyle w:val="ListParagraph"/>
        <w:numPr>
          <w:ilvl w:val="0"/>
          <w:numId w:val="87"/>
        </w:numPr>
        <w:spacing w:after="0"/>
        <w:contextualSpacing w:val="0"/>
        <w:jc w:val="both"/>
        <w:rPr>
          <w:rFonts w:ascii="Avenir Book" w:hAnsi="Avenir Book"/>
        </w:rPr>
      </w:pPr>
      <w:r w:rsidRPr="00B06331">
        <w:rPr>
          <w:rFonts w:ascii="Avenir Book" w:hAnsi="Avenir Book"/>
        </w:rPr>
        <w:t>Domination of the fishing sector by Non-Gambians including ownership of fishing vessels, processing plants and the landing of most Gambian fish and processing outside of the country. This is due to the negative public image particularly among the youth about fishing;</w:t>
      </w:r>
    </w:p>
    <w:p w:rsidR="003B3B17" w:rsidRPr="00B06331" w:rsidRDefault="003B3B17" w:rsidP="004143E3">
      <w:pPr>
        <w:pStyle w:val="ListParagraph"/>
        <w:numPr>
          <w:ilvl w:val="0"/>
          <w:numId w:val="87"/>
        </w:numPr>
        <w:spacing w:after="0"/>
        <w:contextualSpacing w:val="0"/>
        <w:jc w:val="both"/>
        <w:rPr>
          <w:rFonts w:ascii="Avenir Book" w:hAnsi="Avenir Book"/>
        </w:rPr>
      </w:pPr>
      <w:r w:rsidRPr="00B06331">
        <w:rPr>
          <w:rFonts w:ascii="Avenir Book" w:hAnsi="Avenir Book"/>
        </w:rPr>
        <w:t>Inadequate empowerment of women who are the main players in the artisanal fishing industry;</w:t>
      </w:r>
    </w:p>
    <w:p w:rsidR="003B3B17" w:rsidRPr="00B06331" w:rsidRDefault="003B3B17" w:rsidP="004143E3">
      <w:pPr>
        <w:pStyle w:val="ListParagraph"/>
        <w:numPr>
          <w:ilvl w:val="0"/>
          <w:numId w:val="87"/>
        </w:numPr>
        <w:spacing w:after="0"/>
        <w:contextualSpacing w:val="0"/>
        <w:jc w:val="both"/>
        <w:rPr>
          <w:rFonts w:ascii="Avenir Book" w:hAnsi="Avenir Book"/>
        </w:rPr>
      </w:pPr>
      <w:r w:rsidRPr="00B06331">
        <w:rPr>
          <w:rFonts w:ascii="Avenir Book" w:hAnsi="Avenir Book"/>
        </w:rPr>
        <w:t>High vulnerability of the fisheries sector to climate change and natural disasters and increased pressure on marine resources due to over exploitation and population growth factors;</w:t>
      </w:r>
    </w:p>
    <w:p w:rsidR="003B3B17" w:rsidRPr="00B06331" w:rsidRDefault="003B3B17" w:rsidP="004143E3">
      <w:pPr>
        <w:pStyle w:val="ListParagraph"/>
        <w:numPr>
          <w:ilvl w:val="0"/>
          <w:numId w:val="87"/>
        </w:numPr>
        <w:spacing w:after="0"/>
        <w:contextualSpacing w:val="0"/>
        <w:jc w:val="both"/>
        <w:rPr>
          <w:rFonts w:ascii="Avenir Book" w:hAnsi="Avenir Book"/>
        </w:rPr>
      </w:pPr>
      <w:r w:rsidRPr="00B06331">
        <w:rPr>
          <w:rFonts w:ascii="Avenir Book" w:hAnsi="Avenir Book"/>
        </w:rPr>
        <w:t>High cost of inputs such as fuel, energy and the scarcity of fishing materials in the country;</w:t>
      </w:r>
    </w:p>
    <w:p w:rsidR="003B3B17" w:rsidRPr="00B06331" w:rsidRDefault="003B3B17" w:rsidP="004143E3">
      <w:pPr>
        <w:pStyle w:val="ListParagraph"/>
        <w:numPr>
          <w:ilvl w:val="0"/>
          <w:numId w:val="87"/>
        </w:numPr>
        <w:contextualSpacing w:val="0"/>
        <w:jc w:val="both"/>
        <w:rPr>
          <w:rFonts w:ascii="Avenir Book" w:hAnsi="Avenir Book"/>
        </w:rPr>
      </w:pPr>
      <w:r w:rsidRPr="00B06331">
        <w:rPr>
          <w:rFonts w:ascii="Avenir Book" w:hAnsi="Avenir Book"/>
        </w:rPr>
        <w:t>Damages to lucrative fish species by predator species.</w:t>
      </w:r>
    </w:p>
    <w:p w:rsidR="003B3B17" w:rsidRPr="00B06331" w:rsidRDefault="003B3B17" w:rsidP="003B3B17">
      <w:pPr>
        <w:jc w:val="both"/>
        <w:rPr>
          <w:rFonts w:ascii="Avenir Book" w:hAnsi="Avenir Book"/>
        </w:rPr>
      </w:pPr>
      <w:r w:rsidRPr="00B06331">
        <w:rPr>
          <w:rFonts w:ascii="Avenir Book" w:hAnsi="Avenir Book"/>
        </w:rPr>
        <w:t xml:space="preserve">Furthermore, the engagement of private sector is weak in the fishery sector compared to cash-crop agriculture especially relating to post-harvest processes such as refrigeration (e.g. use of ice on board and post landing), transport, processing, certification of product attributes (e.g. production processes, origins, food safety), and marketing (e.g. search for better buyers). These are inherently private economic activities, and the role of government is to ensure the adequacy of physical, institutional, and financial infrastructure (enabling conditions) for the private actors to engage in these activities for creating larger values from given catch levels. </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Despite the foregoing, the sector has great potential and is an area where The Gambia has comparative advantage. Therefore, the sector will be an important part of the national quest for economic transformation and addressing poverty. </w:t>
      </w:r>
    </w:p>
    <w:p w:rsidR="003B3B17" w:rsidRPr="00B06331" w:rsidRDefault="003B3B17" w:rsidP="003B3B17">
      <w:pPr>
        <w:spacing w:after="0"/>
        <w:jc w:val="both"/>
        <w:rPr>
          <w:rFonts w:ascii="Avenir Book" w:hAnsi="Avenir Book"/>
        </w:rPr>
      </w:pPr>
      <w:r w:rsidRPr="00B06331">
        <w:rPr>
          <w:rFonts w:ascii="Avenir Book" w:hAnsi="Avenir Book"/>
        </w:rPr>
        <w:t>The key opportunities for the fisheries sector in The Gambia include the fact that several development partners are present and working in areas, such as, capture fisheries management, mangrove habitat restoration, and aquaculture development. While synchronizing these activities scattered across the country would require a lot of coordination effort, clear understanding of division of work among partners would allow avoidance of effort duplication, and collaboration in effort could reinforce the anticipated results. The West Africa Regional Fisheries Project (WARFP), expected to be implemented soon, will yield immense benefits.</w:t>
      </w:r>
    </w:p>
    <w:p w:rsidR="003B3B17" w:rsidRPr="00B06331" w:rsidRDefault="003B3B17" w:rsidP="003B3B17">
      <w:pPr>
        <w:spacing w:after="0"/>
        <w:jc w:val="both"/>
        <w:rPr>
          <w:rFonts w:ascii="Avenir Book" w:hAnsi="Avenir Book"/>
        </w:rPr>
      </w:pPr>
    </w:p>
    <w:p w:rsidR="003B3B17" w:rsidRPr="00B06331" w:rsidRDefault="003B3B17" w:rsidP="001929BE">
      <w:pPr>
        <w:spacing w:after="0"/>
        <w:jc w:val="both"/>
        <w:rPr>
          <w:rFonts w:ascii="Avenir Book" w:hAnsi="Avenir Book"/>
        </w:rPr>
      </w:pPr>
      <w:r w:rsidRPr="00B06331">
        <w:rPr>
          <w:rFonts w:ascii="Avenir Book" w:hAnsi="Avenir Book"/>
        </w:rPr>
        <w:t xml:space="preserve">Another area where the Gambian fisheries have an advantage is the development of co-management systems in fisheries thanks to earlier donor-funded projects. Given the existence of working models developed for the sole and shellfish fisheries, The Gambia has the foundation for decentralized fisheries management where community members play large and active roles. Expanding/replicating such models and ensuring the durability of such </w:t>
      </w:r>
      <w:r w:rsidR="00E87A16" w:rsidRPr="00B06331">
        <w:rPr>
          <w:rFonts w:ascii="Avenir Book" w:hAnsi="Avenir Book"/>
        </w:rPr>
        <w:t>systems,</w:t>
      </w:r>
      <w:r w:rsidRPr="00B06331">
        <w:rPr>
          <w:rFonts w:ascii="Avenir Book" w:hAnsi="Avenir Book"/>
        </w:rPr>
        <w:t xml:space="preserve"> (in particular achieving independence of external assistance) would expand the geographical and species coverage of fisheries management.</w:t>
      </w:r>
      <w:bookmarkStart w:id="60" w:name="_Toc488689303"/>
    </w:p>
    <w:p w:rsidR="00FE5C36" w:rsidRPr="00B06331" w:rsidRDefault="00FE5C36" w:rsidP="001929BE">
      <w:pPr>
        <w:spacing w:after="0"/>
        <w:jc w:val="both"/>
        <w:rPr>
          <w:rFonts w:ascii="Avenir Book" w:hAnsi="Avenir Book"/>
        </w:rPr>
      </w:pPr>
    </w:p>
    <w:p w:rsidR="003B3B17" w:rsidRPr="00B06331" w:rsidRDefault="003B3B17" w:rsidP="00BC1302">
      <w:pPr>
        <w:pStyle w:val="Heading2"/>
        <w:rPr>
          <w:rFonts w:asciiTheme="minorHAnsi" w:hAnsiTheme="minorHAnsi" w:cstheme="minorHAnsi"/>
          <w:sz w:val="22"/>
          <w:szCs w:val="22"/>
        </w:rPr>
      </w:pPr>
      <w:bookmarkStart w:id="61" w:name="_Toc492364741"/>
      <w:r w:rsidRPr="00B06331">
        <w:rPr>
          <w:rFonts w:asciiTheme="minorHAnsi" w:hAnsiTheme="minorHAnsi" w:cstheme="minorHAnsi"/>
          <w:sz w:val="22"/>
          <w:szCs w:val="22"/>
        </w:rPr>
        <w:lastRenderedPageBreak/>
        <w:t>3.</w:t>
      </w:r>
      <w:r w:rsidRPr="00B06331">
        <w:rPr>
          <w:rFonts w:asciiTheme="minorHAnsi" w:hAnsiTheme="minorHAnsi" w:cstheme="minorHAnsi"/>
          <w:sz w:val="22"/>
          <w:szCs w:val="22"/>
          <w:lang w:val="en-US"/>
        </w:rPr>
        <w:t>5</w:t>
      </w:r>
      <w:r w:rsidRPr="00B06331">
        <w:rPr>
          <w:rFonts w:asciiTheme="minorHAnsi" w:hAnsiTheme="minorHAnsi" w:cstheme="minorHAnsi"/>
          <w:sz w:val="22"/>
          <w:szCs w:val="22"/>
        </w:rPr>
        <w:t xml:space="preserve"> Tourism &amp; Culture</w:t>
      </w:r>
      <w:bookmarkEnd w:id="60"/>
      <w:bookmarkEnd w:id="61"/>
    </w:p>
    <w:p w:rsidR="003B3B17" w:rsidRPr="00B06331" w:rsidRDefault="003B3B17" w:rsidP="003B3B17">
      <w:pPr>
        <w:tabs>
          <w:tab w:val="left" w:pos="720"/>
        </w:tabs>
        <w:spacing w:after="240"/>
        <w:jc w:val="both"/>
        <w:rPr>
          <w:rFonts w:ascii="Avenir Book" w:eastAsia="Cambria" w:hAnsi="Avenir Book"/>
          <w:szCs w:val="24"/>
        </w:rPr>
      </w:pPr>
      <w:r w:rsidRPr="00B06331">
        <w:rPr>
          <w:rFonts w:ascii="Avenir Book" w:eastAsia="Cambria" w:hAnsi="Avenir Book"/>
          <w:szCs w:val="24"/>
        </w:rPr>
        <w:t>The tourism industry is a major contributor to t</w:t>
      </w:r>
      <w:r w:rsidR="00355000" w:rsidRPr="00B06331">
        <w:rPr>
          <w:rFonts w:ascii="Avenir Book" w:eastAsia="Cambria" w:hAnsi="Avenir Book"/>
          <w:szCs w:val="24"/>
        </w:rPr>
        <w:t>he national economy accounting for</w:t>
      </w:r>
      <w:r w:rsidRPr="00B06331">
        <w:rPr>
          <w:rFonts w:ascii="Avenir Book" w:eastAsia="Cambria" w:hAnsi="Avenir Book"/>
          <w:szCs w:val="24"/>
        </w:rPr>
        <w:t xml:space="preserve"> 12% - 16% of Gross Domestic Product (GDP), supporting over 35,000 direct and 40,000 indirect jobs, and generating US$ 85 million in foreign exchange earnings (Tourism, Culture, and Hospitality Strategy Plan, 2015-2020). It has attracted US$ 45 million in foreign investment over the last 5 years while also providing the necessary air cargo opportunities to support the development of some of The Gambia’s other sub sectors such as shellfish, horticulture, and other international business activities. Tourism has a catalytic role in accelerating growth and employment opportunities (along the value chain) to improve the welfare of the population. </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 xml:space="preserve">Over the past years, The Gambia achieved steady growth (9% compared to SSA average of 5%) (UNWTO) in tourist arrivals until 2013 when the outbreak of Ebola in some neighboring countries, caused a 9.1% decline of tourist arrivals from 171,200 in 2013 to 155,592, effectively setting back the 2020 target of achieving half a million arrivals. It must be noted that this growth is attributed to increased arrivals from countries such as Netherlands, Spain, Nigeria, and Poland as a new source markets. </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The key achievements registered under the PAGE period are:</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b/>
          <w:szCs w:val="24"/>
        </w:rPr>
        <w:t>Diversifying and improving the products-</w:t>
      </w:r>
      <w:r w:rsidRPr="00B06331">
        <w:rPr>
          <w:rFonts w:ascii="Avenir Book" w:eastAsia="Cambria" w:hAnsi="Avenir Book"/>
          <w:szCs w:val="24"/>
        </w:rPr>
        <w:t xml:space="preserve"> introduction of a number of new products and initiatives aimed at complementing the 3s (sun, sea, and sand); </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b/>
          <w:szCs w:val="24"/>
        </w:rPr>
        <w:t>Marketing and Promotion of destination Gambia-</w:t>
      </w:r>
      <w:r w:rsidRPr="00B06331">
        <w:rPr>
          <w:rFonts w:ascii="Avenir Book" w:eastAsia="Cambria" w:hAnsi="Avenir Book"/>
          <w:szCs w:val="24"/>
        </w:rPr>
        <w:t xml:space="preserve"> a series of marketing and promotional activities were undertaken to increase the destination’s footprint in new and old source markets;</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b/>
          <w:szCs w:val="24"/>
        </w:rPr>
        <w:t>Investment Promotion-</w:t>
      </w:r>
      <w:r w:rsidRPr="00B06331">
        <w:rPr>
          <w:rFonts w:ascii="Avenir Book" w:eastAsia="Cambria" w:hAnsi="Avenir Book"/>
          <w:szCs w:val="24"/>
        </w:rPr>
        <w:t>several initiatives were undertaken to attract more investors including free</w:t>
      </w:r>
      <w:r w:rsidR="00E87A16" w:rsidRPr="00B06331">
        <w:rPr>
          <w:rFonts w:ascii="Avenir Book" w:eastAsia="Cambria" w:hAnsi="Avenir Book"/>
          <w:szCs w:val="24"/>
        </w:rPr>
        <w:t xml:space="preserve"> land allocation within the TDA,</w:t>
      </w:r>
      <w:r w:rsidRPr="00B06331">
        <w:rPr>
          <w:rFonts w:ascii="Avenir Book" w:eastAsia="Cambria" w:hAnsi="Avenir Book"/>
          <w:szCs w:val="24"/>
        </w:rPr>
        <w:t xml:space="preserve"> Special Incentive Certificates (SICs) such as Tax holidays, and the organization of an international investment forum. As a result, 5 new outlets were added to the existing tourism establishments. </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b/>
          <w:szCs w:val="24"/>
        </w:rPr>
        <w:t>Product quality and services standards -</w:t>
      </w:r>
      <w:r w:rsidRPr="00B06331">
        <w:rPr>
          <w:rFonts w:ascii="Avenir Book" w:eastAsia="Cambria" w:hAnsi="Avenir Book"/>
          <w:szCs w:val="24"/>
        </w:rPr>
        <w:t xml:space="preserve"> The Quality and Enforcement department continued to tighten regulatory standards while the establishment of The Gambia Tourism Hospitality Institute (GTHI) which is pursuing a regional center of excellence status continued to provide human capacity training to serve the tourism industry. </w:t>
      </w:r>
    </w:p>
    <w:p w:rsidR="003B3B17" w:rsidRPr="00B06331" w:rsidRDefault="003B3B17" w:rsidP="003B3B17">
      <w:pPr>
        <w:tabs>
          <w:tab w:val="left" w:pos="720"/>
        </w:tabs>
        <w:spacing w:after="0"/>
        <w:ind w:left="720"/>
        <w:jc w:val="both"/>
        <w:rPr>
          <w:rFonts w:ascii="Avenir Book" w:eastAsia="Cambria" w:hAnsi="Avenir Book"/>
          <w:szCs w:val="24"/>
        </w:rPr>
      </w:pP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 xml:space="preserve">To consolidate these gains, the sector needs to improve its competitiveness and address the supply side constraints that continue to stifle growth. Tourism in The Gambia faces competition from other destinations that offer higher quality infrastructure, a more diversified product mix and lower prices. Low cost airlines make European destinations more attractive and coupled with the ease of booking offered by internets, travelers are more inclined to widen their options and experiences. Lack of diversity in the number of activities available to tourist in The Gambia is thus a major drawback limiting growth in the sector (World Bank 2015). In addition, these competing destinations provide higher quality hotels and more reliable public infrastructure such as electricity, telecommunications, and </w:t>
      </w:r>
      <w:r w:rsidRPr="00B06331">
        <w:rPr>
          <w:rFonts w:ascii="Avenir Book" w:eastAsia="Cambria" w:hAnsi="Avenir Book"/>
          <w:szCs w:val="24"/>
        </w:rPr>
        <w:lastRenderedPageBreak/>
        <w:t>better roads. Thus, quality of hotel facilities has emerged as perhaps the biggest challenge facing the industry with very little investment in 5-star hotels (the Cocoa Ocean Resort &amp; Spa being the last one, built in 2009).</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 xml:space="preserve">Presently Gambia‘s comparative advantage is the relative short, good weather, English speaking populace, cheap prices, and peace and stability. Despite these, the Gambia lacks the diversity and quality to attract non-tour operator tourists, thus rendering the industry vulnerable to low negotiated room rates, which coupled with high cost of imports and electricity price, leave hoteliers with low profit margins. This result permeates the sector’s vicious cycle, i.e., low profit means low investments in facilities which translates into low quality service delivery, which takes it, back to an uncompetitive tourism product. </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To overcome this challenge, the determinants relating to (i) destination recognition/attractiveness; (ii) product qual</w:t>
      </w:r>
      <w:r w:rsidR="00337D1F" w:rsidRPr="00B06331">
        <w:rPr>
          <w:rFonts w:ascii="Avenir Book" w:eastAsia="Cambria" w:hAnsi="Avenir Book"/>
          <w:szCs w:val="24"/>
        </w:rPr>
        <w:t>ity; (iii) product diversity;</w:t>
      </w:r>
      <w:r w:rsidR="00E87A16" w:rsidRPr="00B06331">
        <w:rPr>
          <w:rFonts w:ascii="Avenir Book" w:eastAsia="Cambria" w:hAnsi="Avenir Book"/>
          <w:szCs w:val="24"/>
        </w:rPr>
        <w:t xml:space="preserve"> (iv)</w:t>
      </w:r>
      <w:r w:rsidRPr="00B06331">
        <w:rPr>
          <w:rFonts w:ascii="Avenir Book" w:eastAsia="Cambria" w:hAnsi="Avenir Book"/>
          <w:szCs w:val="24"/>
        </w:rPr>
        <w:t>limited air access and reliance on tour operators</w:t>
      </w:r>
      <w:r w:rsidR="00337D1F" w:rsidRPr="00B06331">
        <w:rPr>
          <w:rFonts w:ascii="Avenir Book" w:eastAsia="Cambria" w:hAnsi="Avenir Book"/>
          <w:szCs w:val="24"/>
        </w:rPr>
        <w:t xml:space="preserve">; </w:t>
      </w:r>
      <w:r w:rsidR="00355000" w:rsidRPr="00B06331">
        <w:rPr>
          <w:rFonts w:ascii="Avenir Book" w:eastAsia="Cambria" w:hAnsi="Avenir Book"/>
          <w:szCs w:val="24"/>
        </w:rPr>
        <w:t xml:space="preserve">(v) security; </w:t>
      </w:r>
      <w:r w:rsidR="00337D1F" w:rsidRPr="00B06331">
        <w:rPr>
          <w:rFonts w:ascii="Avenir Book" w:eastAsia="Cambria" w:hAnsi="Avenir Book"/>
          <w:szCs w:val="24"/>
        </w:rPr>
        <w:t>and (v</w:t>
      </w:r>
      <w:r w:rsidR="00355000" w:rsidRPr="00B06331">
        <w:rPr>
          <w:rFonts w:ascii="Avenir Book" w:eastAsia="Cambria" w:hAnsi="Avenir Book"/>
          <w:szCs w:val="24"/>
        </w:rPr>
        <w:t>i</w:t>
      </w:r>
      <w:r w:rsidR="00337D1F" w:rsidRPr="00B06331">
        <w:rPr>
          <w:rFonts w:ascii="Avenir Book" w:eastAsia="Cambria" w:hAnsi="Avenir Book"/>
          <w:szCs w:val="24"/>
        </w:rPr>
        <w:t>) the environment</w:t>
      </w:r>
      <w:r w:rsidRPr="00B06331">
        <w:rPr>
          <w:rFonts w:ascii="Avenir Book" w:eastAsia="Cambria" w:hAnsi="Avenir Book"/>
          <w:szCs w:val="24"/>
        </w:rPr>
        <w:t xml:space="preserve"> must be addressed. </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Destination recognition/attractiveness</w:t>
      </w:r>
      <w:r w:rsidRPr="00B06331">
        <w:rPr>
          <w:rFonts w:ascii="Avenir Book" w:eastAsia="Cambria" w:hAnsi="Avenir Book"/>
          <w:szCs w:val="24"/>
        </w:rPr>
        <w:t>: the sector lacks the wherewithal to undertake an effective promotion that will attract more tourists with increased spending power. Beyond its first-tier market, the Gambia is relatively unknown. Marketing efforts should determine primary and secondary target markets and focus on extending the current season and emphasizing the diversity of The Gambia.</w:t>
      </w:r>
      <w:r w:rsidR="00337D1F" w:rsidRPr="00B06331">
        <w:rPr>
          <w:rFonts w:ascii="Avenir Book" w:eastAsia="Cambria" w:hAnsi="Avenir Book"/>
          <w:szCs w:val="24"/>
        </w:rPr>
        <w:t xml:space="preserve"> It is also true that for </w:t>
      </w:r>
      <w:r w:rsidR="00264C5A" w:rsidRPr="00B06331">
        <w:rPr>
          <w:rFonts w:ascii="Avenir Book" w:eastAsia="Cambria" w:hAnsi="Avenir Book"/>
          <w:szCs w:val="24"/>
        </w:rPr>
        <w:t>the proper marketing of destination Gambia there is an urgent need to support partners – by creating pro-tourism incentives in favo</w:t>
      </w:r>
      <w:r w:rsidR="00355000" w:rsidRPr="00B06331">
        <w:rPr>
          <w:rFonts w:ascii="Avenir Book" w:eastAsia="Cambria" w:hAnsi="Avenir Book"/>
          <w:szCs w:val="24"/>
        </w:rPr>
        <w:t>r of tour operators such as joint</w:t>
      </w:r>
      <w:r w:rsidR="00264C5A" w:rsidRPr="00B06331">
        <w:rPr>
          <w:rFonts w:ascii="Avenir Book" w:eastAsia="Cambria" w:hAnsi="Avenir Book"/>
          <w:szCs w:val="24"/>
        </w:rPr>
        <w:t xml:space="preserve"> marketing, easing of operational costs and the creation of special incentives schemes. Presently, tourism marketing is done on an ad hoc basis and could benefit immensely from comprehensive and jointly formulated rolling plans spanning over the short, medium, and long terms</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Product quality</w:t>
      </w:r>
      <w:r w:rsidR="00817965" w:rsidRPr="00B06331">
        <w:rPr>
          <w:rFonts w:ascii="Avenir Book" w:eastAsia="Cambria" w:hAnsi="Avenir Book"/>
          <w:szCs w:val="24"/>
        </w:rPr>
        <w:t xml:space="preserve">: </w:t>
      </w:r>
      <w:r w:rsidRPr="00B06331">
        <w:rPr>
          <w:rFonts w:ascii="Avenir Book" w:eastAsia="Cambria" w:hAnsi="Avenir Book"/>
          <w:szCs w:val="24"/>
        </w:rPr>
        <w:t>While some progress has been registered on standard</w:t>
      </w:r>
      <w:r w:rsidR="00355000" w:rsidRPr="00B06331">
        <w:rPr>
          <w:rFonts w:ascii="Avenir Book" w:eastAsia="Cambria" w:hAnsi="Avenir Book"/>
          <w:szCs w:val="24"/>
        </w:rPr>
        <w:t>s</w:t>
      </w:r>
      <w:r w:rsidR="00817965" w:rsidRPr="00B06331">
        <w:rPr>
          <w:rFonts w:ascii="Avenir Book" w:eastAsia="Cambria" w:hAnsi="Avenir Book"/>
          <w:szCs w:val="24"/>
        </w:rPr>
        <w:t xml:space="preserve">, </w:t>
      </w:r>
      <w:r w:rsidRPr="00B06331">
        <w:rPr>
          <w:rFonts w:ascii="Avenir Book" w:eastAsia="Cambria" w:hAnsi="Avenir Book"/>
          <w:szCs w:val="24"/>
        </w:rPr>
        <w:t xml:space="preserve">more </w:t>
      </w:r>
      <w:r w:rsidR="00817965" w:rsidRPr="00B06331">
        <w:rPr>
          <w:rFonts w:ascii="Avenir Book" w:eastAsia="Cambria" w:hAnsi="Avenir Book"/>
          <w:szCs w:val="24"/>
        </w:rPr>
        <w:t>effort is required</w:t>
      </w:r>
      <w:r w:rsidRPr="00B06331">
        <w:rPr>
          <w:rFonts w:ascii="Avenir Book" w:eastAsia="Cambria" w:hAnsi="Avenir Book"/>
          <w:szCs w:val="24"/>
        </w:rPr>
        <w:t xml:space="preserve"> to attract larger tour operators and high budget tourists. The contribution of the Gambia Tourism and Hospitality Institute is esse</w:t>
      </w:r>
      <w:r w:rsidR="00817965" w:rsidRPr="00B06331">
        <w:rPr>
          <w:rFonts w:ascii="Avenir Book" w:eastAsia="Cambria" w:hAnsi="Avenir Book"/>
          <w:szCs w:val="24"/>
        </w:rPr>
        <w:t xml:space="preserve">ntial and must be driven by </w:t>
      </w:r>
      <w:r w:rsidRPr="00B06331">
        <w:rPr>
          <w:rFonts w:ascii="Avenir Book" w:eastAsia="Cambria" w:hAnsi="Avenir Book"/>
          <w:szCs w:val="24"/>
        </w:rPr>
        <w:t xml:space="preserve">quality intakes, </w:t>
      </w:r>
      <w:r w:rsidR="00674DFF" w:rsidRPr="00B06331">
        <w:rPr>
          <w:rFonts w:ascii="Avenir Book" w:eastAsia="Cambria" w:hAnsi="Avenir Book"/>
          <w:szCs w:val="24"/>
        </w:rPr>
        <w:t>good facilities and</w:t>
      </w:r>
      <w:r w:rsidR="00817965" w:rsidRPr="00B06331">
        <w:rPr>
          <w:rFonts w:ascii="Avenir Book" w:eastAsia="Cambria" w:hAnsi="Avenir Book"/>
          <w:szCs w:val="24"/>
        </w:rPr>
        <w:t xml:space="preserve">strong </w:t>
      </w:r>
      <w:r w:rsidRPr="00B06331">
        <w:rPr>
          <w:rFonts w:ascii="Avenir Book" w:eastAsia="Cambria" w:hAnsi="Avenir Book"/>
          <w:szCs w:val="24"/>
        </w:rPr>
        <w:t>curriculum</w:t>
      </w:r>
      <w:r w:rsidR="00817965" w:rsidRPr="00B06331">
        <w:rPr>
          <w:rFonts w:ascii="Avenir Book" w:eastAsia="Cambria" w:hAnsi="Avenir Book"/>
          <w:szCs w:val="24"/>
        </w:rPr>
        <w:t>accompanied by hands on training anchored in</w:t>
      </w:r>
      <w:r w:rsidRPr="00B06331">
        <w:rPr>
          <w:rFonts w:ascii="Avenir Book" w:eastAsia="Cambria" w:hAnsi="Avenir Book"/>
          <w:szCs w:val="24"/>
        </w:rPr>
        <w:t xml:space="preserve"> best practices. D</w:t>
      </w:r>
      <w:r w:rsidR="00817965" w:rsidRPr="00B06331">
        <w:rPr>
          <w:rFonts w:ascii="Avenir Book" w:eastAsia="Cambria" w:hAnsi="Avenir Book"/>
          <w:szCs w:val="24"/>
        </w:rPr>
        <w:t>ue to high cost of borrowing</w:t>
      </w:r>
      <w:r w:rsidRPr="00B06331">
        <w:rPr>
          <w:rFonts w:ascii="Avenir Book" w:eastAsia="Cambria" w:hAnsi="Avenir Book"/>
          <w:szCs w:val="24"/>
        </w:rPr>
        <w:t xml:space="preserve"> to upgrade facilities, hoteliers have resorted to innovative financial mechanisms with tour operators who in return get preferential access to the facilities. The high co</w:t>
      </w:r>
      <w:r w:rsidR="00817965" w:rsidRPr="00B06331">
        <w:rPr>
          <w:rFonts w:ascii="Avenir Book" w:eastAsia="Cambria" w:hAnsi="Avenir Book"/>
          <w:szCs w:val="24"/>
        </w:rPr>
        <w:t>st of electricity and its</w:t>
      </w:r>
      <w:r w:rsidRPr="00B06331">
        <w:rPr>
          <w:rFonts w:ascii="Avenir Book" w:eastAsia="Cambria" w:hAnsi="Avenir Book"/>
          <w:szCs w:val="24"/>
        </w:rPr>
        <w:t xml:space="preserve"> unreliability </w:t>
      </w:r>
      <w:r w:rsidR="005A572B" w:rsidRPr="00B06331">
        <w:rPr>
          <w:rFonts w:ascii="Avenir Book" w:eastAsia="Cambria" w:hAnsi="Avenir Book"/>
          <w:szCs w:val="24"/>
        </w:rPr>
        <w:t xml:space="preserve">requires back-up </w:t>
      </w:r>
      <w:r w:rsidRPr="00B06331">
        <w:rPr>
          <w:rFonts w:ascii="Avenir Book" w:eastAsia="Cambria" w:hAnsi="Avenir Book"/>
          <w:szCs w:val="24"/>
        </w:rPr>
        <w:t xml:space="preserve">generators, which eats into the </w:t>
      </w:r>
      <w:r w:rsidR="005A572B" w:rsidRPr="00B06331">
        <w:rPr>
          <w:rFonts w:ascii="Avenir Book" w:eastAsia="Cambria" w:hAnsi="Avenir Book"/>
          <w:szCs w:val="24"/>
        </w:rPr>
        <w:t>profit of hoteliers resulting in an</w:t>
      </w:r>
      <w:r w:rsidRPr="00B06331">
        <w:rPr>
          <w:rFonts w:ascii="Avenir Book" w:eastAsia="Cambria" w:hAnsi="Avenir Book"/>
          <w:szCs w:val="24"/>
        </w:rPr>
        <w:t xml:space="preserve"> inability to invest. </w:t>
      </w:r>
      <w:r w:rsidR="00264C5A" w:rsidRPr="00B06331">
        <w:rPr>
          <w:rFonts w:ascii="Avenir Book" w:eastAsia="Cambria" w:hAnsi="Avenir Book"/>
          <w:szCs w:val="24"/>
        </w:rPr>
        <w:t>In addition, the need to mainstream quality in tourism cannot be over-emphasized given the shift in focus of modern day tourism, which is oriented towards quality and value for money coupled with emphasis on new holiday ideas that conform to changing life styles, robust technological trends and all the necessary concomitant effects on the hospitality industry. To this end, the constant lack of connectivity in our hotels is therefore a major threat to exploiting these potentials and customer satisfaction. Reliable internet services is an indispensable reality in this day and age and is vital to make guests feel at home and connect with the world while on vacation in the smiling coast.</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Product diversit</w:t>
      </w:r>
      <w:r w:rsidRPr="00B06331">
        <w:rPr>
          <w:rFonts w:ascii="Avenir Book" w:eastAsia="Cambria" w:hAnsi="Avenir Book"/>
          <w:szCs w:val="24"/>
        </w:rPr>
        <w:t xml:space="preserve">y: </w:t>
      </w:r>
      <w:r w:rsidR="005A572B" w:rsidRPr="00B06331">
        <w:rPr>
          <w:rFonts w:ascii="Avenir Book" w:eastAsia="Cambria" w:hAnsi="Avenir Book"/>
          <w:szCs w:val="24"/>
        </w:rPr>
        <w:t xml:space="preserve">the lack of diversity </w:t>
      </w:r>
      <w:r w:rsidRPr="00B06331">
        <w:rPr>
          <w:rFonts w:ascii="Avenir Book" w:eastAsia="Cambria" w:hAnsi="Avenir Book"/>
          <w:szCs w:val="24"/>
        </w:rPr>
        <w:t xml:space="preserve">has implications for </w:t>
      </w:r>
      <w:r w:rsidR="005A572B" w:rsidRPr="00B06331">
        <w:rPr>
          <w:rFonts w:ascii="Avenir Book" w:eastAsia="Cambria" w:hAnsi="Avenir Book"/>
          <w:szCs w:val="24"/>
        </w:rPr>
        <w:t>tourism spending, attracting new markets,</w:t>
      </w:r>
      <w:r w:rsidRPr="00B06331">
        <w:rPr>
          <w:rFonts w:ascii="Avenir Book" w:eastAsia="Cambria" w:hAnsi="Avenir Book"/>
          <w:szCs w:val="24"/>
        </w:rPr>
        <w:t xml:space="preserve"> involvement of communities </w:t>
      </w:r>
      <w:r w:rsidR="005A572B" w:rsidRPr="00B06331">
        <w:rPr>
          <w:rFonts w:ascii="Avenir Book" w:eastAsia="Cambria" w:hAnsi="Avenir Book"/>
          <w:szCs w:val="24"/>
        </w:rPr>
        <w:t xml:space="preserve">and </w:t>
      </w:r>
      <w:r w:rsidRPr="00B06331">
        <w:rPr>
          <w:rFonts w:ascii="Avenir Book" w:eastAsia="Cambria" w:hAnsi="Avenir Book"/>
          <w:szCs w:val="24"/>
        </w:rPr>
        <w:t xml:space="preserve">promotion of the Gambia’s cultural heritage. </w:t>
      </w:r>
      <w:r w:rsidRPr="00B06331">
        <w:rPr>
          <w:rFonts w:ascii="Avenir Book" w:eastAsia="Cambria" w:hAnsi="Avenir Book"/>
          <w:szCs w:val="24"/>
        </w:rPr>
        <w:lastRenderedPageBreak/>
        <w:t>Developing nature-based tourism products will attract market segments that are interested in traveling to The Gambia outside the main season.</w:t>
      </w:r>
      <w:r w:rsidR="00613F74" w:rsidRPr="00B06331">
        <w:rPr>
          <w:rFonts w:ascii="Avenir Book" w:eastAsia="Cambria" w:hAnsi="Avenir Book"/>
          <w:szCs w:val="24"/>
        </w:rPr>
        <w:t xml:space="preserve"> While the ferry services are the main conduit for linking tourists to the northern half of The Gambia that host significant tourist attractions its reliability, speed of operations and cleanliness must be addressed to avoid it dissuading tourists from using it. The ferry services is a major ingredient in pursuing the quest for product diversity and moving tourists from the current concentration in the urban areas to rural Gambia and our rich cultural heritage and biodiversity. Furthermore, the majestic River Gambia’s potential for cruising, fishing and bird watching and its expected contribution to product diversification and inclusive tourism is not being fully harnessed. It is worthy to mention that the thrust for diversification and product quality will require inter-sector collaboration to address constraints that lie outside the mandate of the tourism sector, such as the crumbling river transport infrastructure, bad </w:t>
      </w:r>
      <w:r w:rsidR="000E23F9" w:rsidRPr="00B06331">
        <w:rPr>
          <w:rFonts w:ascii="Avenir Book" w:eastAsia="Cambria" w:hAnsi="Avenir Book"/>
          <w:szCs w:val="24"/>
        </w:rPr>
        <w:t>roads,</w:t>
      </w:r>
      <w:r w:rsidR="00613F74" w:rsidRPr="00B06331">
        <w:rPr>
          <w:rFonts w:ascii="Avenir Book" w:eastAsia="Cambria" w:hAnsi="Avenir Book"/>
          <w:szCs w:val="24"/>
        </w:rPr>
        <w:t xml:space="preserve"> and lack of social amenities - e.g. in Juffureh, which is a major tourist attraction local in rural north bank of Gambia.  </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Limited air access and reliance on tour operators</w:t>
      </w:r>
      <w:r w:rsidRPr="00B06331">
        <w:rPr>
          <w:rFonts w:ascii="Avenir Book" w:eastAsia="Cambria" w:hAnsi="Avenir Book"/>
          <w:szCs w:val="24"/>
        </w:rPr>
        <w:t>:</w:t>
      </w:r>
      <w:r w:rsidR="005A572B" w:rsidRPr="00B06331">
        <w:rPr>
          <w:rFonts w:ascii="Avenir Book" w:eastAsia="Cambria" w:hAnsi="Avenir Book"/>
          <w:szCs w:val="24"/>
        </w:rPr>
        <w:t xml:space="preserve"> this </w:t>
      </w:r>
      <w:r w:rsidRPr="00B06331">
        <w:rPr>
          <w:rFonts w:ascii="Avenir Book" w:eastAsia="Cambria" w:hAnsi="Avenir Book"/>
          <w:szCs w:val="24"/>
        </w:rPr>
        <w:t xml:space="preserve">is not helping to make the Gambia competitive. The Ebola scare in West Africa (The Gambia did not have any incidence of Ebola) also curtailed the number of flights. There is need for </w:t>
      </w:r>
      <w:r w:rsidR="005A572B" w:rsidRPr="00B06331">
        <w:rPr>
          <w:rFonts w:ascii="Avenir Book" w:eastAsia="Cambria" w:hAnsi="Avenir Book"/>
          <w:szCs w:val="24"/>
        </w:rPr>
        <w:t xml:space="preserve">more </w:t>
      </w:r>
      <w:r w:rsidRPr="00B06331">
        <w:rPr>
          <w:rFonts w:ascii="Avenir Book" w:eastAsia="Cambria" w:hAnsi="Avenir Book"/>
          <w:szCs w:val="24"/>
        </w:rPr>
        <w:t>scheduled flights to accommodate non-package travelers and off-season travel. Improvements al</w:t>
      </w:r>
      <w:r w:rsidR="005A572B" w:rsidRPr="00B06331">
        <w:rPr>
          <w:rFonts w:ascii="Avenir Book" w:eastAsia="Cambria" w:hAnsi="Avenir Book"/>
          <w:szCs w:val="24"/>
        </w:rPr>
        <w:t>so have positive implications such as</w:t>
      </w:r>
      <w:r w:rsidRPr="00B06331">
        <w:rPr>
          <w:rFonts w:ascii="Avenir Book" w:eastAsia="Cambria" w:hAnsi="Avenir Book"/>
          <w:szCs w:val="24"/>
        </w:rPr>
        <w:t xml:space="preserve"> attracting </w:t>
      </w:r>
      <w:r w:rsidR="005A572B" w:rsidRPr="00B06331">
        <w:rPr>
          <w:rFonts w:ascii="Avenir Book" w:eastAsia="Cambria" w:hAnsi="Avenir Book"/>
          <w:szCs w:val="24"/>
        </w:rPr>
        <w:t xml:space="preserve">tourists to Gambia </w:t>
      </w:r>
      <w:r w:rsidRPr="00B06331">
        <w:rPr>
          <w:rFonts w:ascii="Avenir Book" w:eastAsia="Cambria" w:hAnsi="Avenir Book"/>
          <w:szCs w:val="24"/>
        </w:rPr>
        <w:t xml:space="preserve">due to security concerns in other destinations. </w:t>
      </w:r>
    </w:p>
    <w:p w:rsidR="003B3B17" w:rsidRPr="00B06331" w:rsidRDefault="003B3B17" w:rsidP="004143E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Linkages between the tourism sector and local agricultural suppliers</w:t>
      </w:r>
      <w:r w:rsidR="000E23F9" w:rsidRPr="00B06331">
        <w:rPr>
          <w:rFonts w:ascii="Avenir Book" w:eastAsia="Cambria" w:hAnsi="Avenir Book"/>
          <w:i/>
          <w:szCs w:val="24"/>
        </w:rPr>
        <w:t>:</w:t>
      </w:r>
      <w:r w:rsidR="00674DFF" w:rsidRPr="00B06331">
        <w:rPr>
          <w:rFonts w:ascii="Avenir Book" w:eastAsia="Cambria" w:hAnsi="Avenir Book"/>
          <w:szCs w:val="24"/>
        </w:rPr>
        <w:t>This area</w:t>
      </w:r>
      <w:r w:rsidR="005A572B" w:rsidRPr="00B06331">
        <w:rPr>
          <w:rFonts w:ascii="Avenir Book" w:eastAsia="Cambria" w:hAnsi="Avenir Book"/>
          <w:szCs w:val="24"/>
        </w:rPr>
        <w:t xml:space="preserve"> needs strengthening</w:t>
      </w:r>
      <w:r w:rsidRPr="00B06331">
        <w:rPr>
          <w:rFonts w:ascii="Avenir Book" w:eastAsia="Cambria" w:hAnsi="Avenir Book"/>
          <w:szCs w:val="24"/>
        </w:rPr>
        <w:t>. Gambian farmers currently supply 50 percent of all produce to the tourism sector, while the</w:t>
      </w:r>
      <w:r w:rsidR="005A572B" w:rsidRPr="00B06331">
        <w:rPr>
          <w:rFonts w:ascii="Avenir Book" w:eastAsia="Cambria" w:hAnsi="Avenir Book"/>
          <w:szCs w:val="24"/>
        </w:rPr>
        <w:t xml:space="preserve"> remainder is imported. Expanding</w:t>
      </w:r>
      <w:r w:rsidRPr="00B06331">
        <w:rPr>
          <w:rFonts w:ascii="Avenir Book" w:eastAsia="Cambria" w:hAnsi="Avenir Book"/>
          <w:szCs w:val="24"/>
        </w:rPr>
        <w:t xml:space="preserve"> the current variety of produce and </w:t>
      </w:r>
      <w:r w:rsidR="005A572B" w:rsidRPr="00B06331">
        <w:rPr>
          <w:rFonts w:ascii="Avenir Book" w:eastAsia="Cambria" w:hAnsi="Avenir Book"/>
          <w:szCs w:val="24"/>
        </w:rPr>
        <w:t xml:space="preserve">lengthening </w:t>
      </w:r>
      <w:r w:rsidRPr="00B06331">
        <w:rPr>
          <w:rFonts w:ascii="Avenir Book" w:eastAsia="Cambria" w:hAnsi="Avenir Book"/>
          <w:szCs w:val="24"/>
        </w:rPr>
        <w:t xml:space="preserve">the farming cycle can help increase the share of domestically-sourced produce. Marketing The Gambia as a destination for </w:t>
      </w:r>
      <w:r w:rsidR="005A572B" w:rsidRPr="00B06331">
        <w:rPr>
          <w:rFonts w:ascii="Avenir Book" w:eastAsia="Cambria" w:hAnsi="Avenir Book"/>
          <w:szCs w:val="24"/>
        </w:rPr>
        <w:t>fresh, locally-grown produce would</w:t>
      </w:r>
      <w:r w:rsidRPr="00B06331">
        <w:rPr>
          <w:rFonts w:ascii="Avenir Book" w:eastAsia="Cambria" w:hAnsi="Avenir Book"/>
          <w:szCs w:val="24"/>
        </w:rPr>
        <w:t xml:space="preserve"> help strengthen the linkages between tourism and agriculture and differentiate the country from the competition.</w:t>
      </w:r>
      <w:r w:rsidRPr="00B06331">
        <w:rPr>
          <w:rFonts w:ascii="Avenir Book" w:eastAsia="Cambria" w:hAnsi="Avenir Book"/>
          <w:szCs w:val="24"/>
        </w:rPr>
        <w:footnoteReference w:id="6"/>
      </w:r>
      <w:r w:rsidR="005A572B" w:rsidRPr="00B06331">
        <w:rPr>
          <w:rFonts w:ascii="Avenir Book" w:eastAsia="Cambria" w:hAnsi="Avenir Book"/>
          <w:szCs w:val="24"/>
        </w:rPr>
        <w:t xml:space="preserve"> The unmet demand in</w:t>
      </w:r>
      <w:r w:rsidRPr="00B06331">
        <w:rPr>
          <w:rFonts w:ascii="Avenir Book" w:eastAsia="Cambria" w:hAnsi="Avenir Book"/>
          <w:szCs w:val="24"/>
        </w:rPr>
        <w:t xml:space="preserve"> Hotels for agricul</w:t>
      </w:r>
      <w:r w:rsidR="005A572B" w:rsidRPr="00B06331">
        <w:rPr>
          <w:rFonts w:ascii="Avenir Book" w:eastAsia="Cambria" w:hAnsi="Avenir Book"/>
          <w:szCs w:val="24"/>
        </w:rPr>
        <w:t>tural produce is high, indicating</w:t>
      </w:r>
      <w:r w:rsidRPr="00B06331">
        <w:rPr>
          <w:rFonts w:ascii="Avenir Book" w:eastAsia="Cambria" w:hAnsi="Avenir Book"/>
          <w:szCs w:val="24"/>
        </w:rPr>
        <w:t xml:space="preserve"> the viability of such a venture. </w:t>
      </w:r>
      <w:r w:rsidR="000E23F9" w:rsidRPr="00B06331">
        <w:rPr>
          <w:rFonts w:ascii="Avenir Book" w:eastAsia="Cambria" w:hAnsi="Avenir Book"/>
          <w:szCs w:val="24"/>
        </w:rPr>
        <w:t>Presently, the increasing use of food stuff and other commodities is of major concern as it drains off much of the country’s foreign exchange. A linkage between agriculture and tourism must ultimately focus on quality, consistency of supply and appropriate pricing.</w:t>
      </w:r>
    </w:p>
    <w:p w:rsidR="00604343" w:rsidRPr="00B06331" w:rsidRDefault="000E23F9" w:rsidP="0060434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Environment:</w:t>
      </w:r>
      <w:r w:rsidRPr="00B06331">
        <w:rPr>
          <w:rFonts w:ascii="Avenir Book" w:eastAsia="Cambria" w:hAnsi="Avenir Book"/>
          <w:szCs w:val="24"/>
        </w:rPr>
        <w:t xml:space="preserve"> beach erosion has been a major challenge for most of the hotels and other facilities located on </w:t>
      </w:r>
      <w:r w:rsidR="00930C59" w:rsidRPr="00B06331">
        <w:rPr>
          <w:rFonts w:ascii="Avenir Book" w:eastAsia="Cambria" w:hAnsi="Avenir Book"/>
          <w:szCs w:val="24"/>
        </w:rPr>
        <w:t>the coastal areas – Senegambia, Kotu and Cape P</w:t>
      </w:r>
      <w:r w:rsidRPr="00B06331">
        <w:rPr>
          <w:rFonts w:ascii="Avenir Book" w:eastAsia="Cambria" w:hAnsi="Avenir Book"/>
          <w:szCs w:val="24"/>
        </w:rPr>
        <w:t>oint areas. There is an urgent need to address this situation which threatens one of the Gambia’s major selling points – the sand and sea. In addition, the disposal of waste is also a major challenge in the TDA and the entire country</w:t>
      </w:r>
      <w:r w:rsidR="002D6047" w:rsidRPr="00B06331">
        <w:rPr>
          <w:rFonts w:ascii="Avenir Book" w:eastAsia="Cambria" w:hAnsi="Avenir Book"/>
          <w:szCs w:val="24"/>
        </w:rPr>
        <w:t>. There are certain areas in the TDA that are used as dumping sites and it affects the tourism products and it is adverse to health and safety standards. However, some stakeholders have started adopting good waste management practices and this must be encouraged.</w:t>
      </w:r>
    </w:p>
    <w:p w:rsidR="00604343" w:rsidRPr="00B06331" w:rsidRDefault="002D6047" w:rsidP="00604343">
      <w:pPr>
        <w:numPr>
          <w:ilvl w:val="0"/>
          <w:numId w:val="79"/>
        </w:numPr>
        <w:tabs>
          <w:tab w:val="left" w:pos="720"/>
        </w:tabs>
        <w:spacing w:after="0"/>
        <w:jc w:val="both"/>
        <w:rPr>
          <w:rFonts w:ascii="Avenir Book" w:eastAsia="Cambria" w:hAnsi="Avenir Book"/>
          <w:szCs w:val="24"/>
        </w:rPr>
      </w:pPr>
      <w:r w:rsidRPr="00B06331">
        <w:rPr>
          <w:rFonts w:ascii="Avenir Book" w:eastAsia="Cambria" w:hAnsi="Avenir Book"/>
          <w:i/>
          <w:szCs w:val="24"/>
        </w:rPr>
        <w:t>Tourism security:</w:t>
      </w:r>
      <w:r w:rsidRPr="00B06331">
        <w:rPr>
          <w:rFonts w:ascii="Avenir Book" w:eastAsia="Cambria" w:hAnsi="Avenir Book"/>
          <w:szCs w:val="24"/>
        </w:rPr>
        <w:t xml:space="preserve"> associated to all the above is the issue of tourism security. While the country is </w:t>
      </w:r>
      <w:r w:rsidR="00930C59" w:rsidRPr="00B06331">
        <w:rPr>
          <w:rFonts w:ascii="Avenir Book" w:eastAsia="Cambria" w:hAnsi="Avenir Book"/>
          <w:szCs w:val="24"/>
        </w:rPr>
        <w:t xml:space="preserve">a relatively </w:t>
      </w:r>
      <w:r w:rsidRPr="00B06331">
        <w:rPr>
          <w:rFonts w:ascii="Avenir Book" w:eastAsia="Cambria" w:hAnsi="Avenir Book"/>
          <w:szCs w:val="24"/>
        </w:rPr>
        <w:t xml:space="preserve">peaceful and secured tourist destination, it cannot take this for granted and must </w:t>
      </w:r>
      <w:r w:rsidRPr="00B06331">
        <w:rPr>
          <w:rFonts w:ascii="Avenir Book" w:eastAsia="Cambria" w:hAnsi="Avenir Book"/>
          <w:szCs w:val="24"/>
        </w:rPr>
        <w:lastRenderedPageBreak/>
        <w:t>ensure security without being overbearing and certainly not through the current use of m</w:t>
      </w:r>
      <w:r w:rsidR="00930C59" w:rsidRPr="00B06331">
        <w:rPr>
          <w:rFonts w:ascii="Avenir Book" w:eastAsia="Cambria" w:hAnsi="Avenir Book"/>
          <w:szCs w:val="24"/>
        </w:rPr>
        <w:t xml:space="preserve">any checkpoints which create </w:t>
      </w:r>
      <w:r w:rsidRPr="00B06331">
        <w:rPr>
          <w:rFonts w:ascii="Avenir Book" w:eastAsia="Cambria" w:hAnsi="Avenir Book"/>
          <w:szCs w:val="24"/>
        </w:rPr>
        <w:t>avenue</w:t>
      </w:r>
      <w:r w:rsidR="00930C59" w:rsidRPr="00B06331">
        <w:rPr>
          <w:rFonts w:ascii="Avenir Book" w:eastAsia="Cambria" w:hAnsi="Avenir Book"/>
          <w:szCs w:val="24"/>
        </w:rPr>
        <w:t>s</w:t>
      </w:r>
      <w:r w:rsidRPr="00B06331">
        <w:rPr>
          <w:rFonts w:ascii="Avenir Book" w:eastAsia="Cambria" w:hAnsi="Avenir Book"/>
          <w:szCs w:val="24"/>
        </w:rPr>
        <w:t xml:space="preserve"> for abuse.</w:t>
      </w:r>
      <w:r w:rsidR="00951A09" w:rsidRPr="00B06331">
        <w:rPr>
          <w:rFonts w:ascii="Avenir Book" w:eastAsia="Cambria" w:hAnsi="Avenir Book"/>
          <w:szCs w:val="24"/>
        </w:rPr>
        <w:t xml:space="preserve"> In all countries, airports are well secured from people who have no legitimate business at the terminal and airport environment. However, at Banjul International Airport, this is not the case. It is not a good sign for security, a good impression to visitors and must be addressed. </w:t>
      </w:r>
    </w:p>
    <w:p w:rsidR="00604343" w:rsidRPr="00B06331" w:rsidRDefault="00604343" w:rsidP="00604343">
      <w:pPr>
        <w:tabs>
          <w:tab w:val="left" w:pos="720"/>
        </w:tabs>
        <w:spacing w:after="0"/>
        <w:jc w:val="both"/>
        <w:rPr>
          <w:rFonts w:ascii="Avenir Book" w:eastAsia="Cambria" w:hAnsi="Avenir Book"/>
          <w:szCs w:val="24"/>
        </w:rPr>
      </w:pPr>
      <w:r w:rsidRPr="00B06331">
        <w:rPr>
          <w:rFonts w:ascii="Avenir Book" w:eastAsia="Cambria" w:hAnsi="Avenir Book"/>
          <w:szCs w:val="24"/>
          <w:lang/>
        </w:rPr>
        <w:t xml:space="preserve">There are a number of other areas that need addressing, such as, repeat tourists who shun hotels and stay local; limited diaspora patronage and </w:t>
      </w:r>
      <w:r w:rsidR="00674DFF" w:rsidRPr="00B06331">
        <w:rPr>
          <w:rFonts w:ascii="Avenir Book" w:eastAsia="Cambria" w:hAnsi="Avenir Book"/>
          <w:szCs w:val="24"/>
          <w:lang/>
        </w:rPr>
        <w:t>sub-regional</w:t>
      </w:r>
      <w:r w:rsidRPr="00B06331">
        <w:rPr>
          <w:rFonts w:ascii="Avenir Book" w:eastAsia="Cambria" w:hAnsi="Avenir Book"/>
          <w:szCs w:val="24"/>
          <w:lang/>
        </w:rPr>
        <w:t xml:space="preserve"> patronage especially in summer and for conference tourism, then there is the inability to capture the German Market which is the largest outbound market in Europe; and the competition from Southern Europe in summer and late spring. The result is annual occupancy rate of between 50-60%, less than industry standard of 60 % for profitability (WB 2015). </w:t>
      </w:r>
    </w:p>
    <w:p w:rsidR="003B3B17" w:rsidRPr="00B06331" w:rsidRDefault="003B3B17" w:rsidP="00BC1302">
      <w:pPr>
        <w:pStyle w:val="Heading2"/>
        <w:rPr>
          <w:rFonts w:asciiTheme="minorHAnsi" w:hAnsiTheme="minorHAnsi" w:cstheme="minorHAnsi"/>
          <w:sz w:val="22"/>
          <w:szCs w:val="22"/>
        </w:rPr>
      </w:pPr>
      <w:bookmarkStart w:id="62" w:name="_Toc488689304"/>
      <w:bookmarkStart w:id="63" w:name="_Toc492364742"/>
      <w:r w:rsidRPr="00B06331">
        <w:rPr>
          <w:rFonts w:asciiTheme="minorHAnsi" w:hAnsiTheme="minorHAnsi" w:cstheme="minorHAnsi"/>
          <w:sz w:val="22"/>
          <w:szCs w:val="22"/>
        </w:rPr>
        <w:t>3.6 Private Sector Development and Trade</w:t>
      </w:r>
      <w:bookmarkEnd w:id="62"/>
      <w:bookmarkEnd w:id="63"/>
    </w:p>
    <w:p w:rsidR="00312C4B" w:rsidRPr="00B06331" w:rsidRDefault="00312C4B" w:rsidP="00312C4B">
      <w:pPr>
        <w:pStyle w:val="Heading3"/>
        <w:rPr>
          <w:rFonts w:asciiTheme="minorHAnsi" w:hAnsiTheme="minorHAnsi" w:cstheme="minorHAnsi"/>
          <w:b/>
          <w:sz w:val="22"/>
        </w:rPr>
      </w:pPr>
      <w:bookmarkStart w:id="64" w:name="_Toc492364743"/>
      <w:r w:rsidRPr="00B06331">
        <w:rPr>
          <w:rFonts w:asciiTheme="minorHAnsi" w:hAnsiTheme="minorHAnsi" w:cstheme="minorHAnsi"/>
          <w:b/>
          <w:sz w:val="22"/>
        </w:rPr>
        <w:t>3.6.1 Private Sector Development</w:t>
      </w:r>
      <w:bookmarkEnd w:id="64"/>
    </w:p>
    <w:p w:rsidR="00312C4B" w:rsidRPr="00B06331" w:rsidRDefault="00312C4B" w:rsidP="003B3B17">
      <w:pPr>
        <w:tabs>
          <w:tab w:val="left" w:pos="720"/>
        </w:tabs>
        <w:spacing w:after="0"/>
        <w:jc w:val="both"/>
        <w:rPr>
          <w:rFonts w:ascii="Avenir Book" w:eastAsia="Cambria" w:hAnsi="Avenir Book"/>
        </w:rPr>
      </w:pPr>
    </w:p>
    <w:p w:rsidR="003B3B17" w:rsidRPr="00B06331" w:rsidRDefault="003B3B17" w:rsidP="003B3B17">
      <w:pPr>
        <w:tabs>
          <w:tab w:val="left" w:pos="720"/>
        </w:tabs>
        <w:spacing w:after="0"/>
        <w:jc w:val="both"/>
        <w:rPr>
          <w:rFonts w:ascii="Avenir Book" w:eastAsia="Cambria" w:hAnsi="Avenir Book"/>
        </w:rPr>
      </w:pPr>
      <w:r w:rsidRPr="00B06331">
        <w:rPr>
          <w:rFonts w:ascii="Avenir Book" w:eastAsia="Cambria" w:hAnsi="Avenir Book"/>
        </w:rPr>
        <w:t>Micro, Small and Medium Enterprises dominates the Gambia’s private sector, with 97% of businesses having less than 5 employees (formal or informal sector). Small firms, those with 5 to 9 employees, make up 2.2% of the private sector whilst medium and large firms, together, make up less than 1% of firms. The sectors in which these firms operate are also highly concentrated as 61% of businesses operate in the distributive trade whilst 16% are in manufacturing, 4% in the repair (automotive repairs), with the remaining 19% spread across 13 different sectors. This skew towards micro is indicative of poor access to finance and high cost for expansion (PSDS 2015).</w:t>
      </w:r>
    </w:p>
    <w:p w:rsidR="00604343" w:rsidRPr="00B06331" w:rsidRDefault="00604343" w:rsidP="00604343">
      <w:pPr>
        <w:pStyle w:val="ListParagraph"/>
        <w:tabs>
          <w:tab w:val="left" w:pos="720"/>
        </w:tabs>
        <w:spacing w:before="120" w:after="120"/>
        <w:ind w:left="0"/>
        <w:jc w:val="both"/>
        <w:rPr>
          <w:rFonts w:ascii="Avenir Book" w:hAnsi="Avenir Book"/>
          <w:szCs w:val="24"/>
        </w:rPr>
      </w:pPr>
      <w:r w:rsidRPr="00B06331">
        <w:rPr>
          <w:rFonts w:ascii="Avenir Book" w:hAnsi="Avenir Book"/>
          <w:szCs w:val="24"/>
        </w:rPr>
        <w:t xml:space="preserve">Government has formulated various policies and created institutions to improve the business environment for private sector development, including the Investment Policy, Agriculture, and Natural Resources Policy, the GIEPA Act to provide attractive incentives for investment, export promotion and enterprise development particularly for MSMEs, which is also guided by the National MSME Policy and Strategy. </w:t>
      </w:r>
      <w:r w:rsidR="00674DFF" w:rsidRPr="00B06331">
        <w:rPr>
          <w:rFonts w:ascii="Avenir Book" w:hAnsi="Avenir Book"/>
          <w:szCs w:val="24"/>
        </w:rPr>
        <w:t>They recently</w:t>
      </w:r>
      <w:r w:rsidRPr="00B06331">
        <w:rPr>
          <w:rFonts w:ascii="Avenir Book" w:hAnsi="Avenir Book"/>
          <w:szCs w:val="24"/>
        </w:rPr>
        <w:t xml:space="preserve"> approved a Public Private Partnerships policy framework that aims to improve the business environment, enhance trade and investment as well as encourage private sector participation in the delivery of public infrastructure and services. </w:t>
      </w:r>
    </w:p>
    <w:p w:rsidR="00604343" w:rsidRPr="00B06331" w:rsidRDefault="00604343" w:rsidP="00604343">
      <w:pPr>
        <w:pStyle w:val="ListParagraph"/>
        <w:tabs>
          <w:tab w:val="left" w:pos="720"/>
        </w:tabs>
        <w:spacing w:before="120" w:after="120"/>
        <w:ind w:left="0"/>
        <w:jc w:val="both"/>
        <w:rPr>
          <w:rFonts w:ascii="Avenir Book" w:hAnsi="Avenir Book"/>
          <w:szCs w:val="24"/>
        </w:rPr>
      </w:pPr>
    </w:p>
    <w:p w:rsidR="00604343" w:rsidRPr="00B06331" w:rsidRDefault="00604343" w:rsidP="00604343">
      <w:pPr>
        <w:pStyle w:val="ListParagraph"/>
        <w:tabs>
          <w:tab w:val="left" w:pos="720"/>
        </w:tabs>
        <w:spacing w:before="120" w:after="120"/>
        <w:ind w:left="0"/>
        <w:jc w:val="both"/>
        <w:rPr>
          <w:rFonts w:ascii="Avenir Book" w:eastAsia="Cambria" w:hAnsi="Avenir Book"/>
          <w:szCs w:val="24"/>
          <w:lang/>
        </w:rPr>
      </w:pPr>
      <w:r w:rsidRPr="00B06331">
        <w:rPr>
          <w:rFonts w:ascii="Avenir Book" w:hAnsi="Avenir Book"/>
          <w:szCs w:val="24"/>
        </w:rPr>
        <w:t>As part of the efforts to promote enterprise development, Government in collaboration with the World Bank, formulated the Growth and Competitiveness Project (GCP) in 2010 aimed at sustaining the growth of the economy and enhancing poverty reduction through private sector-led growth. Key intervention areas were investments in climate reform to reduce the entry barriers and operating costs for businesses, enhanced access to finance and private investment flows, improved business performance especially for firms in the tourism and hospitality sectors and linkages between small producers and domestic and international markets. The project supported the establishment of a single window business registration office to expedite the registration of businesses.  In addition, the EMPRETEC project has been set up by GIEPA to compliment GCP in building the capacity of private operators and enhancing their entrepreneurial skills.</w:t>
      </w:r>
    </w:p>
    <w:p w:rsidR="00604343" w:rsidRPr="00B06331" w:rsidRDefault="00604343" w:rsidP="00604343">
      <w:pPr>
        <w:pStyle w:val="ListParagraph"/>
        <w:tabs>
          <w:tab w:val="left" w:pos="720"/>
        </w:tabs>
        <w:spacing w:before="120" w:after="120"/>
        <w:ind w:left="0"/>
        <w:jc w:val="both"/>
        <w:rPr>
          <w:rFonts w:ascii="Avenir Book" w:hAnsi="Avenir Book"/>
          <w:szCs w:val="24"/>
        </w:rPr>
      </w:pPr>
    </w:p>
    <w:p w:rsidR="00604343" w:rsidRPr="00B06331" w:rsidRDefault="00604343" w:rsidP="00604343">
      <w:pPr>
        <w:pStyle w:val="ListParagraph"/>
        <w:tabs>
          <w:tab w:val="left" w:pos="720"/>
        </w:tabs>
        <w:spacing w:before="120" w:after="120"/>
        <w:ind w:left="0"/>
        <w:jc w:val="both"/>
        <w:rPr>
          <w:rFonts w:ascii="Avenir Book" w:hAnsi="Avenir Book"/>
          <w:szCs w:val="24"/>
        </w:rPr>
      </w:pPr>
      <w:r w:rsidRPr="00B06331">
        <w:rPr>
          <w:rFonts w:ascii="Avenir Book" w:hAnsi="Avenir Book"/>
          <w:szCs w:val="24"/>
        </w:rPr>
        <w:t xml:space="preserve">Although the Gambia’s desire to move towards a private sector led economy is resolute, there are towering obstacles standing in the way of its </w:t>
      </w:r>
      <w:r w:rsidR="001953F9" w:rsidRPr="00B06331">
        <w:rPr>
          <w:rFonts w:ascii="Avenir Book" w:hAnsi="Avenir Book"/>
          <w:szCs w:val="24"/>
        </w:rPr>
        <w:t>achievement. The</w:t>
      </w:r>
      <w:r w:rsidRPr="00B06331">
        <w:rPr>
          <w:rFonts w:ascii="Avenir Book" w:hAnsi="Avenir Book"/>
          <w:szCs w:val="24"/>
        </w:rPr>
        <w:t xml:space="preserve"> three most significant challenges faced are electricity, access to credit and the tax code.</w:t>
      </w:r>
    </w:p>
    <w:p w:rsidR="00604343" w:rsidRPr="00B06331" w:rsidRDefault="00604343" w:rsidP="00604343">
      <w:pPr>
        <w:pStyle w:val="ListParagraph"/>
        <w:numPr>
          <w:ilvl w:val="0"/>
          <w:numId w:val="80"/>
        </w:numPr>
        <w:tabs>
          <w:tab w:val="left" w:pos="720"/>
        </w:tabs>
        <w:spacing w:before="120" w:after="120"/>
        <w:jc w:val="both"/>
        <w:rPr>
          <w:rFonts w:ascii="Avenir Book" w:hAnsi="Avenir Book"/>
          <w:szCs w:val="24"/>
        </w:rPr>
      </w:pPr>
      <w:r w:rsidRPr="00B06331">
        <w:rPr>
          <w:rFonts w:ascii="Avenir Book" w:hAnsi="Avenir Book"/>
          <w:szCs w:val="24"/>
        </w:rPr>
        <w:t>The lack of investment and diversity in the power generation infrastructure is accentuated by the absence of successful power purchase agreements (PPAs) between NAWEC and Investors. This widens the disparity between the demand and supply of reliable and low-cost electricity. This inadequacy of supply and relatively high cost of energy are significant challenges to regional competitiveness and its ability to attract high value foreign direct investments.</w:t>
      </w:r>
    </w:p>
    <w:p w:rsidR="003B3B17" w:rsidRPr="00B06331" w:rsidRDefault="00604343" w:rsidP="00604343">
      <w:pPr>
        <w:pStyle w:val="ListParagraph"/>
        <w:numPr>
          <w:ilvl w:val="0"/>
          <w:numId w:val="80"/>
        </w:numPr>
        <w:tabs>
          <w:tab w:val="left" w:pos="720"/>
        </w:tabs>
        <w:spacing w:before="120" w:after="120"/>
        <w:jc w:val="both"/>
        <w:rPr>
          <w:rFonts w:ascii="Avenir Book" w:eastAsia="Cambria" w:hAnsi="Avenir Book"/>
          <w:szCs w:val="24"/>
          <w:lang/>
        </w:rPr>
      </w:pPr>
      <w:r w:rsidRPr="00B06331">
        <w:rPr>
          <w:rFonts w:ascii="Avenir Book" w:hAnsi="Avenir Book"/>
          <w:szCs w:val="24"/>
        </w:rPr>
        <w:t xml:space="preserve">Private investment, especially from domestic sources, is constrained by the high cost of credit. Much of the problem can be traced to a basic macroeconomic imbalance that is fiscal in origin as banks are reluctant to lend to private industry because it is much more profitable to invest in government Treasury Bills. The demand for credit by the government crowds out private borrowers and makes it difficult for entrepreneurs to establish or expand their businesses. A study by the World Bank has shown that at market-lending rates of 25% to 28%, which are currently prevailing in The Gambia, only firms with a profit margin of 35% can afford to borrow to finance their operations. </w:t>
      </w:r>
      <w:r w:rsidRPr="00B06331">
        <w:rPr>
          <w:rFonts w:ascii="Avenir Book" w:eastAsia="Cambria" w:hAnsi="Avenir Book"/>
          <w:szCs w:val="24"/>
          <w:lang/>
        </w:rPr>
        <w:t xml:space="preserve">On the home front, Domestic savings rates have dropped significantly to 5% between 2008 and 2012, compared to 14.9% between 2004 and 2007 which has led to an over reliance on foreign savings and foreign direct investment, to fuel growth. Without an increase in the domestic savings rates, capital available for investment will be limited. </w:t>
      </w:r>
      <w:r w:rsidR="003B3B17" w:rsidRPr="00B06331">
        <w:rPr>
          <w:rFonts w:ascii="Avenir Book" w:hAnsi="Avenir Book"/>
          <w:szCs w:val="24"/>
        </w:rPr>
        <w:t xml:space="preserve">Meanwhile Agriculture and Tourism, two of the country’s biggest export earners, have seen a decline in their share of credit by half, dropping from 12% (2011) to 6% (2014). </w:t>
      </w:r>
      <w:r w:rsidR="003B3B17" w:rsidRPr="00B06331">
        <w:rPr>
          <w:rFonts w:ascii="Avenir Book" w:eastAsia="Cambria" w:hAnsi="Avenir Book"/>
          <w:szCs w:val="24"/>
        </w:rPr>
        <w:t xml:space="preserve">On the home front, The Gambia domestic savings rate has dropped significantly to5% between 2008 and 2012, compared to 14.9% between 2004 and 2007. This has led to an over reliance on foreign savings, foreign direct investment, to fuel growth. Without an increase in the domestic savings rates, capital available for investment will be limited. </w:t>
      </w:r>
    </w:p>
    <w:p w:rsidR="003B3B17" w:rsidRPr="00B06331" w:rsidRDefault="003B3B17" w:rsidP="004143E3">
      <w:pPr>
        <w:pStyle w:val="ListParagraph"/>
        <w:numPr>
          <w:ilvl w:val="0"/>
          <w:numId w:val="80"/>
        </w:numPr>
        <w:rPr>
          <w:rFonts w:ascii="Avenir Book" w:eastAsia="Cambria" w:hAnsi="Avenir Book"/>
          <w:szCs w:val="24"/>
        </w:rPr>
      </w:pPr>
      <w:r w:rsidRPr="00B06331">
        <w:rPr>
          <w:rFonts w:ascii="Avenir Book" w:eastAsia="Cambria" w:hAnsi="Avenir Book"/>
          <w:szCs w:val="24"/>
        </w:rPr>
        <w:t>The tax system poses a challenge for both the public and private sectors. According to the “Ease of doing Business” Report (2015), The Gambia has the second highest tax on profits in the sub region at 63%. In addition, firms in the country are faced with both national and local area council taxes, which in some cases overlap. Although each tax levied is small, these “nuisance” taxes eat up a significant proportion of a firm’s profits. If the tax code is not simplified, and the overlap of national and local taxes eliminated, firms may suffer, further preventing their optimal contribution towards job creation and economic growth.</w:t>
      </w:r>
    </w:p>
    <w:tbl>
      <w:tblPr>
        <w:tblStyle w:val="GridTable4-Accent12"/>
        <w:tblW w:w="9073" w:type="dxa"/>
        <w:tblLook w:val="00A0"/>
      </w:tblPr>
      <w:tblGrid>
        <w:gridCol w:w="3073"/>
        <w:gridCol w:w="1511"/>
        <w:gridCol w:w="1520"/>
        <w:gridCol w:w="1483"/>
        <w:gridCol w:w="1486"/>
      </w:tblGrid>
      <w:tr w:rsidR="003B3B17" w:rsidRPr="00B06331" w:rsidTr="003B3B17">
        <w:trPr>
          <w:cnfStyle w:val="100000000000"/>
          <w:trHeight w:val="648"/>
        </w:trPr>
        <w:tc>
          <w:tcPr>
            <w:cnfStyle w:val="001000000000"/>
            <w:tcW w:w="0" w:type="auto"/>
            <w:gridSpan w:val="5"/>
            <w:noWrap/>
          </w:tcPr>
          <w:p w:rsidR="003B3B17" w:rsidRPr="00B06331" w:rsidRDefault="003B3B17" w:rsidP="003B3B17">
            <w:pPr>
              <w:spacing w:after="0" w:line="240" w:lineRule="auto"/>
              <w:rPr>
                <w:rFonts w:ascii="Avenir Book" w:hAnsi="Avenir Book"/>
              </w:rPr>
            </w:pPr>
          </w:p>
          <w:p w:rsidR="003B3B17" w:rsidRPr="00B06331" w:rsidRDefault="003B3B17" w:rsidP="003B3B17">
            <w:pPr>
              <w:spacing w:after="0" w:line="240" w:lineRule="auto"/>
              <w:contextualSpacing/>
              <w:rPr>
                <w:rFonts w:ascii="Avenir Book" w:eastAsia="Cambria" w:hAnsi="Avenir Book"/>
                <w:lang w:val="en-GB"/>
              </w:rPr>
            </w:pPr>
          </w:p>
          <w:p w:rsidR="003B3B17" w:rsidRPr="00B06331" w:rsidRDefault="002920DE" w:rsidP="003B3B17">
            <w:pPr>
              <w:spacing w:after="0" w:line="240" w:lineRule="auto"/>
              <w:contextualSpacing/>
              <w:rPr>
                <w:rFonts w:ascii="Avenir Book" w:eastAsia="Cambria" w:hAnsi="Avenir Book"/>
                <w:lang w:val="en-GB"/>
              </w:rPr>
            </w:pPr>
            <w:r w:rsidRPr="00B06331">
              <w:rPr>
                <w:rFonts w:ascii="Avenir Book" w:eastAsia="Cambria" w:hAnsi="Avenir Book"/>
                <w:lang w:val="en-GB"/>
              </w:rPr>
              <w:t>Table 3</w:t>
            </w:r>
            <w:r w:rsidR="00312C4B" w:rsidRPr="00B06331">
              <w:rPr>
                <w:rFonts w:ascii="Avenir Book" w:eastAsia="Cambria" w:hAnsi="Avenir Book"/>
                <w:lang w:val="en-GB"/>
              </w:rPr>
              <w:t>.5</w:t>
            </w:r>
            <w:r w:rsidR="003B3B17" w:rsidRPr="00B06331">
              <w:rPr>
                <w:rFonts w:ascii="Avenir Book" w:eastAsia="Cambria" w:hAnsi="Avenir Book"/>
                <w:lang w:val="en-GB"/>
              </w:rPr>
              <w:t xml:space="preserve">: Credit to Private Sector (and Personal loans) by sector, 2011 to 2014 </w:t>
            </w:r>
          </w:p>
        </w:tc>
      </w:tr>
      <w:tr w:rsidR="003B3B17" w:rsidRPr="00B06331" w:rsidTr="003B3B17">
        <w:trPr>
          <w:cnfStyle w:val="000000100000"/>
          <w:trHeight w:val="328"/>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 </w:t>
            </w:r>
          </w:p>
        </w:tc>
        <w:tc>
          <w:tcPr>
            <w:cnfStyle w:val="000010000000"/>
            <w:tcW w:w="0" w:type="auto"/>
            <w:noWrap/>
            <w:hideMark/>
          </w:tcPr>
          <w:p w:rsidR="003B3B17" w:rsidRPr="00B06331" w:rsidRDefault="003B3B17" w:rsidP="003B3B17">
            <w:pPr>
              <w:spacing w:after="0" w:line="240" w:lineRule="auto"/>
              <w:ind w:left="720" w:hanging="720"/>
              <w:contextualSpacing/>
              <w:jc w:val="center"/>
              <w:rPr>
                <w:rFonts w:ascii="Avenir Book" w:eastAsia="Cambria" w:hAnsi="Avenir Book"/>
                <w:lang w:val="en-GB"/>
              </w:rPr>
            </w:pPr>
            <w:r w:rsidRPr="00B06331">
              <w:rPr>
                <w:rFonts w:ascii="Avenir Book" w:eastAsia="Cambria" w:hAnsi="Avenir Book"/>
                <w:lang w:val="en-GB"/>
              </w:rPr>
              <w:t>2011</w:t>
            </w:r>
          </w:p>
        </w:tc>
        <w:tc>
          <w:tcPr>
            <w:tcW w:w="0" w:type="auto"/>
            <w:noWrap/>
            <w:hideMark/>
          </w:tcPr>
          <w:p w:rsidR="003B3B17" w:rsidRPr="00B06331" w:rsidRDefault="003B3B17" w:rsidP="003B3B17">
            <w:pPr>
              <w:spacing w:after="0" w:line="240" w:lineRule="auto"/>
              <w:ind w:left="720" w:hanging="720"/>
              <w:contextualSpacing/>
              <w:jc w:val="center"/>
              <w:cnfStyle w:val="000000100000"/>
              <w:rPr>
                <w:rFonts w:ascii="Avenir Book" w:eastAsia="Cambria" w:hAnsi="Avenir Book"/>
                <w:lang w:val="en-GB"/>
              </w:rPr>
            </w:pPr>
            <w:r w:rsidRPr="00B06331">
              <w:rPr>
                <w:rFonts w:ascii="Avenir Book" w:eastAsia="Cambria" w:hAnsi="Avenir Book"/>
                <w:lang w:val="en-GB"/>
              </w:rPr>
              <w:t>2012</w:t>
            </w:r>
          </w:p>
        </w:tc>
        <w:tc>
          <w:tcPr>
            <w:cnfStyle w:val="000010000000"/>
            <w:tcW w:w="0" w:type="auto"/>
            <w:noWrap/>
            <w:hideMark/>
          </w:tcPr>
          <w:p w:rsidR="003B3B17" w:rsidRPr="00B06331" w:rsidRDefault="003B3B17" w:rsidP="003B3B17">
            <w:pPr>
              <w:spacing w:after="0" w:line="240" w:lineRule="auto"/>
              <w:ind w:left="720" w:hanging="720"/>
              <w:contextualSpacing/>
              <w:jc w:val="center"/>
              <w:rPr>
                <w:rFonts w:ascii="Avenir Book" w:eastAsia="Cambria" w:hAnsi="Avenir Book"/>
                <w:lang w:val="en-GB"/>
              </w:rPr>
            </w:pPr>
            <w:r w:rsidRPr="00B06331">
              <w:rPr>
                <w:rFonts w:ascii="Avenir Book" w:eastAsia="Cambria" w:hAnsi="Avenir Book"/>
                <w:lang w:val="en-GB"/>
              </w:rPr>
              <w:t>2013</w:t>
            </w:r>
          </w:p>
        </w:tc>
        <w:tc>
          <w:tcPr>
            <w:tcW w:w="0" w:type="auto"/>
            <w:noWrap/>
            <w:hideMark/>
          </w:tcPr>
          <w:p w:rsidR="003B3B17" w:rsidRPr="00B06331" w:rsidRDefault="003B3B17" w:rsidP="003B3B17">
            <w:pPr>
              <w:spacing w:after="0" w:line="240" w:lineRule="auto"/>
              <w:ind w:left="720" w:hanging="720"/>
              <w:contextualSpacing/>
              <w:jc w:val="center"/>
              <w:cnfStyle w:val="000000100000"/>
              <w:rPr>
                <w:rFonts w:ascii="Avenir Book" w:eastAsia="Cambria" w:hAnsi="Avenir Book"/>
                <w:lang w:val="en-GB"/>
              </w:rPr>
            </w:pPr>
            <w:r w:rsidRPr="00B06331">
              <w:rPr>
                <w:rFonts w:ascii="Avenir Book" w:eastAsia="Cambria" w:hAnsi="Avenir Book"/>
                <w:lang w:val="en-GB"/>
              </w:rPr>
              <w:t>2014</w:t>
            </w:r>
          </w:p>
        </w:tc>
      </w:tr>
      <w:tr w:rsidR="003B3B17" w:rsidRPr="00B06331" w:rsidTr="003B3B17">
        <w:trPr>
          <w:trHeight w:val="340"/>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Agriculture</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7%</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4%</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4%</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3%</w:t>
            </w:r>
          </w:p>
        </w:tc>
      </w:tr>
      <w:tr w:rsidR="003B3B17" w:rsidRPr="00B06331" w:rsidTr="003B3B17">
        <w:trPr>
          <w:cnfStyle w:val="000000100000"/>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Fishing</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0%</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0%</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0%</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0%</w:t>
            </w:r>
          </w:p>
        </w:tc>
      </w:tr>
      <w:tr w:rsidR="003B3B17" w:rsidRPr="00B06331" w:rsidTr="003B3B17">
        <w:trPr>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Manufacturing</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5%</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6%</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5%</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4%</w:t>
            </w:r>
          </w:p>
        </w:tc>
      </w:tr>
      <w:tr w:rsidR="003B3B17" w:rsidRPr="00B06331" w:rsidTr="003B3B17">
        <w:trPr>
          <w:cnfStyle w:val="000000100000"/>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lastRenderedPageBreak/>
              <w:t>Building &amp; Construction</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10%</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11%</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13%</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12%</w:t>
            </w:r>
          </w:p>
        </w:tc>
      </w:tr>
      <w:tr w:rsidR="003B3B17" w:rsidRPr="00B06331" w:rsidTr="003B3B17">
        <w:trPr>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Transportation</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7%</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7%</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6%</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8%</w:t>
            </w:r>
          </w:p>
        </w:tc>
      </w:tr>
      <w:tr w:rsidR="003B3B17" w:rsidRPr="00B06331" w:rsidTr="003B3B17">
        <w:trPr>
          <w:cnfStyle w:val="000000100000"/>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Distributive Trade</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28%</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30%</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31%</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33%</w:t>
            </w:r>
          </w:p>
        </w:tc>
      </w:tr>
      <w:tr w:rsidR="003B3B17" w:rsidRPr="00B06331" w:rsidTr="003B3B17">
        <w:trPr>
          <w:trHeight w:val="271"/>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Tourism</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5%</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5%</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5%</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3%</w:t>
            </w:r>
          </w:p>
        </w:tc>
      </w:tr>
      <w:tr w:rsidR="003B3B17" w:rsidRPr="00B06331" w:rsidTr="003B3B17">
        <w:trPr>
          <w:cnfStyle w:val="000000100000"/>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Financial Institutions</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4%</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4%</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4%</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4%</w:t>
            </w:r>
          </w:p>
        </w:tc>
      </w:tr>
      <w:tr w:rsidR="003B3B17" w:rsidRPr="00B06331" w:rsidTr="003B3B17">
        <w:trPr>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Personal Loans</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11%</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9%</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8%</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8%</w:t>
            </w:r>
          </w:p>
        </w:tc>
      </w:tr>
      <w:tr w:rsidR="003B3B17" w:rsidRPr="00B06331" w:rsidTr="003B3B17">
        <w:trPr>
          <w:cnfStyle w:val="000000100000"/>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Others</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24%</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25%</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23%</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25%</w:t>
            </w:r>
          </w:p>
        </w:tc>
      </w:tr>
      <w:tr w:rsidR="003B3B17" w:rsidRPr="00B06331" w:rsidTr="003B3B17">
        <w:trPr>
          <w:trHeight w:val="379"/>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Total (D’000)</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64,758,636</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65,358,000</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71,989,705</w:t>
            </w:r>
          </w:p>
        </w:tc>
        <w:tc>
          <w:tcPr>
            <w:tcW w:w="0" w:type="auto"/>
            <w:noWrap/>
            <w:hideMark/>
          </w:tcPr>
          <w:p w:rsidR="003B3B17" w:rsidRPr="00B06331" w:rsidRDefault="003B3B17" w:rsidP="003B3B17">
            <w:pPr>
              <w:spacing w:after="0" w:line="240" w:lineRule="auto"/>
              <w:ind w:left="720" w:hanging="720"/>
              <w:contextualSpacing/>
              <w:jc w:val="right"/>
              <w:cnfStyle w:val="000000000000"/>
              <w:rPr>
                <w:rFonts w:ascii="Avenir Book" w:eastAsia="Cambria" w:hAnsi="Avenir Book"/>
                <w:lang w:val="en-GB"/>
              </w:rPr>
            </w:pPr>
            <w:r w:rsidRPr="00B06331">
              <w:rPr>
                <w:rFonts w:ascii="Avenir Book" w:eastAsia="Cambria" w:hAnsi="Avenir Book"/>
                <w:lang w:val="en-GB"/>
              </w:rPr>
              <w:t>72,529,527</w:t>
            </w:r>
          </w:p>
        </w:tc>
      </w:tr>
      <w:tr w:rsidR="003B3B17" w:rsidRPr="00B06331" w:rsidTr="003B3B17">
        <w:trPr>
          <w:cnfStyle w:val="000000100000"/>
          <w:trHeight w:val="351"/>
        </w:trPr>
        <w:tc>
          <w:tcPr>
            <w:cnfStyle w:val="001000000000"/>
            <w:tcW w:w="0" w:type="auto"/>
            <w:noWrap/>
            <w:hideMark/>
          </w:tcPr>
          <w:p w:rsidR="003B3B17" w:rsidRPr="00B06331" w:rsidRDefault="003B3B17" w:rsidP="003B3B17">
            <w:pPr>
              <w:spacing w:after="0" w:line="240" w:lineRule="auto"/>
              <w:ind w:left="720" w:hanging="720"/>
              <w:contextualSpacing/>
              <w:rPr>
                <w:rFonts w:ascii="Avenir Book" w:eastAsia="Cambria" w:hAnsi="Avenir Book"/>
                <w:lang w:val="en-GB"/>
              </w:rPr>
            </w:pPr>
            <w:r w:rsidRPr="00B06331">
              <w:rPr>
                <w:rFonts w:ascii="Avenir Book" w:eastAsia="Cambria" w:hAnsi="Avenir Book"/>
                <w:lang w:val="en-GB"/>
              </w:rPr>
              <w:t>Credit to GDP Ratio</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2.43</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2.23</w:t>
            </w:r>
          </w:p>
        </w:tc>
        <w:tc>
          <w:tcPr>
            <w:cnfStyle w:val="000010000000"/>
            <w:tcW w:w="0" w:type="auto"/>
            <w:noWrap/>
            <w:hideMark/>
          </w:tcPr>
          <w:p w:rsidR="003B3B17" w:rsidRPr="00B06331" w:rsidRDefault="003B3B17" w:rsidP="003B3B17">
            <w:pPr>
              <w:spacing w:after="0" w:line="240" w:lineRule="auto"/>
              <w:ind w:left="720" w:hanging="720"/>
              <w:contextualSpacing/>
              <w:jc w:val="right"/>
              <w:rPr>
                <w:rFonts w:ascii="Avenir Book" w:eastAsia="Cambria" w:hAnsi="Avenir Book"/>
                <w:lang w:val="en-GB"/>
              </w:rPr>
            </w:pPr>
            <w:r w:rsidRPr="00B06331">
              <w:rPr>
                <w:rFonts w:ascii="Avenir Book" w:eastAsia="Cambria" w:hAnsi="Avenir Book"/>
                <w:lang w:val="en-GB"/>
              </w:rPr>
              <w:t>2.25</w:t>
            </w:r>
          </w:p>
        </w:tc>
        <w:tc>
          <w:tcPr>
            <w:tcW w:w="0" w:type="auto"/>
            <w:noWrap/>
            <w:hideMark/>
          </w:tcPr>
          <w:p w:rsidR="003B3B17" w:rsidRPr="00B06331" w:rsidRDefault="003B3B17" w:rsidP="003B3B17">
            <w:pPr>
              <w:spacing w:after="0" w:line="240" w:lineRule="auto"/>
              <w:ind w:left="720" w:hanging="720"/>
              <w:contextualSpacing/>
              <w:jc w:val="right"/>
              <w:cnfStyle w:val="000000100000"/>
              <w:rPr>
                <w:rFonts w:ascii="Avenir Book" w:eastAsia="Cambria" w:hAnsi="Avenir Book"/>
                <w:lang w:val="en-GB"/>
              </w:rPr>
            </w:pPr>
            <w:r w:rsidRPr="00B06331">
              <w:rPr>
                <w:rFonts w:ascii="Avenir Book" w:eastAsia="Cambria" w:hAnsi="Avenir Book"/>
                <w:lang w:val="en-GB"/>
              </w:rPr>
              <w:t>2.25</w:t>
            </w:r>
          </w:p>
        </w:tc>
      </w:tr>
      <w:tr w:rsidR="003B3B17" w:rsidRPr="00B06331" w:rsidTr="003B3B17">
        <w:trPr>
          <w:trHeight w:val="379"/>
        </w:trPr>
        <w:tc>
          <w:tcPr>
            <w:cnfStyle w:val="001000000000"/>
            <w:tcW w:w="0" w:type="auto"/>
            <w:gridSpan w:val="5"/>
            <w:noWrap/>
          </w:tcPr>
          <w:p w:rsidR="003B3B17" w:rsidRPr="00B06331" w:rsidRDefault="003B3B17" w:rsidP="003B3B17">
            <w:pPr>
              <w:spacing w:after="0" w:line="240" w:lineRule="auto"/>
              <w:ind w:left="720" w:hanging="720"/>
              <w:contextualSpacing/>
              <w:jc w:val="center"/>
              <w:rPr>
                <w:rFonts w:ascii="Avenir Book" w:eastAsia="Cambria" w:hAnsi="Avenir Book"/>
                <w:szCs w:val="24"/>
                <w:lang w:val="en-GB"/>
              </w:rPr>
            </w:pPr>
            <w:r w:rsidRPr="00B06331">
              <w:rPr>
                <w:rFonts w:ascii="Avenir Book" w:eastAsia="Cambria" w:hAnsi="Avenir Book"/>
                <w:szCs w:val="24"/>
                <w:lang w:val="en-GB"/>
              </w:rPr>
              <w:t>Source: Central bank of The Gambia, August 2015</w:t>
            </w:r>
          </w:p>
          <w:p w:rsidR="003B3B17" w:rsidRPr="00B06331" w:rsidRDefault="003B3B17" w:rsidP="003B3B17">
            <w:pPr>
              <w:spacing w:after="0" w:line="240" w:lineRule="auto"/>
              <w:ind w:left="720" w:hanging="720"/>
              <w:contextualSpacing/>
              <w:rPr>
                <w:rFonts w:ascii="Avenir Book" w:eastAsia="Cambria" w:hAnsi="Avenir Book"/>
                <w:szCs w:val="24"/>
                <w:lang w:val="en-GB"/>
              </w:rPr>
            </w:pPr>
          </w:p>
        </w:tc>
      </w:tr>
    </w:tbl>
    <w:p w:rsidR="003B3B17" w:rsidRPr="00B06331" w:rsidRDefault="003B3B17" w:rsidP="003B3B17">
      <w:pPr>
        <w:tabs>
          <w:tab w:val="left" w:pos="720"/>
        </w:tabs>
        <w:spacing w:after="0"/>
        <w:jc w:val="both"/>
        <w:rPr>
          <w:rFonts w:ascii="Avenir Book" w:eastAsia="Cambria" w:hAnsi="Avenir Book"/>
          <w:szCs w:val="24"/>
        </w:rPr>
      </w:pPr>
    </w:p>
    <w:p w:rsidR="00604343" w:rsidRPr="00B06331" w:rsidRDefault="00604343" w:rsidP="00604343">
      <w:pPr>
        <w:tabs>
          <w:tab w:val="left" w:pos="720"/>
        </w:tabs>
        <w:spacing w:after="0"/>
        <w:jc w:val="both"/>
        <w:rPr>
          <w:rFonts w:ascii="Avenir Book" w:eastAsia="Cambria" w:hAnsi="Avenir Book"/>
          <w:szCs w:val="24"/>
          <w:lang/>
        </w:rPr>
      </w:pPr>
      <w:r w:rsidRPr="00B06331">
        <w:rPr>
          <w:rFonts w:ascii="Avenir Book" w:eastAsia="Cambria" w:hAnsi="Avenir Book"/>
          <w:szCs w:val="24"/>
          <w:lang/>
        </w:rPr>
        <w:t>Fostering a thriving private sector will require reforms in legal and regulatory frameworks, fiscal discipline in addressing external debt and domestic borrowing. It will necessitate access to affordable finance and reliable services to build the confidence required to acquire investment for development and employment.</w:t>
      </w:r>
    </w:p>
    <w:p w:rsidR="00604343" w:rsidRPr="00B06331" w:rsidRDefault="00604343" w:rsidP="00604343">
      <w:pPr>
        <w:spacing w:after="0"/>
        <w:jc w:val="both"/>
        <w:rPr>
          <w:rFonts w:ascii="Avenir Book" w:eastAsia="Cambria" w:hAnsi="Avenir Book"/>
          <w:szCs w:val="24"/>
          <w:lang/>
        </w:rPr>
      </w:pPr>
    </w:p>
    <w:p w:rsidR="00604343" w:rsidRPr="00B06331" w:rsidRDefault="00604343" w:rsidP="001953F9">
      <w:pPr>
        <w:spacing w:after="0"/>
        <w:jc w:val="both"/>
        <w:rPr>
          <w:rFonts w:ascii="Avenir Book" w:eastAsia="Cambria" w:hAnsi="Avenir Book"/>
          <w:szCs w:val="24"/>
          <w:lang/>
        </w:rPr>
      </w:pPr>
      <w:r w:rsidRPr="00B06331">
        <w:rPr>
          <w:rFonts w:ascii="Avenir Book" w:eastAsia="Cambria" w:hAnsi="Avenir Book"/>
          <w:szCs w:val="24"/>
          <w:lang/>
        </w:rPr>
        <w:t>More</w:t>
      </w:r>
      <w:r w:rsidRPr="00B06331">
        <w:rPr>
          <w:rFonts w:ascii="Avenir Book" w:eastAsia="Cambria" w:hAnsi="Avenir Book"/>
          <w:szCs w:val="24"/>
          <w:lang/>
        </w:rPr>
        <w:t xml:space="preserve"> than 80% of micro enterprises are not registered</w:t>
      </w:r>
      <w:r w:rsidRPr="00B06331">
        <w:rPr>
          <w:rFonts w:ascii="Avenir Book" w:eastAsia="Cambria" w:hAnsi="Avenir Book"/>
          <w:szCs w:val="24"/>
          <w:lang/>
        </w:rPr>
        <w:t>, which could be</w:t>
      </w:r>
      <w:r w:rsidRPr="00B06331">
        <w:rPr>
          <w:rFonts w:ascii="Avenir Book" w:eastAsia="Cambria" w:hAnsi="Avenir Book"/>
          <w:szCs w:val="24"/>
          <w:lang/>
        </w:rPr>
        <w:t>attributed to lack</w:t>
      </w:r>
      <w:r w:rsidRPr="00B06331">
        <w:rPr>
          <w:rFonts w:ascii="Avenir Book" w:eastAsia="Cambria" w:hAnsi="Avenir Book"/>
          <w:szCs w:val="24"/>
          <w:lang/>
        </w:rPr>
        <w:t xml:space="preserve"> of or </w:t>
      </w:r>
      <w:r w:rsidRPr="00B06331">
        <w:rPr>
          <w:rFonts w:ascii="Avenir Book" w:eastAsia="Cambria" w:hAnsi="Avenir Book"/>
          <w:szCs w:val="24"/>
          <w:lang/>
        </w:rPr>
        <w:t xml:space="preserve">inadequate knowledge </w:t>
      </w:r>
      <w:r w:rsidRPr="00B06331">
        <w:rPr>
          <w:rFonts w:ascii="Avenir Book" w:eastAsia="Cambria" w:hAnsi="Avenir Book"/>
          <w:szCs w:val="24"/>
          <w:lang/>
        </w:rPr>
        <w:t>related to</w:t>
      </w:r>
      <w:r w:rsidRPr="00B06331">
        <w:rPr>
          <w:rFonts w:ascii="Avenir Book" w:eastAsia="Cambria" w:hAnsi="Avenir Book"/>
          <w:szCs w:val="24"/>
          <w:lang/>
        </w:rPr>
        <w:t xml:space="preserve"> business registration </w:t>
      </w:r>
      <w:r w:rsidRPr="00B06331">
        <w:rPr>
          <w:rFonts w:ascii="Avenir Book" w:eastAsia="Cambria" w:hAnsi="Avenir Book"/>
          <w:szCs w:val="24"/>
          <w:lang/>
        </w:rPr>
        <w:t>or a</w:t>
      </w:r>
      <w:r w:rsidRPr="00B06331">
        <w:rPr>
          <w:rFonts w:ascii="Avenir Book" w:eastAsia="Cambria" w:hAnsi="Avenir Book"/>
          <w:szCs w:val="24"/>
          <w:lang/>
        </w:rPr>
        <w:t xml:space="preserve"> reluctance</w:t>
      </w:r>
      <w:r w:rsidRPr="00B06331">
        <w:rPr>
          <w:rFonts w:ascii="Avenir Book" w:eastAsia="Cambria" w:hAnsi="Avenir Book"/>
          <w:szCs w:val="24"/>
          <w:lang/>
        </w:rPr>
        <w:t xml:space="preserve"> or</w:t>
      </w:r>
      <w:r w:rsidRPr="00B06331">
        <w:rPr>
          <w:rFonts w:ascii="Avenir Book" w:eastAsia="Cambria" w:hAnsi="Avenir Book"/>
          <w:szCs w:val="24"/>
          <w:lang/>
        </w:rPr>
        <w:t xml:space="preserve">refusal to register to avoid the numerous taxes and high tax rates. </w:t>
      </w:r>
      <w:r w:rsidRPr="00B06331">
        <w:rPr>
          <w:rFonts w:ascii="Avenir Book" w:eastAsia="Cambria" w:hAnsi="Avenir Book"/>
          <w:szCs w:val="24"/>
          <w:lang/>
        </w:rPr>
        <w:t xml:space="preserve">The lack of skills (trade related, advocacy, business management </w:t>
      </w:r>
      <w:r w:rsidR="00674DFF" w:rsidRPr="00B06331">
        <w:rPr>
          <w:rFonts w:ascii="Avenir Book" w:eastAsia="Cambria" w:hAnsi="Avenir Book"/>
          <w:szCs w:val="24"/>
          <w:lang/>
        </w:rPr>
        <w:t>etc.</w:t>
      </w:r>
      <w:r w:rsidRPr="00B06331">
        <w:rPr>
          <w:rFonts w:ascii="Avenir Book" w:eastAsia="Cambria" w:hAnsi="Avenir Book"/>
          <w:szCs w:val="24"/>
          <w:lang/>
        </w:rPr>
        <w:t xml:space="preserve">) that prevails in the sector, makes it imperative to build capacity in such areas. </w:t>
      </w:r>
    </w:p>
    <w:p w:rsidR="00604343" w:rsidRPr="00B06331" w:rsidRDefault="00604343" w:rsidP="00604343">
      <w:pPr>
        <w:pStyle w:val="ListParagraph"/>
        <w:spacing w:after="0"/>
        <w:ind w:left="0"/>
        <w:rPr>
          <w:rFonts w:ascii="Avenir Book" w:hAnsi="Avenir Book"/>
          <w:color w:val="365F91"/>
          <w:szCs w:val="24"/>
        </w:rPr>
      </w:pPr>
    </w:p>
    <w:p w:rsidR="00604343" w:rsidRPr="00B06331" w:rsidRDefault="00604343" w:rsidP="00604343">
      <w:pPr>
        <w:pStyle w:val="ListParagraph"/>
        <w:spacing w:after="0"/>
        <w:ind w:left="0"/>
        <w:rPr>
          <w:rFonts w:ascii="Avenir Book" w:eastAsia="Cambria" w:hAnsi="Avenir Book"/>
          <w:color w:val="365F91"/>
          <w:szCs w:val="24"/>
          <w:lang/>
        </w:rPr>
      </w:pPr>
      <w:r w:rsidRPr="00B06331">
        <w:rPr>
          <w:rFonts w:ascii="Avenir Book" w:hAnsi="Avenir Book"/>
          <w:color w:val="365F91"/>
          <w:szCs w:val="24"/>
        </w:rPr>
        <w:t>Industry &amp; Manufacturing</w:t>
      </w:r>
    </w:p>
    <w:p w:rsidR="00604343" w:rsidRPr="00B06331" w:rsidRDefault="00604343" w:rsidP="00604343">
      <w:pPr>
        <w:pStyle w:val="ListParagraph"/>
        <w:spacing w:after="0"/>
        <w:ind w:left="0"/>
        <w:jc w:val="both"/>
        <w:rPr>
          <w:rFonts w:ascii="Avenir Book" w:hAnsi="Avenir Book"/>
          <w:szCs w:val="24"/>
          <w:lang/>
        </w:rPr>
      </w:pPr>
    </w:p>
    <w:p w:rsidR="00604343" w:rsidRPr="00B06331" w:rsidRDefault="00604343" w:rsidP="00604343">
      <w:pPr>
        <w:pStyle w:val="ListParagraph"/>
        <w:spacing w:after="0"/>
        <w:ind w:left="0"/>
        <w:jc w:val="both"/>
        <w:rPr>
          <w:rFonts w:ascii="Avenir Book" w:hAnsi="Avenir Book"/>
          <w:szCs w:val="24"/>
        </w:rPr>
      </w:pPr>
      <w:r w:rsidRPr="00B06331">
        <w:rPr>
          <w:rFonts w:ascii="Avenir Book" w:hAnsi="Avenir Book"/>
          <w:szCs w:val="24"/>
        </w:rPr>
        <w:t>The manufacturing subsector contributes 5.5% (2014) to GDPemploys 4,500 people, but has been stagnant since 1995. This indicates a low level of industrialization as indicated by its Manufacturing Value Added (MVA) per capita, at about US$16 (UNIDO, 2010) - lower than the average for developing countries.  Manufacturing activities in The Gambia are dominated by light manufacturing consisting of clothing and textiles, food and beverages, metals and metallic works, wood and leather processing, and chemicals primarily used in the production of soaps and plastics, fish processing, etc. One of the critical challenges affecting the industrialization process is the lack of technological innovation as well as an outdated industrial policy.</w:t>
      </w:r>
    </w:p>
    <w:p w:rsidR="00604343" w:rsidRPr="00B06331" w:rsidRDefault="00604343" w:rsidP="00604343">
      <w:pPr>
        <w:tabs>
          <w:tab w:val="left" w:pos="720"/>
        </w:tabs>
        <w:spacing w:before="120" w:after="120"/>
        <w:jc w:val="both"/>
        <w:rPr>
          <w:rFonts w:ascii="Avenir Book" w:eastAsia="Cambria" w:hAnsi="Avenir Book"/>
          <w:lang/>
        </w:rPr>
      </w:pPr>
      <w:r w:rsidRPr="00B06331">
        <w:rPr>
          <w:rFonts w:ascii="Avenir Book" w:eastAsia="Cambria" w:hAnsi="Avenir Book"/>
          <w:szCs w:val="24"/>
          <w:lang/>
        </w:rPr>
        <w:t xml:space="preserve">The cotton ginnery, the Kuntaur rice mill and the agro-oil mill used to be thriving industries that have since folded. The agricultural sector is not well linked to the cottage industries and the value chain of industrial processes to spur economic productivity and output. A competitive agro-industry, which offers value-added goods while improving product safety and quality, will foster development and poverty alleviationvalue addition remains a perennial challenge agricultural produce.., A sound financial sector matters for development as  it promotes sustained growth by channeling savings to profitable investment opportunities and monitors firms to ensure proper use of such financial resources while </w:t>
      </w:r>
      <w:r w:rsidRPr="00B06331">
        <w:rPr>
          <w:rFonts w:ascii="Avenir Book" w:eastAsia="Cambria" w:hAnsi="Avenir Book"/>
          <w:szCs w:val="24"/>
          <w:lang/>
        </w:rPr>
        <w:lastRenderedPageBreak/>
        <w:t xml:space="preserve">protecting consumers and investors from the risks inherent in every economic activity. It is critical to development as two of the sectors most likely to generate significant growth and employment – agro-industry and tourism – </w:t>
      </w:r>
      <w:r w:rsidRPr="00B06331">
        <w:rPr>
          <w:rFonts w:ascii="Avenir Book" w:eastAsia="Cambria" w:hAnsi="Avenir Book"/>
          <w:lang/>
        </w:rPr>
        <w:t>face significant challenges in accessing funding for working capital and investment, which undermines their competitiveness.</w:t>
      </w:r>
    </w:p>
    <w:p w:rsidR="00312C4B"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FDI is the largest source of external finance in many developing economies. Attracting FDI is currently an important priority for The Gambia, with the current policy being a deliberate shift towards economic liberalization with an economy driven by a more outward market-oriented strategy.</w:t>
      </w:r>
    </w:p>
    <w:p w:rsidR="003B3B17" w:rsidRPr="00B06331" w:rsidRDefault="002920DE" w:rsidP="003B3B17">
      <w:pPr>
        <w:tabs>
          <w:tab w:val="left" w:pos="720"/>
        </w:tabs>
        <w:spacing w:before="360" w:after="0"/>
        <w:ind w:left="720"/>
        <w:jc w:val="both"/>
        <w:rPr>
          <w:rFonts w:cs="Calibri"/>
          <w:sz w:val="20"/>
        </w:rPr>
      </w:pPr>
      <w:r w:rsidRPr="00B06331">
        <w:rPr>
          <w:rFonts w:cs="Calibri"/>
          <w:sz w:val="20"/>
        </w:rPr>
        <w:t>FIG 3.10</w:t>
      </w:r>
      <w:r w:rsidR="003B3B17" w:rsidRPr="00B06331">
        <w:rPr>
          <w:rFonts w:cs="Calibri"/>
          <w:sz w:val="20"/>
        </w:rPr>
        <w:t>: Gambia FDI as% of GDP 2004-2014</w:t>
      </w:r>
    </w:p>
    <w:p w:rsidR="003B3B17" w:rsidRPr="00B06331" w:rsidRDefault="003B3B17" w:rsidP="003B3B17">
      <w:pPr>
        <w:jc w:val="center"/>
        <w:rPr>
          <w:rFonts w:cs="Calibri"/>
          <w:noProof/>
          <w:sz w:val="24"/>
          <w:szCs w:val="24"/>
        </w:rPr>
      </w:pPr>
      <w:r w:rsidRPr="00B06331">
        <w:rPr>
          <w:rFonts w:cs="Calibri"/>
          <w:noProof/>
          <w:sz w:val="24"/>
          <w:szCs w:val="24"/>
        </w:rPr>
        <w:drawing>
          <wp:inline distT="0" distB="0" distL="0" distR="0">
            <wp:extent cx="3900805" cy="2195830"/>
            <wp:effectExtent l="0" t="0" r="4445" b="0"/>
            <wp:docPr id="11" name="Picture 11" descr="chart147475832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47475832713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96" t="4547" r="16042" b="22128"/>
                    <a:stretch>
                      <a:fillRect/>
                    </a:stretch>
                  </pic:blipFill>
                  <pic:spPr bwMode="auto">
                    <a:xfrm>
                      <a:off x="0" y="0"/>
                      <a:ext cx="3900805" cy="2195830"/>
                    </a:xfrm>
                    <a:prstGeom prst="rect">
                      <a:avLst/>
                    </a:prstGeom>
                    <a:noFill/>
                    <a:ln>
                      <a:noFill/>
                    </a:ln>
                  </pic:spPr>
                </pic:pic>
              </a:graphicData>
            </a:graphic>
          </wp:inline>
        </w:drawing>
      </w:r>
    </w:p>
    <w:p w:rsidR="003B3B17" w:rsidRPr="00B06331" w:rsidRDefault="003B3B17" w:rsidP="003B3B17">
      <w:pPr>
        <w:tabs>
          <w:tab w:val="left" w:pos="720"/>
        </w:tabs>
        <w:spacing w:before="360" w:after="0"/>
        <w:ind w:left="720"/>
        <w:jc w:val="both"/>
        <w:rPr>
          <w:rFonts w:cs="Calibri"/>
          <w:sz w:val="16"/>
        </w:rPr>
      </w:pPr>
      <w:r w:rsidRPr="00B06331">
        <w:rPr>
          <w:rFonts w:cs="Calibri"/>
          <w:sz w:val="16"/>
        </w:rPr>
        <w:tab/>
      </w:r>
      <w:r w:rsidRPr="00B06331">
        <w:rPr>
          <w:rFonts w:cs="Calibri"/>
          <w:sz w:val="16"/>
        </w:rPr>
        <w:tab/>
      </w:r>
      <w:r w:rsidRPr="00B06331">
        <w:rPr>
          <w:rFonts w:cs="Calibri"/>
          <w:sz w:val="16"/>
        </w:rPr>
        <w:tab/>
      </w:r>
      <w:r w:rsidRPr="00B06331">
        <w:rPr>
          <w:rFonts w:cs="Calibri"/>
          <w:sz w:val="16"/>
        </w:rPr>
        <w:tab/>
        <w:t>FIG 3.</w:t>
      </w:r>
      <w:r w:rsidR="002920DE" w:rsidRPr="00B06331">
        <w:rPr>
          <w:rFonts w:cs="Calibri"/>
          <w:sz w:val="16"/>
        </w:rPr>
        <w:t>10</w:t>
      </w:r>
      <w:r w:rsidRPr="00B06331">
        <w:rPr>
          <w:rFonts w:cs="Calibri"/>
          <w:sz w:val="16"/>
        </w:rPr>
        <w:t>: Gambia FDI as% of GDP 2004-2014</w:t>
      </w:r>
    </w:p>
    <w:p w:rsidR="003B3B17" w:rsidRPr="00B06331" w:rsidRDefault="00312C4B" w:rsidP="00312C4B">
      <w:pPr>
        <w:pStyle w:val="Heading3"/>
        <w:rPr>
          <w:rFonts w:asciiTheme="minorHAnsi" w:hAnsiTheme="minorHAnsi" w:cstheme="minorHAnsi"/>
          <w:b/>
          <w:sz w:val="22"/>
        </w:rPr>
      </w:pPr>
      <w:bookmarkStart w:id="65" w:name="_Toc492364744"/>
      <w:r w:rsidRPr="00B06331">
        <w:rPr>
          <w:rFonts w:asciiTheme="minorHAnsi" w:hAnsiTheme="minorHAnsi" w:cstheme="minorHAnsi"/>
          <w:b/>
          <w:sz w:val="22"/>
        </w:rPr>
        <w:t xml:space="preserve">3.6.2 </w:t>
      </w:r>
      <w:r w:rsidR="003B3B17" w:rsidRPr="00B06331">
        <w:rPr>
          <w:rFonts w:asciiTheme="minorHAnsi" w:hAnsiTheme="minorHAnsi" w:cstheme="minorHAnsi"/>
          <w:b/>
          <w:sz w:val="22"/>
        </w:rPr>
        <w:t>Trade and Regional Integration</w:t>
      </w:r>
      <w:bookmarkEnd w:id="65"/>
    </w:p>
    <w:p w:rsidR="001953F9" w:rsidRPr="00B06331" w:rsidRDefault="001953F9" w:rsidP="00D811EB">
      <w:pPr>
        <w:spacing w:line="240" w:lineRule="auto"/>
        <w:jc w:val="both"/>
        <w:rPr>
          <w:rFonts w:ascii="Avenir Book" w:eastAsia="MS ??" w:hAnsi="Avenir Book"/>
        </w:rPr>
      </w:pPr>
    </w:p>
    <w:p w:rsidR="00D811EB" w:rsidRPr="00B06331" w:rsidRDefault="00D811EB" w:rsidP="00D811EB">
      <w:pPr>
        <w:spacing w:line="240" w:lineRule="auto"/>
        <w:jc w:val="both"/>
        <w:rPr>
          <w:rFonts w:ascii="Avenir Book" w:eastAsia="MS ??" w:hAnsi="Avenir Book"/>
        </w:rPr>
      </w:pPr>
      <w:r w:rsidRPr="00B06331">
        <w:rPr>
          <w:rFonts w:ascii="Avenir Book" w:eastAsia="MS ??" w:hAnsi="Avenir Book"/>
        </w:rPr>
        <w:t>Trade has always been an important economic activity in The Gambia creating job opportunities, generating income, and contributing to poverty reduction. For decades, The Gambia had served as a regional entrepôt, with imported goods being transported to the hinterland using the river Gambia. Supported by relatively low import taxes, a well-functioning port and customs services and limited administrative barriers, The Gambia’s position as a trading centre was reinforced (DTIS 2014). Business boomed and riverine settlements mushroomed along the river Gambia; Kaur-whaftown, Kuntaur, Tenda-Ba, Njawara, Janjabureh, Basse and Fatoto became bustling trading capitals. Gambia still serves as the port to many countries within the sub region (such as Mali, Guinea Bissau, Guinea Conakry and Southern Senegal) although this has since declined it has lost competitiveness due to a number of trade related policy decisions.</w:t>
      </w:r>
    </w:p>
    <w:p w:rsidR="00D811EB" w:rsidRPr="00B06331" w:rsidRDefault="00D811EB" w:rsidP="00D811EB">
      <w:pPr>
        <w:spacing w:line="240" w:lineRule="auto"/>
        <w:jc w:val="both"/>
        <w:rPr>
          <w:rFonts w:ascii="Avenir Book" w:eastAsia="MS ??" w:hAnsi="Avenir Book"/>
        </w:rPr>
      </w:pPr>
      <w:r w:rsidRPr="00B06331">
        <w:rPr>
          <w:rFonts w:ascii="Avenir Book" w:eastAsia="MS ??" w:hAnsi="Avenir Book"/>
        </w:rPr>
        <w:t xml:space="preserve">Imports dominate trading, accounting for 39% of GDP in 2014 (CCA, 2015), of which 33% comprise of food and agricultural products while 43% constitutes fuel and manufacturing inputs. In terms of the value of total imports, The Gambia registered a 6.6% increase from D16.1 billion in 2014 to D17.2 billion in 2015, due mainly to an increase in domestic demand. , A significant proportion of imports (estimated around 30%) is still destined for re-export which mainly focus on textile and wood In 2015. , The Gambia’s main exports were groundnut (32.7%), followed by Cashew nuts (20.6%), wood and articles of wood (mainly logs 20.1%) and fish and fisheries products (13.6%). These four products accounted for </w:t>
      </w:r>
      <w:r w:rsidRPr="00B06331">
        <w:rPr>
          <w:rFonts w:ascii="Avenir Book" w:eastAsia="MS ??" w:hAnsi="Avenir Book"/>
        </w:rPr>
        <w:lastRenderedPageBreak/>
        <w:t xml:space="preserve">87% of the total value </w:t>
      </w:r>
      <w:r w:rsidR="00623875" w:rsidRPr="00B06331">
        <w:rPr>
          <w:rFonts w:ascii="Avenir Book" w:eastAsia="MS ??" w:hAnsi="Avenir Book"/>
        </w:rPr>
        <w:t>of domestic</w:t>
      </w:r>
      <w:r w:rsidRPr="00B06331">
        <w:rPr>
          <w:rFonts w:ascii="Avenir Book" w:eastAsia="MS ??" w:hAnsi="Avenir Book"/>
        </w:rPr>
        <w:t xml:space="preserve"> exports valued at D3.8 billion. Cashew and sesame are also showing promise, although both currently account for approximately 5% of export revenue. Other export products relate to the tourism sector which constitutes the country’s main foreign exchange earner accounting for 60% of the country’s foreign exchange earnings. The trading base is thus narrow, with heavy reliance on two sectors (agriculture and tourism) for foreign exchange earnings over the past 5 decades. </w:t>
      </w:r>
    </w:p>
    <w:p w:rsidR="00D811EB" w:rsidRPr="00B06331" w:rsidRDefault="00D811EB" w:rsidP="00D811EB">
      <w:pPr>
        <w:spacing w:line="240" w:lineRule="auto"/>
        <w:jc w:val="both"/>
        <w:rPr>
          <w:rFonts w:ascii="Avenir Book" w:eastAsia="MS ??" w:hAnsi="Avenir Book"/>
        </w:rPr>
      </w:pPr>
      <w:r w:rsidRPr="00B06331">
        <w:rPr>
          <w:rFonts w:ascii="Avenir Book" w:eastAsia="MS ??" w:hAnsi="Avenir Book"/>
        </w:rPr>
        <w:t>ECOWAS, Asia, and the EU continue to be the main sources of Gambian imports as well as the top destinations for The Gambia’s exports.</w:t>
      </w:r>
    </w:p>
    <w:p w:rsidR="00D811EB" w:rsidRPr="00B06331" w:rsidRDefault="00D811EB" w:rsidP="00D811EB">
      <w:pPr>
        <w:tabs>
          <w:tab w:val="left" w:pos="720"/>
        </w:tabs>
        <w:spacing w:before="120" w:after="120"/>
        <w:jc w:val="both"/>
        <w:rPr>
          <w:rFonts w:ascii="Avenir Book" w:eastAsia="MS ??" w:hAnsi="Avenir Book"/>
        </w:rPr>
      </w:pPr>
      <w:r w:rsidRPr="00B06331">
        <w:rPr>
          <w:rFonts w:ascii="Avenir Book" w:eastAsia="MS ??" w:hAnsi="Avenir Book"/>
        </w:rPr>
        <w:t>Consequently, The Gambia’s trading landscape is characterized by declining and stagnant domestic exports and an increasing growth in imports which has led to a continuous current account deficit, which by 2015, stood at 13.3% of GDP. Indeed, this has been the trend over the last 30-years except for a few years (in 2003, 2007) when The Gambia’s trading activities registered a trade surplus. For decades, The Gambia has been faced with serious trade challenges, which explains the cou</w:t>
      </w:r>
      <w:r w:rsidR="001953F9" w:rsidRPr="00B06331">
        <w:rPr>
          <w:rFonts w:ascii="Avenir Book" w:eastAsia="MS ??" w:hAnsi="Avenir Book"/>
        </w:rPr>
        <w:t>ntry’s lackluster</w:t>
      </w:r>
      <w:r w:rsidRPr="00B06331">
        <w:rPr>
          <w:rFonts w:ascii="Avenir Book" w:eastAsia="MS ??" w:hAnsi="Avenir Book"/>
        </w:rPr>
        <w:t xml:space="preserve"> GDP growth. The Gambia’s trade competitiveness is weak and therefore the country is unable to seize market opportunities and claim a bigger share of the global market. </w:t>
      </w:r>
    </w:p>
    <w:p w:rsidR="00312C4B" w:rsidRPr="00B06331" w:rsidRDefault="00D811EB" w:rsidP="00D811EB">
      <w:pPr>
        <w:pStyle w:val="ListParagraph"/>
        <w:tabs>
          <w:tab w:val="left" w:pos="720"/>
        </w:tabs>
        <w:spacing w:before="120" w:after="120"/>
        <w:ind w:left="0"/>
        <w:jc w:val="both"/>
        <w:rPr>
          <w:rFonts w:ascii="Avenir Book" w:eastAsia="MS ??" w:hAnsi="Avenir Book"/>
        </w:rPr>
      </w:pPr>
      <w:r w:rsidRPr="00B06331">
        <w:rPr>
          <w:rFonts w:ascii="Avenir Book" w:eastAsia="MS ??" w:hAnsi="Avenir Book"/>
        </w:rPr>
        <w:t xml:space="preserve">The Gambia is classified as a Least Developed Country (LDC). As </w:t>
      </w:r>
      <w:r w:rsidR="00623875" w:rsidRPr="00B06331">
        <w:rPr>
          <w:rFonts w:ascii="Avenir Book" w:eastAsia="MS ??" w:hAnsi="Avenir Book"/>
        </w:rPr>
        <w:t>such,</w:t>
      </w:r>
      <w:r w:rsidRPr="00B06331">
        <w:rPr>
          <w:rFonts w:ascii="Avenir Book" w:eastAsia="MS ??" w:hAnsi="Avenir Book"/>
        </w:rPr>
        <w:t xml:space="preserve"> access of Gambia’s products is not subjected to tariffs in most export markets. The country benefits from preferential access granted by its trading partners, notably the largest industrialized countries under the generalized system of preference and the EU under “Everything But Arms” (EBA) Initiative and the US African Growth and Opportunity ACT (AGOA). The Gambia also enjoys nearly complete duty-free, quota-free (DFQF) access in major markets of the world. However, the Gambia has not been able to take full advantage of these export market opportunities due to many inherent supply side constraints. Key is compliance with World Trade Organization (WTO) Sanitary and Phyto Sanitary (SBS) requirements and Technical Barriers to Trade (TBT) Agreements as well </w:t>
      </w:r>
      <w:r w:rsidR="00623875" w:rsidRPr="00B06331">
        <w:rPr>
          <w:rFonts w:ascii="Avenir Book" w:eastAsia="MS ??" w:hAnsi="Avenir Book"/>
        </w:rPr>
        <w:t>as market</w:t>
      </w:r>
      <w:r w:rsidRPr="00B06331">
        <w:rPr>
          <w:rFonts w:ascii="Avenir Book" w:eastAsia="MS ??" w:hAnsi="Avenir Book"/>
        </w:rPr>
        <w:t xml:space="preserve"> information gaps and limitations imposed by the Standards and Technical requirements in the export markets. </w:t>
      </w:r>
    </w:p>
    <w:p w:rsidR="003B3B17" w:rsidRPr="00B06331" w:rsidRDefault="002615E7" w:rsidP="003B3B17">
      <w:pPr>
        <w:tabs>
          <w:tab w:val="left" w:pos="720"/>
        </w:tabs>
        <w:spacing w:before="120" w:after="120"/>
        <w:jc w:val="both"/>
        <w:rPr>
          <w:rFonts w:ascii="Avenir Book" w:eastAsia="MS ??" w:hAnsi="Avenir Book"/>
          <w:b/>
          <w:sz w:val="18"/>
        </w:rPr>
      </w:pPr>
      <w:r w:rsidRPr="00B06331">
        <w:rPr>
          <w:rFonts w:ascii="Avenir Book" w:eastAsia="MS ??" w:hAnsi="Avenir Book"/>
          <w:b/>
          <w:sz w:val="18"/>
        </w:rPr>
        <w:t>Table 3.6</w:t>
      </w:r>
      <w:r w:rsidR="003B3B17" w:rsidRPr="00B06331">
        <w:rPr>
          <w:rFonts w:ascii="Avenir Book" w:eastAsia="MS ??" w:hAnsi="Avenir Book"/>
          <w:b/>
          <w:sz w:val="18"/>
        </w:rPr>
        <w:t>: Summary of The Gambia’s external trade in D’ 000</w:t>
      </w:r>
    </w:p>
    <w:tbl>
      <w:tblPr>
        <w:tblStyle w:val="GridTable4-Accent12"/>
        <w:tblW w:w="8625" w:type="dxa"/>
        <w:tblLayout w:type="fixed"/>
        <w:tblLook w:val="04A0"/>
      </w:tblPr>
      <w:tblGrid>
        <w:gridCol w:w="1957"/>
        <w:gridCol w:w="1243"/>
        <w:gridCol w:w="1598"/>
        <w:gridCol w:w="1332"/>
        <w:gridCol w:w="1420"/>
        <w:gridCol w:w="1075"/>
      </w:tblGrid>
      <w:tr w:rsidR="003B3B17" w:rsidRPr="00B06331" w:rsidTr="003B3B17">
        <w:trPr>
          <w:cnfStyle w:val="100000000000"/>
          <w:trHeight w:val="301"/>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b w:val="0"/>
                <w:bCs w:val="0"/>
                <w:szCs w:val="16"/>
                <w:lang w:val="en-GB" w:eastAsia="en-GB"/>
              </w:rPr>
            </w:pPr>
            <w:r w:rsidRPr="00B06331">
              <w:rPr>
                <w:rFonts w:eastAsia="Times New Roman" w:cs="Calibri"/>
                <w:b w:val="0"/>
                <w:bCs w:val="0"/>
                <w:szCs w:val="16"/>
                <w:lang w:val="en-GB" w:eastAsia="en-GB"/>
              </w:rPr>
              <w:t>Trade</w:t>
            </w:r>
          </w:p>
        </w:tc>
        <w:tc>
          <w:tcPr>
            <w:tcW w:w="1243" w:type="dxa"/>
            <w:hideMark/>
          </w:tcPr>
          <w:p w:rsidR="003B3B17" w:rsidRPr="00B06331" w:rsidRDefault="003B3B17" w:rsidP="003B3B17">
            <w:pPr>
              <w:spacing w:after="0"/>
              <w:ind w:left="720" w:hanging="720"/>
              <w:contextualSpacing/>
              <w:jc w:val="both"/>
              <w:cnfStyle w:val="100000000000"/>
              <w:rPr>
                <w:rFonts w:eastAsia="Times New Roman" w:cs="Calibri"/>
                <w:b w:val="0"/>
                <w:bCs w:val="0"/>
                <w:szCs w:val="16"/>
                <w:lang w:val="en-GB" w:eastAsia="en-GB"/>
              </w:rPr>
            </w:pPr>
            <w:r w:rsidRPr="00B06331">
              <w:rPr>
                <w:rFonts w:eastAsia="Times New Roman" w:cs="Calibri"/>
                <w:b w:val="0"/>
                <w:bCs w:val="0"/>
                <w:szCs w:val="16"/>
                <w:lang w:val="en-GB" w:eastAsia="en-GB"/>
              </w:rPr>
              <w:t>2012</w:t>
            </w:r>
          </w:p>
        </w:tc>
        <w:tc>
          <w:tcPr>
            <w:tcW w:w="1598" w:type="dxa"/>
            <w:hideMark/>
          </w:tcPr>
          <w:p w:rsidR="003B3B17" w:rsidRPr="00B06331" w:rsidRDefault="003B3B17" w:rsidP="003B3B17">
            <w:pPr>
              <w:spacing w:after="0"/>
              <w:ind w:left="720" w:hanging="720"/>
              <w:contextualSpacing/>
              <w:jc w:val="both"/>
              <w:cnfStyle w:val="100000000000"/>
              <w:rPr>
                <w:rFonts w:eastAsia="Times New Roman" w:cs="Calibri"/>
                <w:b w:val="0"/>
                <w:bCs w:val="0"/>
                <w:szCs w:val="16"/>
                <w:lang w:val="en-GB" w:eastAsia="en-GB"/>
              </w:rPr>
            </w:pPr>
            <w:r w:rsidRPr="00B06331">
              <w:rPr>
                <w:rFonts w:eastAsia="Times New Roman" w:cs="Calibri"/>
                <w:b w:val="0"/>
                <w:bCs w:val="0"/>
                <w:szCs w:val="16"/>
                <w:lang w:val="en-GB" w:eastAsia="en-GB"/>
              </w:rPr>
              <w:t>2013</w:t>
            </w:r>
          </w:p>
        </w:tc>
        <w:tc>
          <w:tcPr>
            <w:tcW w:w="1332" w:type="dxa"/>
            <w:noWrap/>
            <w:hideMark/>
          </w:tcPr>
          <w:p w:rsidR="003B3B17" w:rsidRPr="00B06331" w:rsidRDefault="003B3B17" w:rsidP="003B3B17">
            <w:pPr>
              <w:spacing w:after="0"/>
              <w:ind w:left="720" w:hanging="720"/>
              <w:contextualSpacing/>
              <w:jc w:val="both"/>
              <w:cnfStyle w:val="100000000000"/>
              <w:rPr>
                <w:rFonts w:eastAsia="Times New Roman" w:cs="Calibri"/>
                <w:b w:val="0"/>
                <w:bCs w:val="0"/>
                <w:szCs w:val="16"/>
                <w:lang w:val="en-GB" w:eastAsia="en-GB"/>
              </w:rPr>
            </w:pPr>
            <w:r w:rsidRPr="00B06331">
              <w:rPr>
                <w:rFonts w:eastAsia="Times New Roman" w:cs="Calibri"/>
                <w:b w:val="0"/>
                <w:bCs w:val="0"/>
                <w:szCs w:val="16"/>
                <w:lang w:val="en-GB" w:eastAsia="en-GB"/>
              </w:rPr>
              <w:t>2014</w:t>
            </w:r>
          </w:p>
        </w:tc>
        <w:tc>
          <w:tcPr>
            <w:tcW w:w="1420" w:type="dxa"/>
            <w:noWrap/>
            <w:hideMark/>
          </w:tcPr>
          <w:p w:rsidR="003B3B17" w:rsidRPr="00B06331" w:rsidRDefault="003B3B17" w:rsidP="003B3B17">
            <w:pPr>
              <w:spacing w:after="0"/>
              <w:ind w:left="720" w:hanging="720"/>
              <w:contextualSpacing/>
              <w:jc w:val="both"/>
              <w:cnfStyle w:val="100000000000"/>
              <w:rPr>
                <w:rFonts w:eastAsia="Times New Roman" w:cs="Calibri"/>
                <w:b w:val="0"/>
                <w:bCs w:val="0"/>
                <w:szCs w:val="16"/>
                <w:lang w:val="en-GB" w:eastAsia="en-GB"/>
              </w:rPr>
            </w:pPr>
            <w:r w:rsidRPr="00B06331">
              <w:rPr>
                <w:rFonts w:eastAsia="Times New Roman" w:cs="Calibri"/>
                <w:b w:val="0"/>
                <w:bCs w:val="0"/>
                <w:szCs w:val="16"/>
                <w:lang w:val="en-GB" w:eastAsia="en-GB"/>
              </w:rPr>
              <w:t>2015</w:t>
            </w:r>
          </w:p>
        </w:tc>
        <w:tc>
          <w:tcPr>
            <w:tcW w:w="1075" w:type="dxa"/>
            <w:hideMark/>
          </w:tcPr>
          <w:p w:rsidR="003B3B17" w:rsidRPr="00B06331" w:rsidRDefault="003B3B17" w:rsidP="003B3B17">
            <w:pPr>
              <w:spacing w:after="0"/>
              <w:ind w:left="720" w:hanging="720"/>
              <w:contextualSpacing/>
              <w:jc w:val="both"/>
              <w:cnfStyle w:val="100000000000"/>
              <w:rPr>
                <w:rFonts w:eastAsia="Times New Roman" w:cs="Calibri"/>
                <w:b w:val="0"/>
                <w:bCs w:val="0"/>
                <w:szCs w:val="16"/>
                <w:lang w:val="en-GB" w:eastAsia="en-GB"/>
              </w:rPr>
            </w:pPr>
            <w:r w:rsidRPr="00B06331">
              <w:rPr>
                <w:rFonts w:eastAsia="Times New Roman" w:cs="Calibri"/>
                <w:b w:val="0"/>
                <w:bCs w:val="0"/>
                <w:szCs w:val="16"/>
                <w:lang w:val="en-GB" w:eastAsia="en-GB"/>
              </w:rPr>
              <w:t>%Change</w:t>
            </w:r>
          </w:p>
        </w:tc>
      </w:tr>
      <w:tr w:rsidR="003B3B17" w:rsidRPr="00B06331" w:rsidTr="003B3B17">
        <w:trPr>
          <w:cnfStyle w:val="000000100000"/>
          <w:trHeight w:val="259"/>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szCs w:val="16"/>
                <w:lang w:val="en-GB" w:eastAsia="en-GB"/>
              </w:rPr>
            </w:pPr>
            <w:r w:rsidRPr="00B06331">
              <w:rPr>
                <w:rFonts w:eastAsia="Times New Roman" w:cs="Calibri"/>
                <w:szCs w:val="16"/>
                <w:lang w:val="en-GB" w:eastAsia="en-GB"/>
              </w:rPr>
              <w:t>Total Trade</w:t>
            </w:r>
          </w:p>
        </w:tc>
        <w:tc>
          <w:tcPr>
            <w:tcW w:w="1243"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16,687,912</w:t>
            </w:r>
          </w:p>
        </w:tc>
        <w:tc>
          <w:tcPr>
            <w:tcW w:w="1598"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bCs/>
                <w:szCs w:val="16"/>
                <w:lang w:val="en-GB" w:eastAsia="en-GB"/>
              </w:rPr>
              <w:t>16,201,935</w:t>
            </w:r>
          </w:p>
        </w:tc>
        <w:tc>
          <w:tcPr>
            <w:tcW w:w="1332" w:type="dxa"/>
            <w:noWrap/>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19,772,215</w:t>
            </w:r>
          </w:p>
        </w:tc>
        <w:tc>
          <w:tcPr>
            <w:tcW w:w="1420" w:type="dxa"/>
            <w:noWrap/>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20,995,589</w:t>
            </w:r>
          </w:p>
        </w:tc>
        <w:tc>
          <w:tcPr>
            <w:tcW w:w="1075"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6.2%</w:t>
            </w:r>
          </w:p>
        </w:tc>
      </w:tr>
      <w:tr w:rsidR="003B3B17" w:rsidRPr="00B06331" w:rsidTr="003B3B17">
        <w:trPr>
          <w:trHeight w:val="151"/>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szCs w:val="16"/>
                <w:lang w:val="en-GB" w:eastAsia="en-GB"/>
              </w:rPr>
            </w:pPr>
            <w:r w:rsidRPr="00B06331">
              <w:rPr>
                <w:rFonts w:eastAsia="Times New Roman" w:cs="Calibri"/>
                <w:szCs w:val="16"/>
                <w:lang w:val="en-GB" w:eastAsia="en-GB"/>
              </w:rPr>
              <w:t>Imports</w:t>
            </w:r>
          </w:p>
        </w:tc>
        <w:tc>
          <w:tcPr>
            <w:tcW w:w="1243"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12,898,329</w:t>
            </w:r>
          </w:p>
        </w:tc>
        <w:tc>
          <w:tcPr>
            <w:tcW w:w="1598"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12,394,622</w:t>
            </w:r>
          </w:p>
        </w:tc>
        <w:tc>
          <w:tcPr>
            <w:tcW w:w="1332" w:type="dxa"/>
            <w:noWrap/>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16,105,573</w:t>
            </w:r>
          </w:p>
        </w:tc>
        <w:tc>
          <w:tcPr>
            <w:tcW w:w="1420" w:type="dxa"/>
            <w:noWrap/>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17,164,892</w:t>
            </w:r>
          </w:p>
        </w:tc>
        <w:tc>
          <w:tcPr>
            <w:tcW w:w="1075"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6.6%</w:t>
            </w:r>
          </w:p>
        </w:tc>
      </w:tr>
      <w:tr w:rsidR="003B3B17" w:rsidRPr="00B06331" w:rsidTr="003B3B17">
        <w:trPr>
          <w:cnfStyle w:val="000000100000"/>
          <w:trHeight w:val="178"/>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szCs w:val="16"/>
                <w:lang w:val="en-GB" w:eastAsia="en-GB"/>
              </w:rPr>
            </w:pPr>
            <w:r w:rsidRPr="00B06331">
              <w:rPr>
                <w:rFonts w:eastAsia="Times New Roman" w:cs="Calibri"/>
                <w:szCs w:val="16"/>
                <w:lang w:val="en-GB" w:eastAsia="en-GB"/>
              </w:rPr>
              <w:t>Domestic export</w:t>
            </w:r>
          </w:p>
        </w:tc>
        <w:tc>
          <w:tcPr>
            <w:tcW w:w="1243"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590,351</w:t>
            </w:r>
          </w:p>
        </w:tc>
        <w:tc>
          <w:tcPr>
            <w:tcW w:w="1598"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426,688</w:t>
            </w:r>
          </w:p>
        </w:tc>
        <w:tc>
          <w:tcPr>
            <w:tcW w:w="1332" w:type="dxa"/>
            <w:noWrap/>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656,713</w:t>
            </w:r>
          </w:p>
        </w:tc>
        <w:tc>
          <w:tcPr>
            <w:tcW w:w="1420" w:type="dxa"/>
            <w:noWrap/>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668,108</w:t>
            </w:r>
          </w:p>
        </w:tc>
        <w:tc>
          <w:tcPr>
            <w:tcW w:w="1075"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1.7%</w:t>
            </w:r>
          </w:p>
        </w:tc>
      </w:tr>
      <w:tr w:rsidR="003B3B17" w:rsidRPr="00B06331" w:rsidTr="003B3B17">
        <w:trPr>
          <w:trHeight w:val="205"/>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szCs w:val="16"/>
                <w:lang w:val="en-GB" w:eastAsia="en-GB"/>
              </w:rPr>
            </w:pPr>
            <w:r w:rsidRPr="00B06331">
              <w:rPr>
                <w:rFonts w:eastAsia="Times New Roman" w:cs="Calibri"/>
                <w:szCs w:val="16"/>
                <w:lang w:val="en-GB" w:eastAsia="en-GB"/>
              </w:rPr>
              <w:t>Re-export</w:t>
            </w:r>
          </w:p>
        </w:tc>
        <w:tc>
          <w:tcPr>
            <w:tcW w:w="1243"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3,199,232</w:t>
            </w:r>
          </w:p>
        </w:tc>
        <w:tc>
          <w:tcPr>
            <w:tcW w:w="1598"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3,380,625</w:t>
            </w:r>
          </w:p>
        </w:tc>
        <w:tc>
          <w:tcPr>
            <w:tcW w:w="1332" w:type="dxa"/>
            <w:noWrap/>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3,666,642</w:t>
            </w:r>
          </w:p>
        </w:tc>
        <w:tc>
          <w:tcPr>
            <w:tcW w:w="1420" w:type="dxa"/>
            <w:noWrap/>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3,162,589</w:t>
            </w:r>
          </w:p>
        </w:tc>
        <w:tc>
          <w:tcPr>
            <w:tcW w:w="1075"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-13.7%</w:t>
            </w:r>
          </w:p>
        </w:tc>
      </w:tr>
      <w:tr w:rsidR="003B3B17" w:rsidRPr="00B06331" w:rsidTr="003B3B17">
        <w:trPr>
          <w:cnfStyle w:val="000000100000"/>
          <w:trHeight w:val="232"/>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szCs w:val="16"/>
                <w:lang w:val="en-GB" w:eastAsia="en-GB"/>
              </w:rPr>
            </w:pPr>
            <w:r w:rsidRPr="00B06331">
              <w:rPr>
                <w:rFonts w:eastAsia="Times New Roman" w:cs="Calibri"/>
                <w:szCs w:val="16"/>
                <w:lang w:val="en-GB" w:eastAsia="en-GB"/>
              </w:rPr>
              <w:t>Total exports</w:t>
            </w:r>
          </w:p>
        </w:tc>
        <w:tc>
          <w:tcPr>
            <w:tcW w:w="1243"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3,789,583</w:t>
            </w:r>
          </w:p>
        </w:tc>
        <w:tc>
          <w:tcPr>
            <w:tcW w:w="1598"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3,807,313</w:t>
            </w:r>
          </w:p>
        </w:tc>
        <w:tc>
          <w:tcPr>
            <w:tcW w:w="1332" w:type="dxa"/>
            <w:noWrap/>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4,323,355</w:t>
            </w:r>
          </w:p>
        </w:tc>
        <w:tc>
          <w:tcPr>
            <w:tcW w:w="1420" w:type="dxa"/>
            <w:noWrap/>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3,830,697</w:t>
            </w:r>
          </w:p>
        </w:tc>
        <w:tc>
          <w:tcPr>
            <w:tcW w:w="1075" w:type="dxa"/>
            <w:hideMark/>
          </w:tcPr>
          <w:p w:rsidR="003B3B17" w:rsidRPr="00B06331" w:rsidRDefault="003B3B17" w:rsidP="003B3B17">
            <w:pPr>
              <w:spacing w:after="0"/>
              <w:ind w:left="720" w:hanging="720"/>
              <w:contextualSpacing/>
              <w:jc w:val="right"/>
              <w:cnfStyle w:val="000000100000"/>
              <w:rPr>
                <w:rFonts w:eastAsia="Times New Roman" w:cs="Calibri"/>
                <w:szCs w:val="16"/>
                <w:lang w:val="en-GB" w:eastAsia="en-GB"/>
              </w:rPr>
            </w:pPr>
            <w:r w:rsidRPr="00B06331">
              <w:rPr>
                <w:rFonts w:eastAsia="Times New Roman" w:cs="Calibri"/>
                <w:szCs w:val="16"/>
                <w:lang w:val="en-GB" w:eastAsia="en-GB"/>
              </w:rPr>
              <w:t>-11.4%</w:t>
            </w:r>
          </w:p>
        </w:tc>
      </w:tr>
      <w:tr w:rsidR="003B3B17" w:rsidRPr="00B06331" w:rsidTr="003B3B17">
        <w:trPr>
          <w:trHeight w:val="160"/>
        </w:trPr>
        <w:tc>
          <w:tcPr>
            <w:cnfStyle w:val="001000000000"/>
            <w:tcW w:w="1956" w:type="dxa"/>
            <w:hideMark/>
          </w:tcPr>
          <w:p w:rsidR="003B3B17" w:rsidRPr="00B06331" w:rsidRDefault="003B3B17" w:rsidP="003B3B17">
            <w:pPr>
              <w:spacing w:after="0"/>
              <w:ind w:left="720" w:hanging="720"/>
              <w:contextualSpacing/>
              <w:jc w:val="both"/>
              <w:rPr>
                <w:rFonts w:eastAsia="Times New Roman" w:cs="Calibri"/>
                <w:szCs w:val="16"/>
                <w:lang w:val="en-GB" w:eastAsia="en-GB"/>
              </w:rPr>
            </w:pPr>
            <w:r w:rsidRPr="00B06331">
              <w:rPr>
                <w:rFonts w:eastAsia="Times New Roman" w:cs="Calibri"/>
                <w:szCs w:val="16"/>
                <w:lang w:val="en-GB" w:eastAsia="en-GB"/>
              </w:rPr>
              <w:t xml:space="preserve">Trade Balance </w:t>
            </w:r>
          </w:p>
        </w:tc>
        <w:tc>
          <w:tcPr>
            <w:tcW w:w="1243"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-9,108,746</w:t>
            </w:r>
          </w:p>
        </w:tc>
        <w:tc>
          <w:tcPr>
            <w:tcW w:w="1598"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-8,587,309</w:t>
            </w:r>
          </w:p>
        </w:tc>
        <w:tc>
          <w:tcPr>
            <w:tcW w:w="1332" w:type="dxa"/>
            <w:noWrap/>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-11,782,218</w:t>
            </w:r>
          </w:p>
        </w:tc>
        <w:tc>
          <w:tcPr>
            <w:tcW w:w="1420" w:type="dxa"/>
            <w:noWrap/>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-13,334,195</w:t>
            </w:r>
          </w:p>
        </w:tc>
        <w:tc>
          <w:tcPr>
            <w:tcW w:w="1075" w:type="dxa"/>
            <w:hideMark/>
          </w:tcPr>
          <w:p w:rsidR="003B3B17" w:rsidRPr="00B06331" w:rsidRDefault="003B3B17" w:rsidP="003B3B17">
            <w:pPr>
              <w:spacing w:after="0"/>
              <w:ind w:left="720" w:hanging="720"/>
              <w:contextualSpacing/>
              <w:jc w:val="right"/>
              <w:cnfStyle w:val="000000000000"/>
              <w:rPr>
                <w:rFonts w:eastAsia="Times New Roman" w:cs="Calibri"/>
                <w:szCs w:val="16"/>
                <w:lang w:val="en-GB" w:eastAsia="en-GB"/>
              </w:rPr>
            </w:pPr>
            <w:r w:rsidRPr="00B06331">
              <w:rPr>
                <w:rFonts w:eastAsia="Times New Roman" w:cs="Calibri"/>
                <w:szCs w:val="16"/>
                <w:lang w:val="en-GB" w:eastAsia="en-GB"/>
              </w:rPr>
              <w:t>13.2%</w:t>
            </w:r>
          </w:p>
        </w:tc>
      </w:tr>
    </w:tbl>
    <w:p w:rsidR="003B3B17" w:rsidRPr="00B06331" w:rsidRDefault="003B3B17" w:rsidP="003B3B17">
      <w:pPr>
        <w:tabs>
          <w:tab w:val="left" w:pos="720"/>
        </w:tabs>
        <w:spacing w:after="0"/>
        <w:ind w:left="720" w:hanging="720"/>
        <w:contextualSpacing/>
        <w:jc w:val="both"/>
        <w:rPr>
          <w:rFonts w:cs="Calibri"/>
          <w:i/>
          <w:sz w:val="20"/>
          <w:szCs w:val="20"/>
          <w:lang w:val="en-GB"/>
        </w:rPr>
      </w:pPr>
      <w:r w:rsidRPr="00B06331">
        <w:rPr>
          <w:rFonts w:cs="Calibri"/>
          <w:i/>
          <w:lang w:val="en-GB"/>
        </w:rPr>
        <w:tab/>
      </w:r>
      <w:r w:rsidRPr="00B06331">
        <w:rPr>
          <w:rFonts w:cs="Calibri"/>
          <w:i/>
          <w:sz w:val="20"/>
          <w:szCs w:val="20"/>
          <w:lang w:val="en-GB"/>
        </w:rPr>
        <w:t xml:space="preserve">Source: MOTIE Trade Information Centre </w:t>
      </w:r>
    </w:p>
    <w:p w:rsidR="00117290" w:rsidRPr="00B06331" w:rsidRDefault="00117290" w:rsidP="00117290">
      <w:pPr>
        <w:jc w:val="both"/>
        <w:rPr>
          <w:rFonts w:ascii="Avenir Book" w:eastAsia="MS ??" w:hAnsi="Avenir Book"/>
        </w:rPr>
      </w:pPr>
    </w:p>
    <w:p w:rsidR="00117290" w:rsidRPr="00B06331" w:rsidRDefault="00117290" w:rsidP="00117290">
      <w:pPr>
        <w:jc w:val="both"/>
        <w:rPr>
          <w:rFonts w:ascii="Avenir Book" w:eastAsia="MS ??" w:hAnsi="Avenir Book"/>
        </w:rPr>
      </w:pPr>
      <w:r w:rsidRPr="00B06331">
        <w:rPr>
          <w:rFonts w:ascii="Avenir Book" w:eastAsia="MS ??" w:hAnsi="Avenir Book"/>
        </w:rPr>
        <w:t xml:space="preserve">The Gambia’s Trade Facilitation environment, for both hard and soft infrastructure, is challenged by limited size and inefficiencies at the Banjul Seaport due to manually based procedures that negate the advantages of automation at the road corridors and at custom points. With the WTO Trade Facilitation Agreement (TFA) entering into force, the need to be compliant and competitive as a sub-regional hub for transit trade is even more imperative. </w:t>
      </w:r>
    </w:p>
    <w:p w:rsidR="00117290" w:rsidRPr="00B06331" w:rsidRDefault="00117290" w:rsidP="00117290">
      <w:pPr>
        <w:jc w:val="both"/>
        <w:rPr>
          <w:rFonts w:ascii="Avenir Book" w:eastAsia="MS ??" w:hAnsi="Avenir Book"/>
        </w:rPr>
      </w:pPr>
      <w:r w:rsidRPr="00B06331">
        <w:rPr>
          <w:rFonts w:ascii="Avenir Book" w:eastAsia="MS ??" w:hAnsi="Avenir Book"/>
        </w:rPr>
        <w:lastRenderedPageBreak/>
        <w:t xml:space="preserve">With The Gambia’s imminent ratification of the WTO TFA, it becomes all the more important that the articles of the agreement are implemented, supported and monitored. A number of obligations under the agreement have been triggered with its coming into force including the requirement to submit within a year (February 2018) the categorization for each of the articles and sub-articles. </w:t>
      </w:r>
    </w:p>
    <w:p w:rsidR="00117290" w:rsidRPr="00B06331" w:rsidRDefault="00117290" w:rsidP="00117290">
      <w:pPr>
        <w:jc w:val="both"/>
        <w:rPr>
          <w:rFonts w:ascii="Avenir Book" w:eastAsia="MS ??" w:hAnsi="Avenir Book"/>
        </w:rPr>
      </w:pPr>
      <w:r w:rsidRPr="00B06331">
        <w:rPr>
          <w:rFonts w:ascii="Avenir Book" w:eastAsia="MS ??" w:hAnsi="Avenir Book"/>
        </w:rPr>
        <w:t xml:space="preserve">A comprehensive review of the articles needs to be completed as soon as possible for submission of the notification of categories. The WTO FTA requires that a National Trade Facilitation Committee (NTFC) be in place even before the FTA comes into force. The NTFC would need to be formalized by legislative decree. </w:t>
      </w:r>
    </w:p>
    <w:p w:rsidR="00117290" w:rsidRPr="00B06331" w:rsidRDefault="00117290" w:rsidP="00117290">
      <w:pPr>
        <w:jc w:val="both"/>
        <w:rPr>
          <w:rFonts w:ascii="Avenir Book" w:eastAsia="MS ??" w:hAnsi="Avenir Book"/>
        </w:rPr>
      </w:pPr>
      <w:r w:rsidRPr="00B06331">
        <w:rPr>
          <w:rFonts w:ascii="Avenir Book" w:eastAsia="MS ??" w:hAnsi="Avenir Book"/>
        </w:rPr>
        <w:t xml:space="preserve">The GRA’s migration to ASYCUDA World has a number of potential advantages including the enhancement of the risk management module, a web-based application with the potential to support a broader e-government application where connections can be directly made to other border management agencies’ systems such as banking, Ministry of Health, the port and the Ministry of Agriculture. Government needs to secure its financial shortfall to enable an extended, but comprehensive transition into the new version of ASYCUDA. </w:t>
      </w:r>
    </w:p>
    <w:p w:rsidR="00117290" w:rsidRPr="00B06331" w:rsidRDefault="00117290" w:rsidP="00117290">
      <w:pPr>
        <w:jc w:val="both"/>
        <w:rPr>
          <w:rFonts w:ascii="Avenir Book" w:eastAsia="MS ??" w:hAnsi="Avenir Book"/>
        </w:rPr>
      </w:pPr>
      <w:r w:rsidRPr="00B06331">
        <w:rPr>
          <w:rFonts w:ascii="Avenir Book" w:eastAsia="MS ??" w:hAnsi="Avenir Book"/>
        </w:rPr>
        <w:t xml:space="preserve">The instability of the electrical power system and lack of internet bandwidth impedes the ability for the GRA’s customs administration from using a national hub and spoke method to connect the land border crossings with the national HQ.  While there have been efforts from the GRA to improve the conditions of the land border crossings, more is still required to ensure consistent and reliable power and connectivity.  </w:t>
      </w:r>
    </w:p>
    <w:p w:rsidR="00117290" w:rsidRPr="00B06331" w:rsidRDefault="00117290" w:rsidP="00117290">
      <w:pPr>
        <w:jc w:val="both"/>
        <w:rPr>
          <w:rFonts w:ascii="Avenir Book" w:eastAsia="MS ??" w:hAnsi="Avenir Book"/>
        </w:rPr>
      </w:pPr>
      <w:r w:rsidRPr="00B06331">
        <w:rPr>
          <w:rFonts w:ascii="Avenir Book" w:eastAsia="MS ??" w:hAnsi="Avenir Book"/>
        </w:rPr>
        <w:t xml:space="preserve">Training, including the current training centre for the GRA, should be augmented to ensure that customs and other agencies with a border management mandate can come together to better serve the needs of the trade community. </w:t>
      </w:r>
    </w:p>
    <w:p w:rsidR="00117290" w:rsidRPr="00B06331" w:rsidRDefault="00117290" w:rsidP="00117290">
      <w:pPr>
        <w:jc w:val="both"/>
        <w:rPr>
          <w:rFonts w:ascii="Avenir Book" w:eastAsia="MS ??" w:hAnsi="Avenir Book"/>
        </w:rPr>
      </w:pPr>
      <w:r w:rsidRPr="00B06331">
        <w:rPr>
          <w:rFonts w:ascii="Avenir Book" w:eastAsia="MS ??" w:hAnsi="Avenir Book"/>
        </w:rPr>
        <w:t xml:space="preserve">There are challenges in the current implementation of the ISRT including lack of consistency in the application of the scheme within the neighboring countries thus muting the intended benefits of the program for the trade community. As a short-term measure, the government should work closely with the Senegalese authorities as a priority and the other transit gateway partners including Guinea Bissau and Guinea Conakry to optimize the sub-regional use of the ISRT to provide the full benefits of the protocol for the trade community. </w:t>
      </w:r>
    </w:p>
    <w:p w:rsidR="00117290" w:rsidRPr="00B06331" w:rsidRDefault="00117290" w:rsidP="00117290">
      <w:pPr>
        <w:jc w:val="both"/>
        <w:rPr>
          <w:rFonts w:ascii="Avenir Book" w:eastAsia="MS ??" w:hAnsi="Avenir Book"/>
        </w:rPr>
      </w:pPr>
      <w:r w:rsidRPr="00B06331">
        <w:rPr>
          <w:rFonts w:ascii="Avenir Book" w:eastAsia="MS ??" w:hAnsi="Avenir Book"/>
        </w:rPr>
        <w:t xml:space="preserve">The Port of Banjul lacks a port or terminal operating system which can lead to challenges and delays in the administration of the customs and other government agency requirements for clearance of goods. Specifically of concern for compliance and enforcement needs is the lack of an automated tracking system of the shipments once off-loaded from the vessel. A proper inventory tracking system is needed as customs needs to be able to know, from the moment of unloading, where the consignments are located in the yard. If not, this is a potentially significant enforcement breach. Risk management in cargo control could also be improved. While a risk management area has been established in the GRA, they are in their infancy and should be encouraged and supported to continue to build capacity in </w:t>
      </w:r>
      <w:r w:rsidRPr="00B06331">
        <w:rPr>
          <w:rFonts w:ascii="Avenir Book" w:eastAsia="MS ??" w:hAnsi="Avenir Book"/>
        </w:rPr>
        <w:lastRenderedPageBreak/>
        <w:t xml:space="preserve">determining risks and introduce a proper post clearance audit strategy as a complementary tool to a holistic risk management system. </w:t>
      </w:r>
    </w:p>
    <w:p w:rsidR="00117290" w:rsidRPr="00B06331" w:rsidRDefault="00117290" w:rsidP="00117290">
      <w:pPr>
        <w:pStyle w:val="ListParagraph"/>
        <w:tabs>
          <w:tab w:val="left" w:pos="720"/>
        </w:tabs>
        <w:spacing w:before="120" w:after="120"/>
        <w:ind w:left="0"/>
        <w:jc w:val="both"/>
        <w:rPr>
          <w:rFonts w:ascii="Avenir Book" w:eastAsia="MS ??" w:hAnsi="Avenir Book"/>
        </w:rPr>
      </w:pPr>
      <w:r w:rsidRPr="00B06331">
        <w:rPr>
          <w:rFonts w:ascii="Avenir Book" w:eastAsia="MS ??" w:hAnsi="Avenir Book"/>
        </w:rPr>
        <w:t xml:space="preserve">The intermediation role played by the financial sector in facilitating both domestic and foreign trade over the years and the liberalized nature of the financial sector augur well for transforming The Gambia into a Financial Centre. However, financial intermediation in The Gambia remains skeletal and representative of intermediation at the most basic level; essentially provided by the commercial banks and to a very limited scale insurance companies.  This leaves some gap to be filled by savings and loans institutions, pension funds, credit unions, mortgage and loan associations, venture capital, and other financial bodies like agricultural banks, investment banks, and merchant banks.  </w:t>
      </w:r>
    </w:p>
    <w:p w:rsidR="003B3B17" w:rsidRPr="00B06331" w:rsidRDefault="003B3B17" w:rsidP="002920DE">
      <w:pPr>
        <w:pStyle w:val="Heading2"/>
        <w:rPr>
          <w:rFonts w:asciiTheme="minorHAnsi" w:hAnsiTheme="minorHAnsi" w:cstheme="minorHAnsi"/>
          <w:sz w:val="22"/>
          <w:szCs w:val="22"/>
        </w:rPr>
      </w:pPr>
      <w:bookmarkStart w:id="66" w:name="_Toc488689305"/>
      <w:bookmarkStart w:id="67" w:name="_Toc492364745"/>
      <w:r w:rsidRPr="00B06331">
        <w:rPr>
          <w:rFonts w:asciiTheme="minorHAnsi" w:hAnsiTheme="minorHAnsi" w:cstheme="minorHAnsi"/>
          <w:sz w:val="22"/>
          <w:szCs w:val="22"/>
        </w:rPr>
        <w:t>3.8 Infrastructure and Energy</w:t>
      </w:r>
      <w:bookmarkEnd w:id="66"/>
      <w:bookmarkEnd w:id="67"/>
    </w:p>
    <w:p w:rsidR="003B3B17" w:rsidRPr="00B06331" w:rsidRDefault="003B3B17" w:rsidP="002920DE">
      <w:pPr>
        <w:pStyle w:val="Heading3"/>
        <w:rPr>
          <w:rFonts w:asciiTheme="minorHAnsi" w:hAnsiTheme="minorHAnsi" w:cstheme="minorHAnsi"/>
          <w:b/>
          <w:sz w:val="22"/>
          <w:szCs w:val="22"/>
        </w:rPr>
      </w:pPr>
      <w:bookmarkStart w:id="68" w:name="_Toc492364746"/>
      <w:r w:rsidRPr="00B06331">
        <w:rPr>
          <w:rFonts w:asciiTheme="minorHAnsi" w:hAnsiTheme="minorHAnsi" w:cstheme="minorHAnsi"/>
          <w:b/>
          <w:sz w:val="22"/>
          <w:szCs w:val="22"/>
        </w:rPr>
        <w:t>3.8.1 Transport</w:t>
      </w:r>
      <w:bookmarkEnd w:id="68"/>
    </w:p>
    <w:p w:rsidR="003B3B17" w:rsidRPr="00B06331" w:rsidRDefault="003B3B17" w:rsidP="003B3B17">
      <w:pPr>
        <w:pStyle w:val="ListParagraph"/>
        <w:spacing w:after="0"/>
        <w:ind w:left="0"/>
        <w:jc w:val="both"/>
        <w:rPr>
          <w:rFonts w:ascii="Avenir Book" w:hAnsi="Avenir Book"/>
          <w:szCs w:val="24"/>
        </w:rPr>
      </w:pPr>
    </w:p>
    <w:p w:rsidR="00830F34" w:rsidRPr="00B06331" w:rsidRDefault="00830F34" w:rsidP="00830F34">
      <w:pPr>
        <w:pStyle w:val="ListParagraph"/>
        <w:spacing w:after="0"/>
        <w:ind w:left="0"/>
        <w:jc w:val="both"/>
        <w:rPr>
          <w:rFonts w:ascii="Avenir Book" w:hAnsi="Avenir Book"/>
          <w:szCs w:val="24"/>
        </w:rPr>
      </w:pPr>
      <w:r w:rsidRPr="00B06331">
        <w:rPr>
          <w:rFonts w:ascii="Avenir Book" w:hAnsi="Avenir Book"/>
          <w:szCs w:val="24"/>
        </w:rPr>
        <w:t>The Gambia’s transport system falls under three modes; (i) road transport system (consisting of a primary network, inter-urban trunk roads; gravel sur</w:t>
      </w:r>
      <w:r w:rsidRPr="00B06331">
        <w:rPr>
          <w:rFonts w:ascii="Avenir Book" w:hAnsi="Avenir Book"/>
          <w:szCs w:val="24"/>
        </w:rPr>
        <w:softHyphen/>
        <w:t xml:space="preserve">faced secondary roads; urban roads confined mainly to Greater Banjul area; and gravel/earth surface rural feeder roads); (ii) Air Transport System provided by Banjul International Airport at Yundum, and (iii) Maritime and River Transport consisting of the Banjul Port and the River transport. </w:t>
      </w:r>
    </w:p>
    <w:p w:rsidR="00830F34" w:rsidRPr="00B06331" w:rsidRDefault="00830F34" w:rsidP="00830F34">
      <w:p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t>Transport is critical for the efficient functioning of the national economy as it provides vital and essential links between areas of production and markets and also facilitates access to social and economic facilities. For the private sector, transport infrastructure is critical</w:t>
      </w:r>
      <w:r w:rsidRPr="00B06331">
        <w:rPr>
          <w:rFonts w:ascii="Avenir Book" w:eastAsia="Cambria" w:hAnsi="Avenir Book"/>
          <w:szCs w:val="24"/>
          <w:lang/>
        </w:rPr>
        <w:t xml:space="preserve"> for competitiveness and is equally an opportunity for participation through public- private –partnerships (PPPs)</w:t>
      </w:r>
      <w:r w:rsidRPr="00B06331">
        <w:rPr>
          <w:rFonts w:ascii="Avenir Book" w:eastAsia="Cambria" w:hAnsi="Avenir Book"/>
          <w:szCs w:val="24"/>
          <w:lang/>
        </w:rPr>
        <w:t>.</w:t>
      </w:r>
      <w:r w:rsidRPr="00B06331">
        <w:rPr>
          <w:rFonts w:ascii="Avenir Book" w:eastAsia="Cambria" w:hAnsi="Avenir Book"/>
          <w:szCs w:val="24"/>
          <w:lang/>
        </w:rPr>
        <w:t xml:space="preserve"> In essence, growth in other sectors will impose corresponding quality and quantity demands on the transport sector. The government prioritizes suitability, cost effectiveness, environmental sustainability, and appropriate</w:t>
      </w:r>
      <w:r w:rsidRPr="00B06331">
        <w:rPr>
          <w:rFonts w:ascii="Avenir Book" w:eastAsia="Cambria" w:hAnsi="Avenir Book"/>
          <w:szCs w:val="24"/>
          <w:lang/>
        </w:rPr>
        <w:t xml:space="preserve"> institutional mechanisms </w:t>
      </w:r>
      <w:r w:rsidRPr="00B06331">
        <w:rPr>
          <w:rFonts w:ascii="Avenir Book" w:eastAsia="Cambria" w:hAnsi="Avenir Book"/>
          <w:szCs w:val="24"/>
          <w:lang/>
        </w:rPr>
        <w:t>for</w:t>
      </w:r>
      <w:r w:rsidRPr="00B06331">
        <w:rPr>
          <w:rFonts w:ascii="Avenir Book" w:eastAsia="Cambria" w:hAnsi="Avenir Book"/>
          <w:szCs w:val="24"/>
          <w:lang/>
        </w:rPr>
        <w:t xml:space="preserve"> effec</w:t>
      </w:r>
      <w:r w:rsidRPr="00B06331">
        <w:rPr>
          <w:rFonts w:ascii="Avenir Book" w:eastAsia="Cambria" w:hAnsi="Avenir Book"/>
          <w:szCs w:val="24"/>
          <w:lang/>
        </w:rPr>
        <w:softHyphen/>
        <w:t>tive inter-modal coordination and communication between the user, operator, regulator and the Government</w:t>
      </w:r>
      <w:r w:rsidRPr="00B06331">
        <w:rPr>
          <w:rFonts w:ascii="Avenir Book" w:eastAsia="Cambria" w:hAnsi="Avenir Book"/>
          <w:szCs w:val="24"/>
          <w:lang/>
        </w:rPr>
        <w:t>.</w:t>
      </w:r>
    </w:p>
    <w:p w:rsidR="00830F34" w:rsidRPr="00B06331" w:rsidRDefault="00623875" w:rsidP="00830F34">
      <w:pPr>
        <w:tabs>
          <w:tab w:val="left" w:pos="8730"/>
        </w:tabs>
        <w:spacing w:after="0"/>
        <w:jc w:val="both"/>
        <w:rPr>
          <w:rFonts w:ascii="Avenir Book" w:eastAsia="Cambria" w:hAnsi="Avenir Book"/>
          <w:szCs w:val="24"/>
          <w:lang/>
        </w:rPr>
      </w:pPr>
      <w:r w:rsidRPr="00B06331">
        <w:rPr>
          <w:rFonts w:ascii="Avenir Book" w:eastAsia="Cambria" w:hAnsi="Avenir Book"/>
          <w:szCs w:val="24"/>
          <w:lang/>
        </w:rPr>
        <w:t xml:space="preserve">In addition, the </w:t>
      </w:r>
      <w:r w:rsidR="00830F34" w:rsidRPr="00B06331">
        <w:rPr>
          <w:rFonts w:ascii="Avenir Book" w:eastAsia="Cambria" w:hAnsi="Avenir Book"/>
          <w:szCs w:val="24"/>
          <w:lang/>
        </w:rPr>
        <w:t>country’s spatial geography of being divi</w:t>
      </w:r>
      <w:r w:rsidR="00830F34" w:rsidRPr="00B06331">
        <w:rPr>
          <w:rFonts w:ascii="Avenir Book" w:eastAsia="Cambria" w:hAnsi="Avenir Book"/>
          <w:szCs w:val="24"/>
          <w:lang/>
        </w:rPr>
        <w:softHyphen/>
        <w:t xml:space="preserve">ded by the River Gambia </w:t>
      </w:r>
      <w:r w:rsidR="00830F34" w:rsidRPr="00B06331">
        <w:rPr>
          <w:rFonts w:ascii="Avenir Book" w:eastAsia="Cambria" w:hAnsi="Avenir Book"/>
          <w:szCs w:val="24"/>
          <w:lang/>
        </w:rPr>
        <w:t xml:space="preserve">continues to be an important factor in </w:t>
      </w:r>
      <w:r w:rsidR="00830F34" w:rsidRPr="00B06331">
        <w:rPr>
          <w:rFonts w:ascii="Avenir Book" w:eastAsia="Cambria" w:hAnsi="Avenir Book"/>
          <w:szCs w:val="24"/>
          <w:lang/>
        </w:rPr>
        <w:t xml:space="preserve">any transport development </w:t>
      </w:r>
      <w:r w:rsidR="00830F34" w:rsidRPr="00B06331">
        <w:rPr>
          <w:rFonts w:ascii="Avenir Book" w:eastAsia="Cambria" w:hAnsi="Avenir Book"/>
          <w:szCs w:val="24"/>
          <w:lang/>
        </w:rPr>
        <w:t xml:space="preserve">discourse </w:t>
      </w:r>
      <w:r w:rsidR="00830F34" w:rsidRPr="00B06331">
        <w:rPr>
          <w:rFonts w:ascii="Avenir Book" w:eastAsia="Cambria" w:hAnsi="Avenir Book"/>
          <w:szCs w:val="24"/>
          <w:lang/>
        </w:rPr>
        <w:t>as this geography imposes not only the imperative to connect its two Banks for national integration, but also to use its transport system for the integration of Senegal</w:t>
      </w:r>
      <w:r w:rsidR="00830F34" w:rsidRPr="00B06331">
        <w:rPr>
          <w:rFonts w:ascii="Avenir Book" w:eastAsia="Cambria" w:hAnsi="Avenir Book"/>
          <w:szCs w:val="24"/>
          <w:lang/>
        </w:rPr>
        <w:t xml:space="preserve">,which is </w:t>
      </w:r>
      <w:r w:rsidR="00830F34" w:rsidRPr="00B06331">
        <w:rPr>
          <w:rFonts w:ascii="Avenir Book" w:eastAsia="Cambria" w:hAnsi="Avenir Book"/>
          <w:szCs w:val="24"/>
          <w:lang/>
        </w:rPr>
        <w:t>also divided by the River Gambia.</w:t>
      </w:r>
    </w:p>
    <w:p w:rsidR="00830F34" w:rsidRPr="00B06331" w:rsidRDefault="00830F34" w:rsidP="00830F34">
      <w:pPr>
        <w:tabs>
          <w:tab w:val="left" w:pos="8730"/>
        </w:tabs>
        <w:spacing w:after="0"/>
        <w:jc w:val="both"/>
        <w:rPr>
          <w:rFonts w:ascii="Avenir Book" w:eastAsia="Cambria" w:hAnsi="Avenir Book"/>
          <w:szCs w:val="24"/>
          <w:lang/>
        </w:rPr>
      </w:pPr>
    </w:p>
    <w:p w:rsidR="00830F34" w:rsidRPr="00B06331" w:rsidRDefault="00830F34" w:rsidP="00830F34">
      <w:p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t xml:space="preserve">Currently, </w:t>
      </w:r>
      <w:r w:rsidRPr="00B06331">
        <w:rPr>
          <w:rFonts w:ascii="Avenir Book" w:eastAsia="Cambria" w:hAnsi="Avenir Book"/>
          <w:szCs w:val="24"/>
          <w:lang/>
        </w:rPr>
        <w:t xml:space="preserve">the </w:t>
      </w:r>
      <w:r w:rsidRPr="00B06331">
        <w:rPr>
          <w:rFonts w:ascii="Avenir Book" w:eastAsia="Cambria" w:hAnsi="Avenir Book"/>
          <w:szCs w:val="24"/>
          <w:lang/>
        </w:rPr>
        <w:t>transport sector partially falls under the responsibility of the Ministry of Transport, Works and Infrastructure (MTWI), in charge of the management of infrastructure whereas services are overseen by the Ministry of Trade, Industry, Regional Integration and Employment. Several state agencies reporting to the MTWI are also involved in the regulation and management of transport sector:</w:t>
      </w:r>
    </w:p>
    <w:p w:rsidR="00830F34" w:rsidRPr="00B06331" w:rsidRDefault="00830F34" w:rsidP="00830F34">
      <w:pPr>
        <w:pStyle w:val="ListParagraph"/>
        <w:numPr>
          <w:ilvl w:val="0"/>
          <w:numId w:val="218"/>
        </w:num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t>The Gambia Civil Aviation Authority is in charge of the regulation of civil aviation and air transport industry, the management of Banjul international airport, and cargo handling.</w:t>
      </w:r>
    </w:p>
    <w:p w:rsidR="00830F34" w:rsidRPr="00B06331" w:rsidRDefault="00830F34" w:rsidP="00830F34">
      <w:pPr>
        <w:pStyle w:val="ListParagraph"/>
        <w:numPr>
          <w:ilvl w:val="0"/>
          <w:numId w:val="218"/>
        </w:num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lastRenderedPageBreak/>
        <w:t xml:space="preserve">The </w:t>
      </w:r>
      <w:r w:rsidRPr="00B06331">
        <w:rPr>
          <w:rFonts w:ascii="Avenir Book" w:eastAsia="Cambria" w:hAnsi="Avenir Book"/>
          <w:szCs w:val="24"/>
          <w:lang/>
        </w:rPr>
        <w:t xml:space="preserve">National Road Authority oversees the development, management and maintenance of the national level road network. It also manages secondary and tertiary roads. </w:t>
      </w:r>
    </w:p>
    <w:p w:rsidR="00830F34" w:rsidRPr="00B06331" w:rsidRDefault="00830F34" w:rsidP="00830F34">
      <w:pPr>
        <w:pStyle w:val="ListParagraph"/>
        <w:numPr>
          <w:ilvl w:val="0"/>
          <w:numId w:val="218"/>
        </w:num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t xml:space="preserve">Gambia </w:t>
      </w:r>
      <w:r w:rsidRPr="00B06331">
        <w:rPr>
          <w:rFonts w:ascii="Avenir Book" w:eastAsia="Cambria" w:hAnsi="Avenir Book"/>
          <w:szCs w:val="24"/>
          <w:lang/>
        </w:rPr>
        <w:t>M</w:t>
      </w:r>
      <w:r w:rsidRPr="00B06331">
        <w:rPr>
          <w:rFonts w:ascii="Avenir Book" w:eastAsia="Cambria" w:hAnsi="Avenir Book"/>
          <w:szCs w:val="24"/>
          <w:lang/>
        </w:rPr>
        <w:t xml:space="preserve">aritime </w:t>
      </w:r>
      <w:r w:rsidRPr="00B06331">
        <w:rPr>
          <w:rFonts w:ascii="Avenir Book" w:eastAsia="Cambria" w:hAnsi="Avenir Book"/>
          <w:szCs w:val="24"/>
          <w:lang/>
        </w:rPr>
        <w:t>A</w:t>
      </w:r>
      <w:r w:rsidRPr="00B06331">
        <w:rPr>
          <w:rFonts w:ascii="Avenir Book" w:eastAsia="Cambria" w:hAnsi="Avenir Book"/>
          <w:szCs w:val="24"/>
          <w:lang/>
        </w:rPr>
        <w:t xml:space="preserve">dministration regulates maritime and river transport and controls </w:t>
      </w:r>
      <w:r w:rsidRPr="00B06331">
        <w:rPr>
          <w:rFonts w:ascii="Avenir Book" w:eastAsia="Cambria" w:hAnsi="Avenir Book"/>
          <w:szCs w:val="24"/>
          <w:lang/>
        </w:rPr>
        <w:t>the P</w:t>
      </w:r>
      <w:r w:rsidRPr="00B06331">
        <w:rPr>
          <w:rFonts w:ascii="Avenir Book" w:eastAsia="Cambria" w:hAnsi="Avenir Book"/>
          <w:szCs w:val="24"/>
          <w:lang/>
        </w:rPr>
        <w:t>ort Authority.</w:t>
      </w:r>
    </w:p>
    <w:p w:rsidR="00830F34" w:rsidRPr="00B06331" w:rsidRDefault="00830F34" w:rsidP="00830F34">
      <w:pPr>
        <w:pStyle w:val="ListParagraph"/>
        <w:numPr>
          <w:ilvl w:val="0"/>
          <w:numId w:val="218"/>
        </w:num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t xml:space="preserve">Gambia </w:t>
      </w:r>
      <w:r w:rsidRPr="00B06331">
        <w:rPr>
          <w:rFonts w:ascii="Avenir Book" w:eastAsia="Cambria" w:hAnsi="Avenir Book"/>
          <w:szCs w:val="24"/>
          <w:lang/>
        </w:rPr>
        <w:t>P</w:t>
      </w:r>
      <w:r w:rsidRPr="00B06331">
        <w:rPr>
          <w:rFonts w:ascii="Avenir Book" w:eastAsia="Cambria" w:hAnsi="Avenir Book"/>
          <w:szCs w:val="24"/>
          <w:lang/>
        </w:rPr>
        <w:t xml:space="preserve">ort Authority manages Banjul port and oversees ferries activities. </w:t>
      </w:r>
    </w:p>
    <w:p w:rsidR="00830F34" w:rsidRPr="00B06331" w:rsidRDefault="00830F34" w:rsidP="00830F34">
      <w:pPr>
        <w:pStyle w:val="ListParagraph"/>
        <w:numPr>
          <w:ilvl w:val="0"/>
          <w:numId w:val="218"/>
        </w:numPr>
        <w:tabs>
          <w:tab w:val="left" w:pos="720"/>
        </w:tabs>
        <w:spacing w:before="120" w:after="120"/>
        <w:jc w:val="both"/>
        <w:rPr>
          <w:rFonts w:ascii="Avenir Book" w:eastAsia="Cambria" w:hAnsi="Avenir Book"/>
          <w:szCs w:val="24"/>
          <w:lang/>
        </w:rPr>
      </w:pPr>
      <w:r w:rsidRPr="00B06331">
        <w:rPr>
          <w:rFonts w:ascii="Avenir Book" w:eastAsia="Cambria" w:hAnsi="Avenir Book"/>
          <w:szCs w:val="24"/>
          <w:lang/>
        </w:rPr>
        <w:t xml:space="preserve">The SOE Gambia Ferry Services Co Ltd. operates ferries on eight crossings of Gambia River. </w:t>
      </w:r>
    </w:p>
    <w:p w:rsidR="00FE5C36" w:rsidRPr="00B06331" w:rsidRDefault="00FE5C36" w:rsidP="00830F34">
      <w:pPr>
        <w:tabs>
          <w:tab w:val="left" w:pos="720"/>
        </w:tabs>
        <w:spacing w:after="0" w:line="240" w:lineRule="auto"/>
        <w:jc w:val="both"/>
        <w:rPr>
          <w:rFonts w:ascii="Avenir Book" w:eastAsia="Cambria" w:hAnsi="Avenir Book"/>
        </w:rPr>
      </w:pPr>
    </w:p>
    <w:p w:rsidR="003B3B17" w:rsidRPr="00B06331" w:rsidRDefault="003B3B17" w:rsidP="003B3B17">
      <w:pPr>
        <w:jc w:val="both"/>
        <w:rPr>
          <w:rFonts w:ascii="Avenir Book" w:eastAsia="Cambria" w:hAnsi="Avenir Book"/>
          <w:b/>
          <w:color w:val="7030A0"/>
        </w:rPr>
      </w:pPr>
      <w:r w:rsidRPr="00B06331">
        <w:rPr>
          <w:rFonts w:ascii="Avenir Book" w:eastAsia="Cambria" w:hAnsi="Avenir Book"/>
          <w:b/>
          <w:color w:val="7030A0"/>
        </w:rPr>
        <w:t>Road sector</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Gambia’s road network is comprised of 800 km trunk roads - NRA’s objective is to complete pavement by 2019 - and 2,500 km long feeder roads that </w:t>
      </w:r>
      <w:r w:rsidR="00303A7D" w:rsidRPr="00B06331">
        <w:rPr>
          <w:rFonts w:ascii="Avenir Book" w:eastAsia="Cambria" w:hAnsi="Avenir Book"/>
        </w:rPr>
        <w:t>NRA</w:t>
      </w:r>
      <w:r w:rsidRPr="00B06331">
        <w:rPr>
          <w:rFonts w:ascii="Avenir Book" w:eastAsia="Cambria" w:hAnsi="Avenir Book"/>
        </w:rPr>
        <w:t xml:space="preserve"> manages. Roads are also maintained by NRA, and funding comes from a fuel tax of 1 GMD/l since 2015. Periodic maintenance is contracted out to private sector and carried out in a traditional manner. The road industry is dominated by subsidiaries of foreign firms, as only 2% of works are done by Gambian enterprises.</w:t>
      </w:r>
    </w:p>
    <w:p w:rsidR="003B3B17" w:rsidRPr="00B06331" w:rsidRDefault="003B3B17" w:rsidP="003B3B17">
      <w:pPr>
        <w:jc w:val="both"/>
        <w:rPr>
          <w:rFonts w:ascii="Avenir Book" w:eastAsia="Cambria" w:hAnsi="Avenir Book"/>
          <w:b/>
          <w:color w:val="7030A0"/>
        </w:rPr>
      </w:pPr>
      <w:r w:rsidRPr="00B06331">
        <w:rPr>
          <w:rFonts w:ascii="Avenir Book" w:eastAsia="Cambria" w:hAnsi="Avenir Book"/>
          <w:b/>
          <w:color w:val="7030A0"/>
        </w:rPr>
        <w:t>Road freight transport</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Road freight transport is fully liberalized with only a regime of recommended tariffs. Foreign trucks are allowed to load freight in Gambia but only on transit. The National Transport Control Association (NTCA) regroups associations of truck (and bus) owners and drivers. </w:t>
      </w:r>
    </w:p>
    <w:p w:rsidR="003B3B17" w:rsidRPr="00B06331" w:rsidRDefault="003B3B17" w:rsidP="003B3B17">
      <w:pPr>
        <w:jc w:val="both"/>
        <w:rPr>
          <w:rFonts w:ascii="Avenir Book" w:eastAsia="Cambria" w:hAnsi="Avenir Book"/>
          <w:b/>
          <w:color w:val="7030A0"/>
        </w:rPr>
      </w:pPr>
      <w:r w:rsidRPr="00B06331">
        <w:rPr>
          <w:rFonts w:ascii="Avenir Book" w:eastAsia="Cambria" w:hAnsi="Avenir Book"/>
          <w:b/>
          <w:color w:val="7030A0"/>
        </w:rPr>
        <w:t>Maritime sector</w:t>
      </w:r>
    </w:p>
    <w:p w:rsidR="00830F34" w:rsidRPr="00B06331" w:rsidRDefault="00830F34" w:rsidP="00830F34">
      <w:pPr>
        <w:jc w:val="both"/>
        <w:rPr>
          <w:rFonts w:cs="Calibri"/>
        </w:rPr>
      </w:pPr>
      <w:r w:rsidRPr="00B06331">
        <w:rPr>
          <w:rFonts w:cs="Calibri"/>
        </w:rPr>
        <w:t xml:space="preserve">The Banjul Port Authority is a State entity created by an act of Parliament. From its </w:t>
      </w:r>
      <w:r w:rsidR="00303A7D" w:rsidRPr="00B06331">
        <w:rPr>
          <w:rFonts w:cs="Calibri"/>
        </w:rPr>
        <w:t>inception,</w:t>
      </w:r>
      <w:r w:rsidRPr="00B06331">
        <w:rPr>
          <w:rFonts w:cs="Calibri"/>
        </w:rPr>
        <w:t xml:space="preserve"> it has been a service port, meaning the authority directly owns facilities and manages operations. There is no private participation. That is a cultural legacy of the country’s independence and until the new </w:t>
      </w:r>
      <w:r w:rsidR="00303A7D" w:rsidRPr="00B06331">
        <w:rPr>
          <w:rFonts w:cs="Calibri"/>
        </w:rPr>
        <w:t>Government;</w:t>
      </w:r>
      <w:r w:rsidRPr="00B06331">
        <w:rPr>
          <w:rFonts w:cs="Calibri"/>
        </w:rPr>
        <w:t xml:space="preserve"> there was no political will to change this situation.</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Facilities dedicated to freight include one wharf (120 m, 9 m draught), a jetty (300 m, 12 m draught), and internal quays with 6m draught used by smaller vessels. The 8.5 m maximum is limited by the depth of the Gambia River at the port entrance. Despite the small size of the port (63,000 m2), the port offers storage areas of containers to shipping lines nearby the jetties, in its backyards and on a recently commissioned 16,000 m2 space. There is no dry port so far, although such a project was included in the 2008 master plan. </w:t>
      </w:r>
    </w:p>
    <w:p w:rsidR="003B3B17" w:rsidRPr="00B06331" w:rsidRDefault="003B3B17" w:rsidP="003B3B17">
      <w:pPr>
        <w:jc w:val="both"/>
        <w:rPr>
          <w:rFonts w:ascii="Avenir Book" w:eastAsia="Cambria" w:hAnsi="Avenir Book"/>
          <w:b/>
        </w:rPr>
      </w:pPr>
      <w:r w:rsidRPr="00B06331">
        <w:rPr>
          <w:rFonts w:ascii="Avenir Book" w:eastAsia="Cambria" w:hAnsi="Avenir Book"/>
        </w:rPr>
        <w:t>In 2016 the port handled about 2 Mt (+7% increase compared to 2015) and 78,000 containers (about 48% are imports, 15% exports and 37% empty). There was a traffic dip in 2014/2015, due to lower imports of consumer g</w:t>
      </w:r>
      <w:r w:rsidRPr="00B06331">
        <w:rPr>
          <w:rFonts w:ascii="Avenir Book" w:eastAsia="Cambria" w:hAnsi="Avenir Book"/>
          <w:b/>
        </w:rPr>
        <w:t xml:space="preserve">oods and construction materials. </w:t>
      </w:r>
    </w:p>
    <w:p w:rsidR="003B3B17" w:rsidRPr="00B06331" w:rsidRDefault="003B3B17" w:rsidP="003B3B17">
      <w:pPr>
        <w:jc w:val="center"/>
        <w:rPr>
          <w:rFonts w:ascii="Avenir Book" w:eastAsia="Cambria" w:hAnsi="Avenir Book"/>
        </w:rPr>
      </w:pPr>
      <w:r w:rsidRPr="00B06331">
        <w:rPr>
          <w:rFonts w:ascii="Avenir Book" w:eastAsia="Cambria" w:hAnsi="Avenir Book"/>
          <w:b/>
        </w:rPr>
        <w:t>Table</w:t>
      </w:r>
      <w:r w:rsidR="002615E7" w:rsidRPr="00B06331">
        <w:rPr>
          <w:rFonts w:ascii="Avenir Book" w:eastAsia="Cambria" w:hAnsi="Avenir Book"/>
          <w:b/>
        </w:rPr>
        <w:t>3.7</w:t>
      </w:r>
      <w:r w:rsidRPr="00B06331">
        <w:rPr>
          <w:rFonts w:ascii="Avenir Book" w:eastAsia="Cambria" w:hAnsi="Avenir Book"/>
          <w:b/>
        </w:rPr>
        <w:t>: Overall traffic at Banjul Port (000t)</w:t>
      </w:r>
      <w:r w:rsidRPr="00B06331">
        <w:rPr>
          <w:rFonts w:ascii="Avenir Book" w:eastAsia="Cambria" w:hAnsi="Avenir Book"/>
          <w:b/>
        </w:rPr>
        <w:footnoteReference w:id="7"/>
      </w:r>
    </w:p>
    <w:tbl>
      <w:tblPr>
        <w:tblStyle w:val="GridTable4-Accent12"/>
        <w:tblW w:w="8995" w:type="dxa"/>
        <w:tblLook w:val="04A0"/>
      </w:tblPr>
      <w:tblGrid>
        <w:gridCol w:w="1314"/>
        <w:gridCol w:w="1026"/>
        <w:gridCol w:w="1026"/>
        <w:gridCol w:w="1026"/>
        <w:gridCol w:w="1026"/>
        <w:gridCol w:w="1026"/>
        <w:gridCol w:w="1026"/>
        <w:gridCol w:w="1026"/>
        <w:gridCol w:w="1026"/>
      </w:tblGrid>
      <w:tr w:rsidR="003B3B17" w:rsidRPr="00B06331" w:rsidTr="003B3B17">
        <w:trPr>
          <w:cnfStyle w:val="100000000000"/>
          <w:trHeight w:val="158"/>
        </w:trPr>
        <w:tc>
          <w:tcPr>
            <w:cnfStyle w:val="001000000000"/>
            <w:tcW w:w="1314" w:type="dxa"/>
            <w:noWrap/>
            <w:hideMark/>
          </w:tcPr>
          <w:p w:rsidR="003B3B17" w:rsidRPr="00B06331" w:rsidRDefault="003B3B17" w:rsidP="003B3B17">
            <w:pPr>
              <w:tabs>
                <w:tab w:val="left" w:pos="720"/>
              </w:tabs>
              <w:spacing w:after="0" w:line="240" w:lineRule="auto"/>
              <w:ind w:left="720" w:hanging="720"/>
              <w:jc w:val="both"/>
              <w:rPr>
                <w:rFonts w:cs="Calibri"/>
                <w:bCs w:val="0"/>
                <w:szCs w:val="16"/>
                <w:lang w:val="en-GB"/>
              </w:rPr>
            </w:pPr>
            <w:r w:rsidRPr="00B06331">
              <w:rPr>
                <w:rFonts w:cs="Calibri"/>
                <w:bCs w:val="0"/>
                <w:szCs w:val="16"/>
                <w:lang w:val="en-GB"/>
              </w:rPr>
              <w:t>YEAR</w:t>
            </w:r>
          </w:p>
        </w:tc>
        <w:tc>
          <w:tcPr>
            <w:tcW w:w="956"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2008</w:t>
            </w:r>
          </w:p>
        </w:tc>
        <w:tc>
          <w:tcPr>
            <w:tcW w:w="977"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2009</w:t>
            </w:r>
          </w:p>
        </w:tc>
        <w:tc>
          <w:tcPr>
            <w:tcW w:w="984"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2010</w:t>
            </w:r>
          </w:p>
        </w:tc>
        <w:tc>
          <w:tcPr>
            <w:tcW w:w="988"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2011</w:t>
            </w:r>
          </w:p>
        </w:tc>
        <w:tc>
          <w:tcPr>
            <w:tcW w:w="944"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2012</w:t>
            </w:r>
          </w:p>
        </w:tc>
        <w:tc>
          <w:tcPr>
            <w:tcW w:w="944"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2013</w:t>
            </w:r>
          </w:p>
        </w:tc>
        <w:tc>
          <w:tcPr>
            <w:tcW w:w="944" w:type="dxa"/>
            <w:noWrap/>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2014</w:t>
            </w:r>
          </w:p>
        </w:tc>
        <w:tc>
          <w:tcPr>
            <w:tcW w:w="944" w:type="dxa"/>
            <w:hideMark/>
          </w:tcPr>
          <w:p w:rsidR="003B3B17" w:rsidRPr="00B06331" w:rsidRDefault="003B3B17" w:rsidP="003B3B17">
            <w:pPr>
              <w:tabs>
                <w:tab w:val="left" w:pos="720"/>
              </w:tabs>
              <w:spacing w:after="0" w:line="240" w:lineRule="auto"/>
              <w:ind w:left="720" w:hanging="720"/>
              <w:jc w:val="right"/>
              <w:cnfStyle w:val="100000000000"/>
              <w:rPr>
                <w:rFonts w:cs="Calibri"/>
                <w:bCs w:val="0"/>
                <w:szCs w:val="16"/>
                <w:lang w:val="en-GB"/>
              </w:rPr>
            </w:pPr>
            <w:r w:rsidRPr="00B06331">
              <w:rPr>
                <w:rFonts w:cs="Calibri"/>
                <w:bCs w:val="0"/>
                <w:szCs w:val="16"/>
                <w:lang w:val="en-GB"/>
              </w:rPr>
              <w:t>2015</w:t>
            </w:r>
          </w:p>
        </w:tc>
      </w:tr>
      <w:tr w:rsidR="003B3B17" w:rsidRPr="00B06331" w:rsidTr="003B3B17">
        <w:trPr>
          <w:cnfStyle w:val="000000100000"/>
          <w:trHeight w:val="187"/>
        </w:trPr>
        <w:tc>
          <w:tcPr>
            <w:cnfStyle w:val="001000000000"/>
            <w:tcW w:w="1314" w:type="dxa"/>
            <w:noWrap/>
            <w:hideMark/>
          </w:tcPr>
          <w:p w:rsidR="003B3B17" w:rsidRPr="00B06331" w:rsidRDefault="003B3B17" w:rsidP="003B3B17">
            <w:pPr>
              <w:tabs>
                <w:tab w:val="left" w:pos="720"/>
              </w:tabs>
              <w:spacing w:after="0" w:line="240" w:lineRule="auto"/>
              <w:ind w:left="720" w:hanging="720"/>
              <w:jc w:val="both"/>
              <w:rPr>
                <w:rFonts w:cs="Calibri"/>
                <w:bCs w:val="0"/>
                <w:szCs w:val="16"/>
                <w:lang w:val="en-GB"/>
              </w:rPr>
            </w:pPr>
            <w:r w:rsidRPr="00B06331">
              <w:rPr>
                <w:rFonts w:cs="Calibri"/>
                <w:bCs w:val="0"/>
                <w:szCs w:val="16"/>
                <w:lang w:val="en-GB"/>
              </w:rPr>
              <w:t>000'TONNES</w:t>
            </w:r>
          </w:p>
        </w:tc>
        <w:tc>
          <w:tcPr>
            <w:tcW w:w="956"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1,261,007</w:t>
            </w:r>
          </w:p>
        </w:tc>
        <w:tc>
          <w:tcPr>
            <w:tcW w:w="977"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1,412,661</w:t>
            </w:r>
          </w:p>
        </w:tc>
        <w:tc>
          <w:tcPr>
            <w:tcW w:w="984"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1,402,135</w:t>
            </w:r>
          </w:p>
        </w:tc>
        <w:tc>
          <w:tcPr>
            <w:tcW w:w="988"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1,718,938</w:t>
            </w:r>
          </w:p>
        </w:tc>
        <w:tc>
          <w:tcPr>
            <w:tcW w:w="944"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1,615,328</w:t>
            </w:r>
          </w:p>
        </w:tc>
        <w:tc>
          <w:tcPr>
            <w:tcW w:w="944"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1,573,373</w:t>
            </w:r>
          </w:p>
        </w:tc>
        <w:tc>
          <w:tcPr>
            <w:tcW w:w="944" w:type="dxa"/>
            <w:noWrap/>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1,933,075</w:t>
            </w:r>
          </w:p>
        </w:tc>
        <w:tc>
          <w:tcPr>
            <w:tcW w:w="944" w:type="dxa"/>
            <w:hideMark/>
          </w:tcPr>
          <w:p w:rsidR="003B3B17" w:rsidRPr="00B06331" w:rsidRDefault="003B3B17" w:rsidP="003B3B17">
            <w:pPr>
              <w:tabs>
                <w:tab w:val="left" w:pos="720"/>
              </w:tabs>
              <w:spacing w:after="0" w:line="240" w:lineRule="auto"/>
              <w:ind w:left="720" w:hanging="720"/>
              <w:jc w:val="right"/>
              <w:cnfStyle w:val="000000100000"/>
              <w:rPr>
                <w:rFonts w:cs="Calibri"/>
                <w:bCs/>
                <w:szCs w:val="16"/>
                <w:lang w:val="en-GB"/>
              </w:rPr>
            </w:pPr>
            <w:r w:rsidRPr="00B06331">
              <w:rPr>
                <w:rFonts w:cs="Calibri"/>
                <w:bCs/>
                <w:szCs w:val="16"/>
                <w:lang w:val="en-GB"/>
              </w:rPr>
              <w:t>1,860,296</w:t>
            </w:r>
          </w:p>
        </w:tc>
      </w:tr>
    </w:tbl>
    <w:p w:rsidR="003B3B17" w:rsidRPr="00B06331" w:rsidRDefault="003B3B17" w:rsidP="003B3B17">
      <w:pPr>
        <w:jc w:val="center"/>
        <w:rPr>
          <w:rFonts w:cs="Calibri"/>
        </w:rPr>
      </w:pPr>
      <w:r w:rsidRPr="00B06331">
        <w:rPr>
          <w:rFonts w:cs="Calibri"/>
        </w:rPr>
        <w:lastRenderedPageBreak/>
        <w:t>Source: Banjul Port Authority</w:t>
      </w:r>
    </w:p>
    <w:p w:rsidR="003B3B17" w:rsidRPr="00B06331" w:rsidRDefault="002615E7" w:rsidP="003B3B17">
      <w:pPr>
        <w:jc w:val="center"/>
        <w:rPr>
          <w:rFonts w:ascii="Avenir Book" w:eastAsia="Cambria" w:hAnsi="Avenir Book"/>
          <w:b/>
        </w:rPr>
      </w:pPr>
      <w:r w:rsidRPr="00B06331">
        <w:rPr>
          <w:rFonts w:ascii="Avenir Book" w:eastAsia="Cambria" w:hAnsi="Avenir Book"/>
          <w:b/>
        </w:rPr>
        <w:t>Table 3.8</w:t>
      </w:r>
      <w:r w:rsidR="003B3B17" w:rsidRPr="00B06331">
        <w:rPr>
          <w:rFonts w:ascii="Avenir Book" w:eastAsia="Cambria" w:hAnsi="Avenir Book"/>
          <w:b/>
        </w:rPr>
        <w:t>: Container traffic (TEU</w:t>
      </w:r>
      <w:r w:rsidR="003B3B17" w:rsidRPr="00B06331">
        <w:rPr>
          <w:rFonts w:ascii="Avenir Book" w:eastAsia="Cambria" w:hAnsi="Avenir Book"/>
          <w:b/>
        </w:rPr>
        <w:footnoteReference w:id="8"/>
      </w:r>
      <w:r w:rsidR="003B3B17" w:rsidRPr="00B06331">
        <w:rPr>
          <w:rFonts w:ascii="Avenir Book" w:eastAsia="Cambria" w:hAnsi="Avenir Book"/>
          <w:b/>
        </w:rPr>
        <w:t>)</w:t>
      </w:r>
    </w:p>
    <w:tbl>
      <w:tblPr>
        <w:tblStyle w:val="GridTable4-Accent12"/>
        <w:tblW w:w="0" w:type="auto"/>
        <w:tblLook w:val="04A0"/>
      </w:tblPr>
      <w:tblGrid>
        <w:gridCol w:w="1547"/>
        <w:gridCol w:w="1547"/>
        <w:gridCol w:w="1548"/>
        <w:gridCol w:w="1548"/>
        <w:gridCol w:w="1549"/>
        <w:gridCol w:w="1549"/>
      </w:tblGrid>
      <w:tr w:rsidR="003B3B17" w:rsidRPr="00B06331" w:rsidTr="003B3B17">
        <w:trPr>
          <w:cnfStyle w:val="100000000000"/>
        </w:trPr>
        <w:tc>
          <w:tcPr>
            <w:cnfStyle w:val="001000000000"/>
            <w:tcW w:w="1547" w:type="dxa"/>
          </w:tcPr>
          <w:p w:rsidR="003B3B17" w:rsidRPr="00B06331" w:rsidRDefault="003B3B17" w:rsidP="003B3B17">
            <w:pPr>
              <w:spacing w:after="0" w:line="240" w:lineRule="auto"/>
              <w:rPr>
                <w:rFonts w:cs="Calibri"/>
              </w:rPr>
            </w:pPr>
          </w:p>
        </w:tc>
        <w:tc>
          <w:tcPr>
            <w:tcW w:w="1547" w:type="dxa"/>
          </w:tcPr>
          <w:p w:rsidR="003B3B17" w:rsidRPr="00B06331" w:rsidRDefault="003B3B17" w:rsidP="003B3B17">
            <w:pPr>
              <w:spacing w:after="0" w:line="240" w:lineRule="auto"/>
              <w:cnfStyle w:val="100000000000"/>
              <w:rPr>
                <w:rFonts w:cs="Calibri"/>
              </w:rPr>
            </w:pPr>
            <w:r w:rsidRPr="00B06331">
              <w:rPr>
                <w:rFonts w:cs="Calibri"/>
              </w:rPr>
              <w:t>2012</w:t>
            </w:r>
          </w:p>
        </w:tc>
        <w:tc>
          <w:tcPr>
            <w:tcW w:w="1548" w:type="dxa"/>
          </w:tcPr>
          <w:p w:rsidR="003B3B17" w:rsidRPr="00B06331" w:rsidRDefault="003B3B17" w:rsidP="003B3B17">
            <w:pPr>
              <w:spacing w:after="0" w:line="240" w:lineRule="auto"/>
              <w:cnfStyle w:val="100000000000"/>
              <w:rPr>
                <w:rFonts w:cs="Calibri"/>
              </w:rPr>
            </w:pPr>
            <w:r w:rsidRPr="00B06331">
              <w:rPr>
                <w:rFonts w:cs="Calibri"/>
              </w:rPr>
              <w:t>2013</w:t>
            </w:r>
          </w:p>
        </w:tc>
        <w:tc>
          <w:tcPr>
            <w:tcW w:w="1548" w:type="dxa"/>
          </w:tcPr>
          <w:p w:rsidR="003B3B17" w:rsidRPr="00B06331" w:rsidRDefault="003B3B17" w:rsidP="003B3B17">
            <w:pPr>
              <w:spacing w:after="0" w:line="240" w:lineRule="auto"/>
              <w:cnfStyle w:val="100000000000"/>
              <w:rPr>
                <w:rFonts w:cs="Calibri"/>
              </w:rPr>
            </w:pPr>
            <w:r w:rsidRPr="00B06331">
              <w:rPr>
                <w:rFonts w:cs="Calibri"/>
              </w:rPr>
              <w:t>2014</w:t>
            </w:r>
          </w:p>
        </w:tc>
        <w:tc>
          <w:tcPr>
            <w:tcW w:w="1549" w:type="dxa"/>
          </w:tcPr>
          <w:p w:rsidR="003B3B17" w:rsidRPr="00B06331" w:rsidRDefault="003B3B17" w:rsidP="003B3B17">
            <w:pPr>
              <w:spacing w:after="0" w:line="240" w:lineRule="auto"/>
              <w:cnfStyle w:val="100000000000"/>
              <w:rPr>
                <w:rFonts w:cs="Calibri"/>
              </w:rPr>
            </w:pPr>
            <w:r w:rsidRPr="00B06331">
              <w:rPr>
                <w:rFonts w:cs="Calibri"/>
              </w:rPr>
              <w:t>2015</w:t>
            </w:r>
          </w:p>
        </w:tc>
        <w:tc>
          <w:tcPr>
            <w:tcW w:w="1549" w:type="dxa"/>
          </w:tcPr>
          <w:p w:rsidR="003B3B17" w:rsidRPr="00B06331" w:rsidRDefault="003B3B17" w:rsidP="003B3B17">
            <w:pPr>
              <w:spacing w:after="0" w:line="240" w:lineRule="auto"/>
              <w:cnfStyle w:val="100000000000"/>
              <w:rPr>
                <w:rFonts w:cs="Calibri"/>
              </w:rPr>
            </w:pPr>
            <w:r w:rsidRPr="00B06331">
              <w:rPr>
                <w:rFonts w:cs="Calibri"/>
              </w:rPr>
              <w:t>2016</w:t>
            </w:r>
          </w:p>
        </w:tc>
      </w:tr>
      <w:tr w:rsidR="003B3B17" w:rsidRPr="00B06331" w:rsidTr="003B3B17">
        <w:trPr>
          <w:cnfStyle w:val="000000100000"/>
        </w:trPr>
        <w:tc>
          <w:tcPr>
            <w:cnfStyle w:val="001000000000"/>
            <w:tcW w:w="1547" w:type="dxa"/>
          </w:tcPr>
          <w:p w:rsidR="003B3B17" w:rsidRPr="00B06331" w:rsidRDefault="003B3B17" w:rsidP="003B3B17">
            <w:pPr>
              <w:spacing w:after="0" w:line="240" w:lineRule="auto"/>
              <w:rPr>
                <w:rFonts w:cs="Calibri"/>
              </w:rPr>
            </w:pPr>
            <w:r w:rsidRPr="00B06331">
              <w:rPr>
                <w:rFonts w:cs="Calibri"/>
              </w:rPr>
              <w:t>Total</w:t>
            </w:r>
          </w:p>
        </w:tc>
        <w:tc>
          <w:tcPr>
            <w:tcW w:w="1547" w:type="dxa"/>
          </w:tcPr>
          <w:p w:rsidR="003B3B17" w:rsidRPr="00B06331" w:rsidRDefault="003B3B17" w:rsidP="003B3B17">
            <w:pPr>
              <w:spacing w:after="0" w:line="240" w:lineRule="auto"/>
              <w:cnfStyle w:val="000000100000"/>
              <w:rPr>
                <w:rFonts w:cs="Calibri"/>
              </w:rPr>
            </w:pPr>
            <w:r w:rsidRPr="00B06331">
              <w:rPr>
                <w:rFonts w:cs="Calibri"/>
              </w:rPr>
              <w:t>69,000</w:t>
            </w:r>
          </w:p>
        </w:tc>
        <w:tc>
          <w:tcPr>
            <w:tcW w:w="1548" w:type="dxa"/>
          </w:tcPr>
          <w:p w:rsidR="003B3B17" w:rsidRPr="00B06331" w:rsidRDefault="003B3B17" w:rsidP="003B3B17">
            <w:pPr>
              <w:spacing w:after="0" w:line="240" w:lineRule="auto"/>
              <w:cnfStyle w:val="000000100000"/>
              <w:rPr>
                <w:rFonts w:cs="Calibri"/>
              </w:rPr>
            </w:pPr>
            <w:r w:rsidRPr="00B06331">
              <w:rPr>
                <w:rFonts w:cs="Calibri"/>
              </w:rPr>
              <w:t>65,000</w:t>
            </w:r>
          </w:p>
        </w:tc>
        <w:tc>
          <w:tcPr>
            <w:tcW w:w="1548" w:type="dxa"/>
          </w:tcPr>
          <w:p w:rsidR="003B3B17" w:rsidRPr="00B06331" w:rsidRDefault="003B3B17" w:rsidP="003B3B17">
            <w:pPr>
              <w:spacing w:after="0" w:line="240" w:lineRule="auto"/>
              <w:cnfStyle w:val="000000100000"/>
              <w:rPr>
                <w:rFonts w:cs="Calibri"/>
              </w:rPr>
            </w:pPr>
            <w:r w:rsidRPr="00B06331">
              <w:rPr>
                <w:rFonts w:cs="Calibri"/>
              </w:rPr>
              <w:t>81,000</w:t>
            </w:r>
          </w:p>
        </w:tc>
        <w:tc>
          <w:tcPr>
            <w:tcW w:w="1549" w:type="dxa"/>
          </w:tcPr>
          <w:p w:rsidR="003B3B17" w:rsidRPr="00B06331" w:rsidRDefault="003B3B17" w:rsidP="003B3B17">
            <w:pPr>
              <w:spacing w:after="0" w:line="240" w:lineRule="auto"/>
              <w:cnfStyle w:val="000000100000"/>
              <w:rPr>
                <w:rFonts w:cs="Calibri"/>
              </w:rPr>
            </w:pPr>
            <w:r w:rsidRPr="00B06331">
              <w:rPr>
                <w:rFonts w:cs="Calibri"/>
              </w:rPr>
              <w:t>83,000</w:t>
            </w:r>
          </w:p>
        </w:tc>
        <w:tc>
          <w:tcPr>
            <w:tcW w:w="1549" w:type="dxa"/>
          </w:tcPr>
          <w:p w:rsidR="003B3B17" w:rsidRPr="00B06331" w:rsidRDefault="003B3B17" w:rsidP="003B3B17">
            <w:pPr>
              <w:spacing w:after="0" w:line="240" w:lineRule="auto"/>
              <w:cnfStyle w:val="000000100000"/>
              <w:rPr>
                <w:rFonts w:cs="Calibri"/>
              </w:rPr>
            </w:pPr>
            <w:r w:rsidRPr="00B06331">
              <w:rPr>
                <w:rFonts w:cs="Calibri"/>
              </w:rPr>
              <w:t>78,000</w:t>
            </w:r>
          </w:p>
        </w:tc>
      </w:tr>
      <w:tr w:rsidR="003B3B17" w:rsidRPr="00B06331" w:rsidTr="003B3B17">
        <w:tc>
          <w:tcPr>
            <w:cnfStyle w:val="001000000000"/>
            <w:tcW w:w="1547" w:type="dxa"/>
          </w:tcPr>
          <w:p w:rsidR="003B3B17" w:rsidRPr="00B06331" w:rsidRDefault="003B3B17" w:rsidP="003B3B17">
            <w:pPr>
              <w:spacing w:after="0" w:line="240" w:lineRule="auto"/>
              <w:rPr>
                <w:rFonts w:cs="Calibri"/>
              </w:rPr>
            </w:pPr>
            <w:r w:rsidRPr="00B06331">
              <w:rPr>
                <w:rFonts w:cs="Calibri"/>
              </w:rPr>
              <w:t>Imports</w:t>
            </w:r>
          </w:p>
        </w:tc>
        <w:tc>
          <w:tcPr>
            <w:tcW w:w="1547" w:type="dxa"/>
          </w:tcPr>
          <w:p w:rsidR="003B3B17" w:rsidRPr="00B06331" w:rsidRDefault="003B3B17" w:rsidP="003B3B17">
            <w:pPr>
              <w:spacing w:after="0" w:line="240" w:lineRule="auto"/>
              <w:cnfStyle w:val="000000000000"/>
              <w:rPr>
                <w:rFonts w:cs="Calibri"/>
              </w:rPr>
            </w:pPr>
            <w:r w:rsidRPr="00B06331">
              <w:rPr>
                <w:rFonts w:cs="Calibri"/>
              </w:rPr>
              <w:t>35,000</w:t>
            </w:r>
          </w:p>
        </w:tc>
        <w:tc>
          <w:tcPr>
            <w:tcW w:w="1548" w:type="dxa"/>
          </w:tcPr>
          <w:p w:rsidR="003B3B17" w:rsidRPr="00B06331" w:rsidRDefault="003B3B17" w:rsidP="003B3B17">
            <w:pPr>
              <w:spacing w:after="0" w:line="240" w:lineRule="auto"/>
              <w:cnfStyle w:val="000000000000"/>
              <w:rPr>
                <w:rFonts w:cs="Calibri"/>
              </w:rPr>
            </w:pPr>
            <w:r w:rsidRPr="00B06331">
              <w:rPr>
                <w:rFonts w:cs="Calibri"/>
              </w:rPr>
              <w:t>32,000</w:t>
            </w:r>
          </w:p>
        </w:tc>
        <w:tc>
          <w:tcPr>
            <w:tcW w:w="1548" w:type="dxa"/>
          </w:tcPr>
          <w:p w:rsidR="003B3B17" w:rsidRPr="00B06331" w:rsidRDefault="003B3B17" w:rsidP="003B3B17">
            <w:pPr>
              <w:spacing w:after="0" w:line="240" w:lineRule="auto"/>
              <w:cnfStyle w:val="000000000000"/>
              <w:rPr>
                <w:rFonts w:cs="Calibri"/>
              </w:rPr>
            </w:pPr>
            <w:r w:rsidRPr="00B06331">
              <w:rPr>
                <w:rFonts w:cs="Calibri"/>
              </w:rPr>
              <w:t>41,000</w:t>
            </w:r>
          </w:p>
        </w:tc>
        <w:tc>
          <w:tcPr>
            <w:tcW w:w="1549" w:type="dxa"/>
          </w:tcPr>
          <w:p w:rsidR="003B3B17" w:rsidRPr="00B06331" w:rsidRDefault="003B3B17" w:rsidP="003B3B17">
            <w:pPr>
              <w:spacing w:after="0" w:line="240" w:lineRule="auto"/>
              <w:cnfStyle w:val="000000000000"/>
              <w:rPr>
                <w:rFonts w:cs="Calibri"/>
              </w:rPr>
            </w:pPr>
            <w:r w:rsidRPr="00B06331">
              <w:rPr>
                <w:rFonts w:cs="Calibri"/>
              </w:rPr>
              <w:t>42,000</w:t>
            </w:r>
          </w:p>
        </w:tc>
        <w:tc>
          <w:tcPr>
            <w:tcW w:w="1549" w:type="dxa"/>
          </w:tcPr>
          <w:p w:rsidR="003B3B17" w:rsidRPr="00B06331" w:rsidRDefault="003B3B17" w:rsidP="003B3B17">
            <w:pPr>
              <w:spacing w:after="0" w:line="240" w:lineRule="auto"/>
              <w:cnfStyle w:val="000000000000"/>
              <w:rPr>
                <w:rFonts w:cs="Calibri"/>
              </w:rPr>
            </w:pPr>
            <w:r w:rsidRPr="00B06331">
              <w:rPr>
                <w:rFonts w:cs="Calibri"/>
              </w:rPr>
              <w:t>38,000</w:t>
            </w:r>
          </w:p>
        </w:tc>
      </w:tr>
      <w:tr w:rsidR="003B3B17" w:rsidRPr="00B06331" w:rsidTr="003B3B17">
        <w:trPr>
          <w:cnfStyle w:val="000000100000"/>
        </w:trPr>
        <w:tc>
          <w:tcPr>
            <w:cnfStyle w:val="001000000000"/>
            <w:tcW w:w="1547" w:type="dxa"/>
          </w:tcPr>
          <w:p w:rsidR="003B3B17" w:rsidRPr="00B06331" w:rsidRDefault="003B3B17" w:rsidP="003B3B17">
            <w:pPr>
              <w:spacing w:after="0" w:line="240" w:lineRule="auto"/>
              <w:rPr>
                <w:rFonts w:cs="Calibri"/>
              </w:rPr>
            </w:pPr>
            <w:r w:rsidRPr="00B06331">
              <w:rPr>
                <w:rFonts w:cs="Calibri"/>
              </w:rPr>
              <w:t>Exports</w:t>
            </w:r>
          </w:p>
        </w:tc>
        <w:tc>
          <w:tcPr>
            <w:tcW w:w="1547" w:type="dxa"/>
          </w:tcPr>
          <w:p w:rsidR="003B3B17" w:rsidRPr="00B06331" w:rsidRDefault="003B3B17" w:rsidP="003B3B17">
            <w:pPr>
              <w:spacing w:after="0" w:line="240" w:lineRule="auto"/>
              <w:cnfStyle w:val="000000100000"/>
              <w:rPr>
                <w:rFonts w:cs="Calibri"/>
              </w:rPr>
            </w:pPr>
            <w:r w:rsidRPr="00B06331">
              <w:rPr>
                <w:rFonts w:cs="Calibri"/>
              </w:rPr>
              <w:t>12,000</w:t>
            </w:r>
          </w:p>
        </w:tc>
        <w:tc>
          <w:tcPr>
            <w:tcW w:w="1548" w:type="dxa"/>
          </w:tcPr>
          <w:p w:rsidR="003B3B17" w:rsidRPr="00B06331" w:rsidRDefault="003B3B17" w:rsidP="003B3B17">
            <w:pPr>
              <w:spacing w:after="0" w:line="240" w:lineRule="auto"/>
              <w:cnfStyle w:val="000000100000"/>
              <w:rPr>
                <w:rFonts w:cs="Calibri"/>
              </w:rPr>
            </w:pPr>
            <w:r w:rsidRPr="00B06331">
              <w:rPr>
                <w:rFonts w:cs="Calibri"/>
              </w:rPr>
              <w:t>9,000</w:t>
            </w:r>
          </w:p>
        </w:tc>
        <w:tc>
          <w:tcPr>
            <w:tcW w:w="1548" w:type="dxa"/>
          </w:tcPr>
          <w:p w:rsidR="003B3B17" w:rsidRPr="00B06331" w:rsidRDefault="003B3B17" w:rsidP="003B3B17">
            <w:pPr>
              <w:spacing w:after="0" w:line="240" w:lineRule="auto"/>
              <w:cnfStyle w:val="000000100000"/>
              <w:rPr>
                <w:rFonts w:cs="Calibri"/>
              </w:rPr>
            </w:pPr>
            <w:r w:rsidRPr="00B06331">
              <w:rPr>
                <w:rFonts w:cs="Calibri"/>
              </w:rPr>
              <w:t>12,000</w:t>
            </w:r>
          </w:p>
        </w:tc>
        <w:tc>
          <w:tcPr>
            <w:tcW w:w="1549" w:type="dxa"/>
          </w:tcPr>
          <w:p w:rsidR="003B3B17" w:rsidRPr="00B06331" w:rsidRDefault="003B3B17" w:rsidP="003B3B17">
            <w:pPr>
              <w:spacing w:after="0" w:line="240" w:lineRule="auto"/>
              <w:cnfStyle w:val="000000100000"/>
              <w:rPr>
                <w:rFonts w:cs="Calibri"/>
              </w:rPr>
            </w:pPr>
            <w:r w:rsidRPr="00B06331">
              <w:rPr>
                <w:rFonts w:cs="Calibri"/>
              </w:rPr>
              <w:t>9,000</w:t>
            </w:r>
          </w:p>
        </w:tc>
        <w:tc>
          <w:tcPr>
            <w:tcW w:w="1549" w:type="dxa"/>
          </w:tcPr>
          <w:p w:rsidR="003B3B17" w:rsidRPr="00B06331" w:rsidRDefault="003B3B17" w:rsidP="003B3B17">
            <w:pPr>
              <w:spacing w:after="0" w:line="240" w:lineRule="auto"/>
              <w:cnfStyle w:val="000000100000"/>
              <w:rPr>
                <w:rFonts w:cs="Calibri"/>
              </w:rPr>
            </w:pPr>
            <w:r w:rsidRPr="00B06331">
              <w:rPr>
                <w:rFonts w:cs="Calibri"/>
              </w:rPr>
              <w:t>12,000</w:t>
            </w:r>
          </w:p>
        </w:tc>
      </w:tr>
      <w:tr w:rsidR="003B3B17" w:rsidRPr="00B06331" w:rsidTr="003B3B17">
        <w:tc>
          <w:tcPr>
            <w:cnfStyle w:val="001000000000"/>
            <w:tcW w:w="1547" w:type="dxa"/>
          </w:tcPr>
          <w:p w:rsidR="003B3B17" w:rsidRPr="00B06331" w:rsidRDefault="003B3B17" w:rsidP="003B3B17">
            <w:pPr>
              <w:spacing w:after="0" w:line="240" w:lineRule="auto"/>
              <w:rPr>
                <w:rFonts w:cs="Calibri"/>
              </w:rPr>
            </w:pPr>
            <w:r w:rsidRPr="00B06331">
              <w:rPr>
                <w:rFonts w:cs="Calibri"/>
              </w:rPr>
              <w:t>Empty</w:t>
            </w:r>
          </w:p>
        </w:tc>
        <w:tc>
          <w:tcPr>
            <w:tcW w:w="1547" w:type="dxa"/>
          </w:tcPr>
          <w:p w:rsidR="003B3B17" w:rsidRPr="00B06331" w:rsidRDefault="003B3B17" w:rsidP="003B3B17">
            <w:pPr>
              <w:spacing w:after="0" w:line="240" w:lineRule="auto"/>
              <w:cnfStyle w:val="000000000000"/>
              <w:rPr>
                <w:rFonts w:cs="Calibri"/>
              </w:rPr>
            </w:pPr>
            <w:r w:rsidRPr="00B06331">
              <w:rPr>
                <w:rFonts w:cs="Calibri"/>
              </w:rPr>
              <w:t>22,000</w:t>
            </w:r>
          </w:p>
        </w:tc>
        <w:tc>
          <w:tcPr>
            <w:tcW w:w="1548" w:type="dxa"/>
          </w:tcPr>
          <w:p w:rsidR="003B3B17" w:rsidRPr="00B06331" w:rsidRDefault="003B3B17" w:rsidP="003B3B17">
            <w:pPr>
              <w:spacing w:after="0" w:line="240" w:lineRule="auto"/>
              <w:cnfStyle w:val="000000000000"/>
              <w:rPr>
                <w:rFonts w:cs="Calibri"/>
              </w:rPr>
            </w:pPr>
            <w:r w:rsidRPr="00B06331">
              <w:rPr>
                <w:rFonts w:cs="Calibri"/>
              </w:rPr>
              <w:t>24,000</w:t>
            </w:r>
          </w:p>
        </w:tc>
        <w:tc>
          <w:tcPr>
            <w:tcW w:w="1548" w:type="dxa"/>
          </w:tcPr>
          <w:p w:rsidR="003B3B17" w:rsidRPr="00B06331" w:rsidRDefault="003B3B17" w:rsidP="003B3B17">
            <w:pPr>
              <w:spacing w:after="0" w:line="240" w:lineRule="auto"/>
              <w:cnfStyle w:val="000000000000"/>
              <w:rPr>
                <w:rFonts w:cs="Calibri"/>
              </w:rPr>
            </w:pPr>
            <w:r w:rsidRPr="00B06331">
              <w:rPr>
                <w:rFonts w:cs="Calibri"/>
              </w:rPr>
              <w:t>29,000</w:t>
            </w:r>
          </w:p>
        </w:tc>
        <w:tc>
          <w:tcPr>
            <w:tcW w:w="1549" w:type="dxa"/>
          </w:tcPr>
          <w:p w:rsidR="003B3B17" w:rsidRPr="00B06331" w:rsidRDefault="003B3B17" w:rsidP="003B3B17">
            <w:pPr>
              <w:spacing w:after="0" w:line="240" w:lineRule="auto"/>
              <w:cnfStyle w:val="000000000000"/>
              <w:rPr>
                <w:rFonts w:cs="Calibri"/>
              </w:rPr>
            </w:pPr>
            <w:r w:rsidRPr="00B06331">
              <w:rPr>
                <w:rFonts w:cs="Calibri"/>
              </w:rPr>
              <w:t>32,000</w:t>
            </w:r>
          </w:p>
        </w:tc>
        <w:tc>
          <w:tcPr>
            <w:tcW w:w="1549" w:type="dxa"/>
          </w:tcPr>
          <w:p w:rsidR="003B3B17" w:rsidRPr="00B06331" w:rsidRDefault="003B3B17" w:rsidP="003B3B17">
            <w:pPr>
              <w:spacing w:after="0" w:line="240" w:lineRule="auto"/>
              <w:cnfStyle w:val="000000000000"/>
              <w:rPr>
                <w:rFonts w:cs="Calibri"/>
              </w:rPr>
            </w:pPr>
            <w:r w:rsidRPr="00B06331">
              <w:rPr>
                <w:rFonts w:cs="Calibri"/>
              </w:rPr>
              <w:t>27,000</w:t>
            </w:r>
          </w:p>
        </w:tc>
      </w:tr>
    </w:tbl>
    <w:p w:rsidR="003B3B17" w:rsidRPr="00B06331" w:rsidRDefault="003B3B17" w:rsidP="003B3B17">
      <w:pPr>
        <w:rPr>
          <w:rFonts w:cs="Calibri"/>
        </w:rPr>
      </w:pPr>
      <w:r w:rsidRPr="00B06331">
        <w:rPr>
          <w:rFonts w:cs="Calibri"/>
        </w:rPr>
        <w:t>Source: Banjul Port Authority</w:t>
      </w:r>
    </w:p>
    <w:p w:rsidR="003B3B17" w:rsidRPr="00B06331" w:rsidRDefault="003B3B17" w:rsidP="003B3B17">
      <w:pPr>
        <w:jc w:val="both"/>
        <w:rPr>
          <w:rFonts w:ascii="Avenir Book" w:eastAsia="Cambria" w:hAnsi="Avenir Book"/>
        </w:rPr>
      </w:pPr>
      <w:r w:rsidRPr="00B06331">
        <w:rPr>
          <w:rFonts w:ascii="Avenir Book" w:eastAsia="Cambria" w:hAnsi="Avenir Book"/>
        </w:rPr>
        <w:t>Internal trade represents a small share of imports whereas transit is at 9% and there is an additional 60% of goods under informal cross border trade, paying custom taxes at the port and exiting Gambia thereafter, mostly to Senegal and Guinea Bissau.</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Port systems are outdated, with manual recording of stored containers. It is urgent to implement a computerized terminal operating system which would be faster and more reliable, and greatly reduce informal costs for users. Processing of manifests by customs is also manual. </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Overall, port charges are competitive and 30 to 40% lower than in Dakar port. The port is financially self-sustainable and makes profits. </w:t>
      </w:r>
    </w:p>
    <w:p w:rsidR="003B3B17" w:rsidRPr="00B06331" w:rsidRDefault="003B3B17" w:rsidP="003B3B17">
      <w:pPr>
        <w:tabs>
          <w:tab w:val="left" w:pos="2429"/>
          <w:tab w:val="center" w:pos="4680"/>
        </w:tabs>
        <w:rPr>
          <w:rFonts w:ascii="Avenir Book" w:eastAsia="Cambria" w:hAnsi="Avenir Book"/>
          <w:b/>
        </w:rPr>
      </w:pPr>
      <w:r w:rsidRPr="00B06331">
        <w:rPr>
          <w:rFonts w:ascii="Avenir Book" w:eastAsia="Cambria" w:hAnsi="Avenir Book"/>
        </w:rPr>
        <w:tab/>
      </w:r>
      <w:r w:rsidR="002920DE" w:rsidRPr="00B06331">
        <w:rPr>
          <w:rFonts w:ascii="Avenir Book" w:eastAsia="Cambria" w:hAnsi="Avenir Book"/>
          <w:b/>
        </w:rPr>
        <w:tab/>
      </w:r>
      <w:r w:rsidR="002615E7" w:rsidRPr="00B06331">
        <w:rPr>
          <w:rFonts w:ascii="Avenir Book" w:eastAsia="Cambria" w:hAnsi="Avenir Book"/>
          <w:b/>
        </w:rPr>
        <w:t>Table 3.9</w:t>
      </w:r>
      <w:r w:rsidRPr="00B06331">
        <w:rPr>
          <w:rFonts w:ascii="Avenir Book" w:eastAsia="Cambria" w:hAnsi="Avenir Book"/>
          <w:b/>
        </w:rPr>
        <w:t>: Port financial indicators (M GMD)</w:t>
      </w:r>
      <w:r w:rsidRPr="00B06331">
        <w:rPr>
          <w:rFonts w:ascii="Avenir Book" w:eastAsia="Cambria" w:hAnsi="Avenir Book"/>
          <w:b/>
        </w:rPr>
        <w:footnoteReference w:id="9"/>
      </w:r>
    </w:p>
    <w:tbl>
      <w:tblPr>
        <w:tblStyle w:val="GridTable4-Accent12"/>
        <w:tblW w:w="0" w:type="auto"/>
        <w:tblLook w:val="04A0"/>
      </w:tblPr>
      <w:tblGrid>
        <w:gridCol w:w="2041"/>
        <w:gridCol w:w="1840"/>
        <w:gridCol w:w="1852"/>
        <w:gridCol w:w="1840"/>
        <w:gridCol w:w="1715"/>
      </w:tblGrid>
      <w:tr w:rsidR="003B3B17" w:rsidRPr="00B06331" w:rsidTr="003B3B17">
        <w:trPr>
          <w:cnfStyle w:val="100000000000"/>
        </w:trPr>
        <w:tc>
          <w:tcPr>
            <w:cnfStyle w:val="001000000000"/>
            <w:tcW w:w="2041" w:type="dxa"/>
          </w:tcPr>
          <w:p w:rsidR="003B3B17" w:rsidRPr="00B06331" w:rsidRDefault="003B3B17" w:rsidP="003B3B17">
            <w:pPr>
              <w:spacing w:after="0" w:line="240" w:lineRule="auto"/>
              <w:rPr>
                <w:rFonts w:ascii="Avenir Book" w:eastAsia="Cambria" w:hAnsi="Avenir Book"/>
              </w:rPr>
            </w:pPr>
          </w:p>
        </w:tc>
        <w:tc>
          <w:tcPr>
            <w:tcW w:w="1840" w:type="dxa"/>
          </w:tcPr>
          <w:p w:rsidR="003B3B17" w:rsidRPr="00B06331" w:rsidRDefault="003B3B17" w:rsidP="003B3B17">
            <w:pPr>
              <w:spacing w:after="0" w:line="240" w:lineRule="auto"/>
              <w:cnfStyle w:val="100000000000"/>
              <w:rPr>
                <w:rFonts w:ascii="Avenir Book" w:eastAsia="Cambria" w:hAnsi="Avenir Book"/>
              </w:rPr>
            </w:pPr>
            <w:r w:rsidRPr="00B06331">
              <w:rPr>
                <w:rFonts w:ascii="Avenir Book" w:eastAsia="Cambria" w:hAnsi="Avenir Book"/>
              </w:rPr>
              <w:t>2013</w:t>
            </w:r>
          </w:p>
        </w:tc>
        <w:tc>
          <w:tcPr>
            <w:tcW w:w="1852" w:type="dxa"/>
          </w:tcPr>
          <w:p w:rsidR="003B3B17" w:rsidRPr="00B06331" w:rsidRDefault="003B3B17" w:rsidP="003B3B17">
            <w:pPr>
              <w:spacing w:after="0" w:line="240" w:lineRule="auto"/>
              <w:cnfStyle w:val="100000000000"/>
              <w:rPr>
                <w:rFonts w:ascii="Avenir Book" w:eastAsia="Cambria" w:hAnsi="Avenir Book"/>
              </w:rPr>
            </w:pPr>
            <w:r w:rsidRPr="00B06331">
              <w:rPr>
                <w:rFonts w:ascii="Avenir Book" w:eastAsia="Cambria" w:hAnsi="Avenir Book"/>
              </w:rPr>
              <w:t>2014</w:t>
            </w:r>
          </w:p>
        </w:tc>
        <w:tc>
          <w:tcPr>
            <w:tcW w:w="1840" w:type="dxa"/>
          </w:tcPr>
          <w:p w:rsidR="003B3B17" w:rsidRPr="00B06331" w:rsidRDefault="003B3B17" w:rsidP="003B3B17">
            <w:pPr>
              <w:spacing w:after="0" w:line="240" w:lineRule="auto"/>
              <w:cnfStyle w:val="100000000000"/>
              <w:rPr>
                <w:rFonts w:ascii="Avenir Book" w:eastAsia="Cambria" w:hAnsi="Avenir Book"/>
              </w:rPr>
            </w:pPr>
            <w:r w:rsidRPr="00B06331">
              <w:rPr>
                <w:rFonts w:ascii="Avenir Book" w:eastAsia="Cambria" w:hAnsi="Avenir Book"/>
              </w:rPr>
              <w:t>2015</w:t>
            </w:r>
          </w:p>
        </w:tc>
        <w:tc>
          <w:tcPr>
            <w:tcW w:w="1715" w:type="dxa"/>
          </w:tcPr>
          <w:p w:rsidR="003B3B17" w:rsidRPr="00B06331" w:rsidRDefault="003B3B17" w:rsidP="003B3B17">
            <w:pPr>
              <w:spacing w:after="0" w:line="240" w:lineRule="auto"/>
              <w:cnfStyle w:val="100000000000"/>
              <w:rPr>
                <w:rFonts w:ascii="Avenir Book" w:eastAsia="Cambria" w:hAnsi="Avenir Book"/>
              </w:rPr>
            </w:pPr>
            <w:r w:rsidRPr="00B06331">
              <w:rPr>
                <w:rFonts w:ascii="Avenir Book" w:eastAsia="Cambria" w:hAnsi="Avenir Book"/>
              </w:rPr>
              <w:t>2016</w:t>
            </w:r>
          </w:p>
        </w:tc>
      </w:tr>
      <w:tr w:rsidR="003B3B17" w:rsidRPr="00B06331" w:rsidTr="003B3B17">
        <w:trPr>
          <w:cnfStyle w:val="000000100000"/>
        </w:trPr>
        <w:tc>
          <w:tcPr>
            <w:cnfStyle w:val="001000000000"/>
            <w:tcW w:w="2041" w:type="dxa"/>
          </w:tcPr>
          <w:p w:rsidR="003B3B17" w:rsidRPr="00B06331" w:rsidRDefault="003B3B17" w:rsidP="003B3B17">
            <w:pPr>
              <w:spacing w:after="0" w:line="240" w:lineRule="auto"/>
              <w:rPr>
                <w:rFonts w:ascii="Avenir Book" w:eastAsia="Cambria" w:hAnsi="Avenir Book"/>
              </w:rPr>
            </w:pPr>
            <w:r w:rsidRPr="00B06331">
              <w:rPr>
                <w:rFonts w:ascii="Avenir Book" w:eastAsia="Cambria" w:hAnsi="Avenir Book"/>
              </w:rPr>
              <w:t>Turnover</w:t>
            </w:r>
          </w:p>
        </w:tc>
        <w:tc>
          <w:tcPr>
            <w:tcW w:w="1840" w:type="dxa"/>
          </w:tcPr>
          <w:p w:rsidR="003B3B17" w:rsidRPr="00B06331" w:rsidRDefault="003B3B17" w:rsidP="003B3B17">
            <w:pPr>
              <w:spacing w:after="0" w:line="240" w:lineRule="auto"/>
              <w:cnfStyle w:val="000000100000"/>
              <w:rPr>
                <w:rFonts w:ascii="Avenir Book" w:eastAsia="Cambria" w:hAnsi="Avenir Book"/>
              </w:rPr>
            </w:pPr>
            <w:r w:rsidRPr="00B06331">
              <w:rPr>
                <w:rFonts w:ascii="Avenir Book" w:eastAsia="Cambria" w:hAnsi="Avenir Book"/>
              </w:rPr>
              <w:t>748</w:t>
            </w:r>
          </w:p>
        </w:tc>
        <w:tc>
          <w:tcPr>
            <w:tcW w:w="1852" w:type="dxa"/>
          </w:tcPr>
          <w:p w:rsidR="003B3B17" w:rsidRPr="00B06331" w:rsidRDefault="003B3B17" w:rsidP="003B3B17">
            <w:pPr>
              <w:spacing w:after="0" w:line="240" w:lineRule="auto"/>
              <w:cnfStyle w:val="000000100000"/>
              <w:rPr>
                <w:rFonts w:ascii="Avenir Book" w:eastAsia="Cambria" w:hAnsi="Avenir Book"/>
              </w:rPr>
            </w:pPr>
            <w:r w:rsidRPr="00B06331">
              <w:rPr>
                <w:rFonts w:ascii="Avenir Book" w:eastAsia="Cambria" w:hAnsi="Avenir Book"/>
              </w:rPr>
              <w:t>+16%</w:t>
            </w:r>
          </w:p>
        </w:tc>
        <w:tc>
          <w:tcPr>
            <w:tcW w:w="1840" w:type="dxa"/>
          </w:tcPr>
          <w:p w:rsidR="003B3B17" w:rsidRPr="00B06331" w:rsidRDefault="003B3B17" w:rsidP="003B3B17">
            <w:pPr>
              <w:spacing w:after="0" w:line="240" w:lineRule="auto"/>
              <w:cnfStyle w:val="000000100000"/>
              <w:rPr>
                <w:rFonts w:ascii="Avenir Book" w:eastAsia="Cambria" w:hAnsi="Avenir Book"/>
              </w:rPr>
            </w:pPr>
            <w:r w:rsidRPr="00B06331">
              <w:rPr>
                <w:rFonts w:ascii="Avenir Book" w:eastAsia="Cambria" w:hAnsi="Avenir Book"/>
              </w:rPr>
              <w:t>-11%</w:t>
            </w:r>
          </w:p>
        </w:tc>
        <w:tc>
          <w:tcPr>
            <w:tcW w:w="1715" w:type="dxa"/>
          </w:tcPr>
          <w:p w:rsidR="003B3B17" w:rsidRPr="00B06331" w:rsidRDefault="003B3B17" w:rsidP="003B3B17">
            <w:pPr>
              <w:spacing w:after="0" w:line="240" w:lineRule="auto"/>
              <w:cnfStyle w:val="000000100000"/>
              <w:rPr>
                <w:rFonts w:ascii="Avenir Book" w:eastAsia="Cambria" w:hAnsi="Avenir Book"/>
              </w:rPr>
            </w:pPr>
            <w:r w:rsidRPr="00B06331">
              <w:rPr>
                <w:rFonts w:ascii="Avenir Book" w:eastAsia="Cambria" w:hAnsi="Avenir Book"/>
              </w:rPr>
              <w:t>+11%</w:t>
            </w:r>
          </w:p>
        </w:tc>
      </w:tr>
      <w:tr w:rsidR="003B3B17" w:rsidRPr="00B06331" w:rsidTr="003B3B17">
        <w:tc>
          <w:tcPr>
            <w:cnfStyle w:val="001000000000"/>
            <w:tcW w:w="2041" w:type="dxa"/>
          </w:tcPr>
          <w:p w:rsidR="003B3B17" w:rsidRPr="00B06331" w:rsidRDefault="003B3B17" w:rsidP="003B3B17">
            <w:pPr>
              <w:spacing w:after="0" w:line="240" w:lineRule="auto"/>
              <w:rPr>
                <w:rFonts w:ascii="Avenir Book" w:eastAsia="Cambria" w:hAnsi="Avenir Book"/>
              </w:rPr>
            </w:pPr>
            <w:r w:rsidRPr="00B06331">
              <w:rPr>
                <w:rFonts w:ascii="Avenir Book" w:eastAsia="Cambria" w:hAnsi="Avenir Book"/>
              </w:rPr>
              <w:t>Operating profit</w:t>
            </w:r>
          </w:p>
        </w:tc>
        <w:tc>
          <w:tcPr>
            <w:tcW w:w="1840" w:type="dxa"/>
          </w:tcPr>
          <w:p w:rsidR="003B3B17" w:rsidRPr="00B06331" w:rsidRDefault="003B3B17" w:rsidP="003B3B17">
            <w:pPr>
              <w:spacing w:after="0" w:line="240" w:lineRule="auto"/>
              <w:cnfStyle w:val="000000000000"/>
              <w:rPr>
                <w:rFonts w:ascii="Avenir Book" w:eastAsia="Cambria" w:hAnsi="Avenir Book"/>
              </w:rPr>
            </w:pPr>
            <w:r w:rsidRPr="00B06331">
              <w:rPr>
                <w:rFonts w:ascii="Avenir Book" w:eastAsia="Cambria" w:hAnsi="Avenir Book"/>
              </w:rPr>
              <w:t>217</w:t>
            </w:r>
          </w:p>
        </w:tc>
        <w:tc>
          <w:tcPr>
            <w:tcW w:w="1852" w:type="dxa"/>
          </w:tcPr>
          <w:p w:rsidR="003B3B17" w:rsidRPr="00B06331" w:rsidRDefault="003B3B17" w:rsidP="003B3B17">
            <w:pPr>
              <w:spacing w:after="0" w:line="240" w:lineRule="auto"/>
              <w:cnfStyle w:val="000000000000"/>
              <w:rPr>
                <w:rFonts w:ascii="Avenir Book" w:eastAsia="Cambria" w:hAnsi="Avenir Book"/>
              </w:rPr>
            </w:pPr>
          </w:p>
        </w:tc>
        <w:tc>
          <w:tcPr>
            <w:tcW w:w="1840" w:type="dxa"/>
          </w:tcPr>
          <w:p w:rsidR="003B3B17" w:rsidRPr="00B06331" w:rsidRDefault="003B3B17" w:rsidP="003B3B17">
            <w:pPr>
              <w:spacing w:after="0" w:line="240" w:lineRule="auto"/>
              <w:cnfStyle w:val="000000000000"/>
              <w:rPr>
                <w:rFonts w:ascii="Avenir Book" w:eastAsia="Cambria" w:hAnsi="Avenir Book"/>
              </w:rPr>
            </w:pPr>
          </w:p>
        </w:tc>
        <w:tc>
          <w:tcPr>
            <w:tcW w:w="1715" w:type="dxa"/>
          </w:tcPr>
          <w:p w:rsidR="003B3B17" w:rsidRPr="00B06331" w:rsidRDefault="003B3B17" w:rsidP="003B3B17">
            <w:pPr>
              <w:spacing w:after="0" w:line="240" w:lineRule="auto"/>
              <w:cnfStyle w:val="000000000000"/>
              <w:rPr>
                <w:rFonts w:ascii="Avenir Book" w:eastAsia="Cambria" w:hAnsi="Avenir Book"/>
              </w:rPr>
            </w:pPr>
          </w:p>
        </w:tc>
      </w:tr>
      <w:tr w:rsidR="003B3B17" w:rsidRPr="00B06331" w:rsidTr="003B3B17">
        <w:trPr>
          <w:cnfStyle w:val="000000100000"/>
        </w:trPr>
        <w:tc>
          <w:tcPr>
            <w:cnfStyle w:val="001000000000"/>
            <w:tcW w:w="2041" w:type="dxa"/>
          </w:tcPr>
          <w:p w:rsidR="003B3B17" w:rsidRPr="00B06331" w:rsidRDefault="003B3B17" w:rsidP="003B3B17">
            <w:pPr>
              <w:spacing w:after="0" w:line="240" w:lineRule="auto"/>
              <w:rPr>
                <w:rFonts w:ascii="Avenir Book" w:eastAsia="Cambria" w:hAnsi="Avenir Book"/>
              </w:rPr>
            </w:pPr>
            <w:r w:rsidRPr="00B06331">
              <w:rPr>
                <w:rFonts w:ascii="Avenir Book" w:eastAsia="Cambria" w:hAnsi="Avenir Book"/>
              </w:rPr>
              <w:t>Net Profit/Deficit</w:t>
            </w:r>
          </w:p>
        </w:tc>
        <w:tc>
          <w:tcPr>
            <w:tcW w:w="1840" w:type="dxa"/>
          </w:tcPr>
          <w:p w:rsidR="003B3B17" w:rsidRPr="00B06331" w:rsidRDefault="003B3B17" w:rsidP="003B3B17">
            <w:pPr>
              <w:spacing w:after="0" w:line="240" w:lineRule="auto"/>
              <w:cnfStyle w:val="000000100000"/>
              <w:rPr>
                <w:rFonts w:ascii="Avenir Book" w:eastAsia="Cambria" w:hAnsi="Avenir Book"/>
              </w:rPr>
            </w:pPr>
            <w:r w:rsidRPr="00B06331">
              <w:rPr>
                <w:rFonts w:ascii="Avenir Book" w:eastAsia="Cambria" w:hAnsi="Avenir Book"/>
              </w:rPr>
              <w:t>68</w:t>
            </w:r>
          </w:p>
        </w:tc>
        <w:tc>
          <w:tcPr>
            <w:tcW w:w="1852" w:type="dxa"/>
          </w:tcPr>
          <w:p w:rsidR="003B3B17" w:rsidRPr="00B06331" w:rsidRDefault="003B3B17" w:rsidP="003B3B17">
            <w:pPr>
              <w:spacing w:after="0" w:line="240" w:lineRule="auto"/>
              <w:cnfStyle w:val="000000100000"/>
              <w:rPr>
                <w:rFonts w:ascii="Avenir Book" w:eastAsia="Cambria" w:hAnsi="Avenir Book"/>
              </w:rPr>
            </w:pPr>
            <w:r w:rsidRPr="00B06331">
              <w:rPr>
                <w:rFonts w:ascii="Avenir Book" w:eastAsia="Cambria" w:hAnsi="Avenir Book"/>
              </w:rPr>
              <w:t>100</w:t>
            </w:r>
          </w:p>
        </w:tc>
        <w:tc>
          <w:tcPr>
            <w:tcW w:w="1840" w:type="dxa"/>
          </w:tcPr>
          <w:p w:rsidR="003B3B17" w:rsidRPr="00B06331" w:rsidRDefault="003B3B17" w:rsidP="003B3B17">
            <w:pPr>
              <w:spacing w:after="0" w:line="240" w:lineRule="auto"/>
              <w:cnfStyle w:val="000000100000"/>
              <w:rPr>
                <w:rFonts w:ascii="Avenir Book" w:eastAsia="Cambria" w:hAnsi="Avenir Book"/>
              </w:rPr>
            </w:pPr>
          </w:p>
        </w:tc>
        <w:tc>
          <w:tcPr>
            <w:tcW w:w="1715" w:type="dxa"/>
          </w:tcPr>
          <w:p w:rsidR="003B3B17" w:rsidRPr="00B06331" w:rsidRDefault="003B3B17" w:rsidP="003B3B17">
            <w:pPr>
              <w:spacing w:after="0" w:line="240" w:lineRule="auto"/>
              <w:cnfStyle w:val="000000100000"/>
              <w:rPr>
                <w:rFonts w:ascii="Avenir Book" w:eastAsia="Cambria" w:hAnsi="Avenir Book"/>
              </w:rPr>
            </w:pPr>
          </w:p>
        </w:tc>
      </w:tr>
      <w:tr w:rsidR="003B3B17" w:rsidRPr="00B06331" w:rsidTr="003B3B17">
        <w:tc>
          <w:tcPr>
            <w:cnfStyle w:val="001000000000"/>
            <w:tcW w:w="2041" w:type="dxa"/>
          </w:tcPr>
          <w:p w:rsidR="003B3B17" w:rsidRPr="00B06331" w:rsidRDefault="003B3B17" w:rsidP="003B3B17">
            <w:pPr>
              <w:spacing w:after="0" w:line="240" w:lineRule="auto"/>
              <w:rPr>
                <w:rFonts w:ascii="Avenir Book" w:eastAsia="Cambria" w:hAnsi="Avenir Book"/>
              </w:rPr>
            </w:pPr>
            <w:r w:rsidRPr="00B06331">
              <w:rPr>
                <w:rFonts w:ascii="Avenir Book" w:eastAsia="Cambria" w:hAnsi="Avenir Book"/>
              </w:rPr>
              <w:t>Outstanding debt</w:t>
            </w:r>
          </w:p>
        </w:tc>
        <w:tc>
          <w:tcPr>
            <w:tcW w:w="1840" w:type="dxa"/>
          </w:tcPr>
          <w:p w:rsidR="003B3B17" w:rsidRPr="00B06331" w:rsidRDefault="003B3B17" w:rsidP="003B3B17">
            <w:pPr>
              <w:spacing w:after="0" w:line="240" w:lineRule="auto"/>
              <w:cnfStyle w:val="000000000000"/>
              <w:rPr>
                <w:rFonts w:ascii="Avenir Book" w:eastAsia="Cambria" w:hAnsi="Avenir Book"/>
              </w:rPr>
            </w:pPr>
            <w:r w:rsidRPr="00B06331">
              <w:rPr>
                <w:rFonts w:ascii="Avenir Book" w:eastAsia="Cambria" w:hAnsi="Avenir Book"/>
              </w:rPr>
              <w:t>455</w:t>
            </w:r>
          </w:p>
        </w:tc>
        <w:tc>
          <w:tcPr>
            <w:tcW w:w="1852" w:type="dxa"/>
          </w:tcPr>
          <w:p w:rsidR="003B3B17" w:rsidRPr="00B06331" w:rsidRDefault="003B3B17" w:rsidP="003B3B17">
            <w:pPr>
              <w:spacing w:after="0" w:line="240" w:lineRule="auto"/>
              <w:cnfStyle w:val="000000000000"/>
              <w:rPr>
                <w:rFonts w:ascii="Avenir Book" w:eastAsia="Cambria" w:hAnsi="Avenir Book"/>
              </w:rPr>
            </w:pPr>
          </w:p>
        </w:tc>
        <w:tc>
          <w:tcPr>
            <w:tcW w:w="1840" w:type="dxa"/>
          </w:tcPr>
          <w:p w:rsidR="003B3B17" w:rsidRPr="00B06331" w:rsidRDefault="003B3B17" w:rsidP="003B3B17">
            <w:pPr>
              <w:spacing w:after="0" w:line="240" w:lineRule="auto"/>
              <w:cnfStyle w:val="000000000000"/>
              <w:rPr>
                <w:rFonts w:ascii="Avenir Book" w:eastAsia="Cambria" w:hAnsi="Avenir Book"/>
              </w:rPr>
            </w:pPr>
          </w:p>
        </w:tc>
        <w:tc>
          <w:tcPr>
            <w:tcW w:w="1715" w:type="dxa"/>
          </w:tcPr>
          <w:p w:rsidR="003B3B17" w:rsidRPr="00B06331" w:rsidRDefault="003B3B17" w:rsidP="003B3B17">
            <w:pPr>
              <w:spacing w:after="0" w:line="240" w:lineRule="auto"/>
              <w:cnfStyle w:val="000000000000"/>
              <w:rPr>
                <w:rFonts w:ascii="Avenir Book" w:eastAsia="Cambria" w:hAnsi="Avenir Book"/>
              </w:rPr>
            </w:pPr>
          </w:p>
        </w:tc>
      </w:tr>
    </w:tbl>
    <w:p w:rsidR="003B3B17" w:rsidRPr="00B06331" w:rsidRDefault="003B3B17" w:rsidP="003B3B17">
      <w:pPr>
        <w:rPr>
          <w:rFonts w:ascii="Avenir Book" w:eastAsia="Cambria" w:hAnsi="Avenir Book"/>
        </w:rPr>
      </w:pPr>
      <w:r w:rsidRPr="00B06331">
        <w:rPr>
          <w:rFonts w:ascii="Avenir Book" w:eastAsia="Cambria" w:hAnsi="Avenir Book"/>
        </w:rPr>
        <w:t>Source: Banjul Port Authority</w:t>
      </w:r>
    </w:p>
    <w:p w:rsidR="003B3B17" w:rsidRPr="00B06331" w:rsidRDefault="003B3B17" w:rsidP="003B3B17">
      <w:pPr>
        <w:jc w:val="both"/>
        <w:rPr>
          <w:rFonts w:ascii="Avenir Book" w:eastAsia="Cambria" w:hAnsi="Avenir Book"/>
        </w:rPr>
      </w:pPr>
      <w:r w:rsidRPr="00B06331">
        <w:rPr>
          <w:rFonts w:ascii="Avenir Book" w:eastAsia="Cambria" w:hAnsi="Avenir Book"/>
        </w:rPr>
        <w:t>The outstanding debt (about 100 M$) was mostly raised from AfDB. BPA currently meets its repayment obligations.</w:t>
      </w:r>
    </w:p>
    <w:p w:rsidR="003B3B17" w:rsidRPr="00B06331" w:rsidRDefault="003B3B17" w:rsidP="003B3B17">
      <w:pPr>
        <w:jc w:val="both"/>
        <w:rPr>
          <w:rFonts w:ascii="Avenir Book" w:eastAsia="Cambria" w:hAnsi="Avenir Book"/>
        </w:rPr>
      </w:pPr>
      <w:r w:rsidRPr="00B06331">
        <w:rPr>
          <w:rFonts w:ascii="Avenir Book" w:eastAsia="Cambria" w:hAnsi="Avenir Book"/>
        </w:rPr>
        <w:t>The port authority intends to enter into a concession for container handling and possibly other activities.  Many ports have signed BOTs</w:t>
      </w:r>
      <w:r w:rsidRPr="00B06331">
        <w:rPr>
          <w:rFonts w:ascii="Avenir Book" w:eastAsia="Cambria" w:hAnsi="Avenir Book"/>
        </w:rPr>
        <w:footnoteReference w:id="10"/>
      </w:r>
      <w:r w:rsidRPr="00B06331">
        <w:rPr>
          <w:rFonts w:ascii="Avenir Book" w:eastAsia="Cambria" w:hAnsi="Avenir Book"/>
        </w:rPr>
        <w:t xml:space="preserve"> with private partners for the operations and possibly new investments of container terminals and such formula bring many benefits in terms of efficiency, speed, and costs. In the case of Banjul </w:t>
      </w:r>
      <w:r w:rsidR="00303A7D" w:rsidRPr="00B06331">
        <w:rPr>
          <w:rFonts w:ascii="Avenir Book" w:eastAsia="Cambria" w:hAnsi="Avenir Book"/>
        </w:rPr>
        <w:t>port,</w:t>
      </w:r>
      <w:r w:rsidRPr="00B06331">
        <w:rPr>
          <w:rFonts w:ascii="Avenir Book" w:eastAsia="Cambria" w:hAnsi="Avenir Book"/>
        </w:rPr>
        <w:t xml:space="preserve"> the following measures may be needed: </w:t>
      </w:r>
    </w:p>
    <w:p w:rsidR="003B3B17" w:rsidRPr="00B06331" w:rsidRDefault="003B3B17" w:rsidP="004143E3">
      <w:pPr>
        <w:pStyle w:val="ListParagraph"/>
        <w:numPr>
          <w:ilvl w:val="0"/>
          <w:numId w:val="88"/>
        </w:numPr>
        <w:spacing w:after="160"/>
        <w:jc w:val="both"/>
        <w:rPr>
          <w:rFonts w:ascii="Avenir Book" w:eastAsia="Cambria" w:hAnsi="Avenir Book"/>
        </w:rPr>
      </w:pPr>
      <w:r w:rsidRPr="00B06331">
        <w:rPr>
          <w:rFonts w:ascii="Avenir Book" w:eastAsia="Cambria" w:hAnsi="Avenir Book"/>
        </w:rPr>
        <w:t>Update the port master plan identifying short term improvements of port operations including entering into a PPP</w:t>
      </w:r>
      <w:r w:rsidRPr="00B06331">
        <w:rPr>
          <w:rFonts w:ascii="Avenir Book" w:eastAsia="Cambria" w:hAnsi="Avenir Book"/>
        </w:rPr>
        <w:footnoteReference w:id="11"/>
      </w:r>
      <w:r w:rsidRPr="00B06331">
        <w:rPr>
          <w:rFonts w:ascii="Avenir Book" w:eastAsia="Cambria" w:hAnsi="Avenir Book"/>
        </w:rPr>
        <w:t xml:space="preserve"> for the provision of container handling activities; </w:t>
      </w:r>
    </w:p>
    <w:p w:rsidR="003B3B17" w:rsidRPr="00B06331" w:rsidRDefault="003B3B17" w:rsidP="004143E3">
      <w:pPr>
        <w:pStyle w:val="ListParagraph"/>
        <w:numPr>
          <w:ilvl w:val="0"/>
          <w:numId w:val="88"/>
        </w:numPr>
        <w:spacing w:after="160"/>
        <w:jc w:val="both"/>
        <w:rPr>
          <w:rFonts w:ascii="Avenir Book" w:eastAsia="Cambria" w:hAnsi="Avenir Book"/>
        </w:rPr>
      </w:pPr>
      <w:r w:rsidRPr="00B06331">
        <w:rPr>
          <w:rFonts w:ascii="Avenir Book" w:eastAsia="Cambria" w:hAnsi="Avenir Book"/>
        </w:rPr>
        <w:lastRenderedPageBreak/>
        <w:t>Assess the feasibility of a possible PPP contractual schemes from O&amp;M</w:t>
      </w:r>
      <w:r w:rsidRPr="00B06331">
        <w:rPr>
          <w:rFonts w:ascii="Avenir Book" w:eastAsia="Cambria" w:hAnsi="Avenir Book"/>
        </w:rPr>
        <w:footnoteReference w:id="12"/>
      </w:r>
      <w:r w:rsidRPr="00B06331">
        <w:rPr>
          <w:rFonts w:ascii="Avenir Book" w:eastAsia="Cambria" w:hAnsi="Avenir Book"/>
        </w:rPr>
        <w:t xml:space="preserve"> contract to full BOT and their potential attractiveness to investors, as well as of related adaptations to the role and organization of the port Authority and determine potential social impacts. </w:t>
      </w:r>
    </w:p>
    <w:p w:rsidR="003B3B17" w:rsidRPr="00B06331" w:rsidRDefault="003B3B17" w:rsidP="004143E3">
      <w:pPr>
        <w:pStyle w:val="ListParagraph"/>
        <w:numPr>
          <w:ilvl w:val="0"/>
          <w:numId w:val="88"/>
        </w:numPr>
        <w:spacing w:after="160"/>
        <w:jc w:val="both"/>
        <w:rPr>
          <w:rFonts w:ascii="Avenir Book" w:eastAsia="Cambria" w:hAnsi="Avenir Book"/>
        </w:rPr>
      </w:pPr>
      <w:r w:rsidRPr="00B06331">
        <w:rPr>
          <w:rFonts w:ascii="Avenir Book" w:eastAsia="Cambria" w:hAnsi="Avenir Book"/>
        </w:rPr>
        <w:t>Mobilize technical assistance to structure the container activities PPP, draft contract, organize tender, evaluate bids and close the deal.</w:t>
      </w:r>
    </w:p>
    <w:p w:rsidR="003B3B17" w:rsidRPr="00B06331" w:rsidRDefault="003B3B17" w:rsidP="003B3B17">
      <w:pPr>
        <w:jc w:val="both"/>
        <w:rPr>
          <w:rFonts w:ascii="Avenir Book" w:eastAsia="Cambria" w:hAnsi="Avenir Book"/>
          <w:b/>
          <w:color w:val="7030A0"/>
        </w:rPr>
      </w:pPr>
      <w:r w:rsidRPr="00B06331">
        <w:rPr>
          <w:rFonts w:ascii="Avenir Book" w:eastAsia="Cambria" w:hAnsi="Avenir Book"/>
          <w:b/>
          <w:color w:val="7030A0"/>
        </w:rPr>
        <w:t>River transport</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Ocean faring ships can navigate upstream on Gambia River until 250 km deep up to 4.5 m draught, and 400 km up to 3.5 m draught. In the </w:t>
      </w:r>
      <w:r w:rsidR="00303A7D" w:rsidRPr="00B06331">
        <w:rPr>
          <w:rFonts w:ascii="Avenir Book" w:eastAsia="Cambria" w:hAnsi="Avenir Book"/>
        </w:rPr>
        <w:t>past,</w:t>
      </w:r>
      <w:r w:rsidRPr="00B06331">
        <w:rPr>
          <w:rFonts w:ascii="Avenir Book" w:eastAsia="Cambria" w:hAnsi="Avenir Book"/>
        </w:rPr>
        <w:t xml:space="preserve"> there was a heavy freight traffic on Gambia River, but nowadays only barges carrying peanuts still navigate on the river.</w:t>
      </w:r>
    </w:p>
    <w:p w:rsidR="003B3B17" w:rsidRPr="00B06331" w:rsidRDefault="003B3B17" w:rsidP="003B3B17">
      <w:pPr>
        <w:jc w:val="both"/>
        <w:rPr>
          <w:rFonts w:ascii="Avenir Book" w:eastAsia="Cambria" w:hAnsi="Avenir Book"/>
          <w:b/>
          <w:color w:val="7030A0"/>
        </w:rPr>
      </w:pPr>
      <w:r w:rsidRPr="00B06331">
        <w:rPr>
          <w:rFonts w:ascii="Avenir Book" w:eastAsia="Cambria" w:hAnsi="Avenir Book"/>
          <w:b/>
          <w:color w:val="7030A0"/>
        </w:rPr>
        <w:t>Civil aviation</w:t>
      </w:r>
    </w:p>
    <w:p w:rsidR="003B3B17" w:rsidRPr="00B06331" w:rsidRDefault="003B3B17" w:rsidP="003B3B17">
      <w:pPr>
        <w:jc w:val="both"/>
        <w:rPr>
          <w:rFonts w:ascii="Avenir Book" w:eastAsia="Cambria" w:hAnsi="Avenir Book"/>
        </w:rPr>
      </w:pPr>
      <w:r w:rsidRPr="00B06331">
        <w:rPr>
          <w:rFonts w:ascii="Avenir Book" w:eastAsia="Cambria" w:hAnsi="Avenir Book"/>
        </w:rPr>
        <w:t>The Gambia Civil Aviation Authority (GCAA) is in charge of the regulation of the air transport industry, manages Banjul international airport, and is responsible for air navigation services</w:t>
      </w:r>
    </w:p>
    <w:p w:rsidR="003B3B17" w:rsidRPr="00B06331" w:rsidRDefault="00830F34" w:rsidP="003B3B17">
      <w:pPr>
        <w:jc w:val="both"/>
        <w:rPr>
          <w:rFonts w:ascii="Avenir Book" w:eastAsia="Cambria" w:hAnsi="Avenir Book"/>
        </w:rPr>
      </w:pPr>
      <w:r w:rsidRPr="00B06331">
        <w:rPr>
          <w:rFonts w:ascii="Avenir Book" w:eastAsia="Cambria" w:hAnsi="Avenir Book"/>
        </w:rPr>
        <w:t>The c</w:t>
      </w:r>
      <w:r w:rsidR="003B3B17" w:rsidRPr="00B06331">
        <w:rPr>
          <w:rFonts w:ascii="Avenir Book" w:eastAsia="Cambria" w:hAnsi="Avenir Book"/>
        </w:rPr>
        <w:t xml:space="preserve">urrent organization is mired with conflicts of </w:t>
      </w:r>
      <w:r w:rsidR="00303A7D" w:rsidRPr="00B06331">
        <w:rPr>
          <w:rFonts w:ascii="Avenir Book" w:eastAsia="Cambria" w:hAnsi="Avenir Book"/>
        </w:rPr>
        <w:t>interest,</w:t>
      </w:r>
      <w:r w:rsidR="003B3B17" w:rsidRPr="00B06331">
        <w:rPr>
          <w:rFonts w:ascii="Avenir Book" w:eastAsia="Cambria" w:hAnsi="Avenir Book"/>
        </w:rPr>
        <w:t xml:space="preserve"> as GCAA is the regulator of civil aviation and air transport but also manages Banjul airport. It is urgent therefore to separate regulatory roles from operational and management functions.</w:t>
      </w:r>
    </w:p>
    <w:p w:rsidR="003B3B17" w:rsidRPr="00B06331" w:rsidRDefault="003B3B17" w:rsidP="003B3B17">
      <w:pPr>
        <w:jc w:val="both"/>
        <w:rPr>
          <w:rFonts w:ascii="Avenir Book" w:eastAsia="Cambria" w:hAnsi="Avenir Book"/>
        </w:rPr>
      </w:pPr>
      <w:r w:rsidRPr="00B06331">
        <w:rPr>
          <w:rFonts w:ascii="Avenir Book" w:eastAsia="Cambria" w:hAnsi="Avenir Book"/>
        </w:rPr>
        <w:t xml:space="preserve">In Gambia, civil aviation is fully liberalized so that any domestic company meeting corporate, technical and safety requirements may operate. None has been licensed so far. There is no more national carrier since 2007 when Gambia International Airlines stopped air transport activities. Gambia has entered into an open skies agreement with the US and is party to Yamoussoukro agreement. In addition, the country has signed bilateral agreements with several EU countries, negotiated jointly with European Commission. </w:t>
      </w:r>
    </w:p>
    <w:p w:rsidR="003B3B17" w:rsidRPr="00B06331" w:rsidRDefault="003B3B17" w:rsidP="003B3B17">
      <w:pPr>
        <w:jc w:val="both"/>
        <w:rPr>
          <w:rFonts w:ascii="Avenir Book" w:eastAsia="Cambria" w:hAnsi="Avenir Book"/>
        </w:rPr>
      </w:pPr>
      <w:r w:rsidRPr="00B06331">
        <w:rPr>
          <w:rFonts w:ascii="Avenir Book" w:eastAsia="Cambria" w:hAnsi="Avenir Book"/>
        </w:rPr>
        <w:t>There is only one airport in Gambia, Banjul International Airport (BIA). Traffic at Banjul International Airport is as follows:</w:t>
      </w:r>
    </w:p>
    <w:p w:rsidR="003B3B17" w:rsidRPr="00B06331" w:rsidRDefault="002615E7" w:rsidP="003B3B17">
      <w:pPr>
        <w:jc w:val="both"/>
        <w:rPr>
          <w:rFonts w:ascii="Avenir Book" w:eastAsia="Cambria" w:hAnsi="Avenir Book"/>
          <w:b/>
        </w:rPr>
      </w:pPr>
      <w:r w:rsidRPr="00B06331">
        <w:rPr>
          <w:rFonts w:ascii="Avenir Book" w:eastAsia="Cambria" w:hAnsi="Avenir Book"/>
          <w:b/>
        </w:rPr>
        <w:t>Table 3.10</w:t>
      </w:r>
      <w:r w:rsidR="003B3B17" w:rsidRPr="00B06331">
        <w:rPr>
          <w:rFonts w:ascii="Avenir Book" w:eastAsia="Cambria" w:hAnsi="Avenir Book"/>
          <w:b/>
        </w:rPr>
        <w:t>: Banjul Airport traffic</w:t>
      </w:r>
    </w:p>
    <w:tbl>
      <w:tblPr>
        <w:tblStyle w:val="GridTable4-Accent12"/>
        <w:tblW w:w="0" w:type="auto"/>
        <w:tblLook w:val="04A0"/>
      </w:tblPr>
      <w:tblGrid>
        <w:gridCol w:w="2943"/>
        <w:gridCol w:w="1276"/>
        <w:gridCol w:w="1276"/>
        <w:gridCol w:w="1417"/>
        <w:gridCol w:w="1134"/>
        <w:gridCol w:w="1166"/>
      </w:tblGrid>
      <w:tr w:rsidR="003B3B17" w:rsidRPr="00B06331" w:rsidTr="003B3B17">
        <w:trPr>
          <w:cnfStyle w:val="100000000000"/>
        </w:trPr>
        <w:tc>
          <w:tcPr>
            <w:cnfStyle w:val="001000000000"/>
            <w:tcW w:w="2943" w:type="dxa"/>
          </w:tcPr>
          <w:p w:rsidR="003B3B17" w:rsidRPr="00B06331" w:rsidRDefault="003B3B17" w:rsidP="003B3B17">
            <w:pPr>
              <w:jc w:val="both"/>
              <w:rPr>
                <w:rFonts w:ascii="Avenir Book" w:eastAsia="Cambria" w:hAnsi="Avenir Book"/>
              </w:rPr>
            </w:pPr>
          </w:p>
        </w:tc>
        <w:tc>
          <w:tcPr>
            <w:tcW w:w="1276" w:type="dxa"/>
          </w:tcPr>
          <w:p w:rsidR="003B3B17" w:rsidRPr="00B06331" w:rsidRDefault="003B3B17" w:rsidP="003B3B17">
            <w:pPr>
              <w:jc w:val="both"/>
              <w:cnfStyle w:val="100000000000"/>
              <w:rPr>
                <w:rFonts w:ascii="Avenir Book" w:eastAsia="Cambria" w:hAnsi="Avenir Book"/>
              </w:rPr>
            </w:pPr>
            <w:r w:rsidRPr="00B06331">
              <w:rPr>
                <w:rFonts w:ascii="Avenir Book" w:eastAsia="Cambria" w:hAnsi="Avenir Book"/>
              </w:rPr>
              <w:t>2012</w:t>
            </w:r>
          </w:p>
        </w:tc>
        <w:tc>
          <w:tcPr>
            <w:tcW w:w="1276" w:type="dxa"/>
          </w:tcPr>
          <w:p w:rsidR="003B3B17" w:rsidRPr="00B06331" w:rsidRDefault="003B3B17" w:rsidP="003B3B17">
            <w:pPr>
              <w:jc w:val="both"/>
              <w:cnfStyle w:val="100000000000"/>
              <w:rPr>
                <w:rFonts w:ascii="Avenir Book" w:eastAsia="Cambria" w:hAnsi="Avenir Book"/>
              </w:rPr>
            </w:pPr>
            <w:r w:rsidRPr="00B06331">
              <w:rPr>
                <w:rFonts w:ascii="Avenir Book" w:eastAsia="Cambria" w:hAnsi="Avenir Book"/>
              </w:rPr>
              <w:t>2013</w:t>
            </w:r>
          </w:p>
        </w:tc>
        <w:tc>
          <w:tcPr>
            <w:tcW w:w="1417" w:type="dxa"/>
          </w:tcPr>
          <w:p w:rsidR="003B3B17" w:rsidRPr="00B06331" w:rsidRDefault="003B3B17" w:rsidP="003B3B17">
            <w:pPr>
              <w:jc w:val="both"/>
              <w:cnfStyle w:val="100000000000"/>
              <w:rPr>
                <w:rFonts w:ascii="Avenir Book" w:eastAsia="Cambria" w:hAnsi="Avenir Book"/>
              </w:rPr>
            </w:pPr>
            <w:r w:rsidRPr="00B06331">
              <w:rPr>
                <w:rFonts w:ascii="Avenir Book" w:eastAsia="Cambria" w:hAnsi="Avenir Book"/>
              </w:rPr>
              <w:t>2014</w:t>
            </w:r>
          </w:p>
        </w:tc>
        <w:tc>
          <w:tcPr>
            <w:tcW w:w="1134" w:type="dxa"/>
          </w:tcPr>
          <w:p w:rsidR="003B3B17" w:rsidRPr="00B06331" w:rsidRDefault="003B3B17" w:rsidP="003B3B17">
            <w:pPr>
              <w:jc w:val="both"/>
              <w:cnfStyle w:val="100000000000"/>
              <w:rPr>
                <w:rFonts w:ascii="Avenir Book" w:eastAsia="Cambria" w:hAnsi="Avenir Book"/>
              </w:rPr>
            </w:pPr>
            <w:r w:rsidRPr="00B06331">
              <w:rPr>
                <w:rFonts w:ascii="Avenir Book" w:eastAsia="Cambria" w:hAnsi="Avenir Book"/>
              </w:rPr>
              <w:t>2015</w:t>
            </w:r>
          </w:p>
        </w:tc>
        <w:tc>
          <w:tcPr>
            <w:tcW w:w="1166" w:type="dxa"/>
          </w:tcPr>
          <w:p w:rsidR="003B3B17" w:rsidRPr="00B06331" w:rsidRDefault="003B3B17" w:rsidP="003B3B17">
            <w:pPr>
              <w:jc w:val="both"/>
              <w:cnfStyle w:val="100000000000"/>
              <w:rPr>
                <w:rFonts w:ascii="Avenir Book" w:eastAsia="Cambria" w:hAnsi="Avenir Book"/>
              </w:rPr>
            </w:pPr>
            <w:r w:rsidRPr="00B06331">
              <w:rPr>
                <w:rFonts w:ascii="Avenir Book" w:eastAsia="Cambria" w:hAnsi="Avenir Book"/>
              </w:rPr>
              <w:t>2016</w:t>
            </w:r>
          </w:p>
        </w:tc>
      </w:tr>
      <w:tr w:rsidR="003B3B17" w:rsidRPr="00B06331" w:rsidTr="003B3B17">
        <w:trPr>
          <w:cnfStyle w:val="000000100000"/>
        </w:trPr>
        <w:tc>
          <w:tcPr>
            <w:cnfStyle w:val="001000000000"/>
            <w:tcW w:w="2943" w:type="dxa"/>
          </w:tcPr>
          <w:p w:rsidR="003B3B17" w:rsidRPr="00B06331" w:rsidRDefault="003B3B17" w:rsidP="003B3B17">
            <w:pPr>
              <w:jc w:val="both"/>
              <w:rPr>
                <w:rFonts w:ascii="Avenir Book" w:eastAsia="Cambria" w:hAnsi="Avenir Book"/>
              </w:rPr>
            </w:pPr>
            <w:r w:rsidRPr="00B06331">
              <w:rPr>
                <w:rFonts w:ascii="Avenir Book" w:eastAsia="Cambria" w:hAnsi="Avenir Book"/>
              </w:rPr>
              <w:t>Overall passenger traffic (pax)</w:t>
            </w:r>
          </w:p>
        </w:tc>
        <w:tc>
          <w:tcPr>
            <w:tcW w:w="1276"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316,856</w:t>
            </w:r>
          </w:p>
        </w:tc>
        <w:tc>
          <w:tcPr>
            <w:tcW w:w="1276"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348,248</w:t>
            </w:r>
          </w:p>
        </w:tc>
        <w:tc>
          <w:tcPr>
            <w:tcW w:w="1417"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319,332</w:t>
            </w:r>
          </w:p>
        </w:tc>
        <w:tc>
          <w:tcPr>
            <w:tcW w:w="1134"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262,930</w:t>
            </w:r>
          </w:p>
        </w:tc>
        <w:tc>
          <w:tcPr>
            <w:tcW w:w="1166"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326,757</w:t>
            </w:r>
          </w:p>
        </w:tc>
      </w:tr>
      <w:tr w:rsidR="003B3B17" w:rsidRPr="00B06331" w:rsidTr="003B3B17">
        <w:tc>
          <w:tcPr>
            <w:cnfStyle w:val="001000000000"/>
            <w:tcW w:w="2943" w:type="dxa"/>
          </w:tcPr>
          <w:p w:rsidR="003B3B17" w:rsidRPr="00B06331" w:rsidRDefault="003B3B17" w:rsidP="003B3B17">
            <w:pPr>
              <w:jc w:val="both"/>
              <w:rPr>
                <w:rFonts w:ascii="Avenir Book" w:eastAsia="Cambria" w:hAnsi="Avenir Book"/>
              </w:rPr>
            </w:pPr>
            <w:r w:rsidRPr="00B06331">
              <w:rPr>
                <w:rFonts w:ascii="Avenir Book" w:eastAsia="Cambria" w:hAnsi="Avenir Book"/>
              </w:rPr>
              <w:t>Regional flights</w:t>
            </w:r>
          </w:p>
        </w:tc>
        <w:tc>
          <w:tcPr>
            <w:tcW w:w="1276"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86,139</w:t>
            </w:r>
          </w:p>
        </w:tc>
        <w:tc>
          <w:tcPr>
            <w:tcW w:w="1276"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99,892</w:t>
            </w:r>
          </w:p>
        </w:tc>
        <w:tc>
          <w:tcPr>
            <w:tcW w:w="1417"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76,086</w:t>
            </w:r>
          </w:p>
        </w:tc>
        <w:tc>
          <w:tcPr>
            <w:tcW w:w="1134"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53,039</w:t>
            </w:r>
          </w:p>
        </w:tc>
        <w:tc>
          <w:tcPr>
            <w:tcW w:w="1166"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57,133</w:t>
            </w:r>
          </w:p>
        </w:tc>
      </w:tr>
      <w:tr w:rsidR="003B3B17" w:rsidRPr="00B06331" w:rsidTr="003B3B17">
        <w:trPr>
          <w:cnfStyle w:val="000000100000"/>
        </w:trPr>
        <w:tc>
          <w:tcPr>
            <w:cnfStyle w:val="001000000000"/>
            <w:tcW w:w="2943" w:type="dxa"/>
          </w:tcPr>
          <w:p w:rsidR="003B3B17" w:rsidRPr="00B06331" w:rsidRDefault="003B3B17" w:rsidP="003B3B17">
            <w:pPr>
              <w:jc w:val="both"/>
              <w:rPr>
                <w:rFonts w:ascii="Avenir Book" w:eastAsia="Cambria" w:hAnsi="Avenir Book"/>
              </w:rPr>
            </w:pPr>
            <w:r w:rsidRPr="00B06331">
              <w:rPr>
                <w:rFonts w:ascii="Avenir Book" w:eastAsia="Cambria" w:hAnsi="Avenir Book"/>
              </w:rPr>
              <w:t>European flights</w:t>
            </w:r>
          </w:p>
        </w:tc>
        <w:tc>
          <w:tcPr>
            <w:tcW w:w="1276"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230,717</w:t>
            </w:r>
          </w:p>
        </w:tc>
        <w:tc>
          <w:tcPr>
            <w:tcW w:w="1276"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248,356</w:t>
            </w:r>
          </w:p>
        </w:tc>
        <w:tc>
          <w:tcPr>
            <w:tcW w:w="1417"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243,246</w:t>
            </w:r>
          </w:p>
        </w:tc>
        <w:tc>
          <w:tcPr>
            <w:tcW w:w="1134"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209,891</w:t>
            </w:r>
          </w:p>
        </w:tc>
        <w:tc>
          <w:tcPr>
            <w:tcW w:w="1166" w:type="dxa"/>
          </w:tcPr>
          <w:p w:rsidR="003B3B17" w:rsidRPr="00B06331" w:rsidRDefault="003B3B17" w:rsidP="003B3B17">
            <w:pPr>
              <w:jc w:val="both"/>
              <w:cnfStyle w:val="000000100000"/>
              <w:rPr>
                <w:rFonts w:ascii="Avenir Book" w:eastAsia="Cambria" w:hAnsi="Avenir Book"/>
              </w:rPr>
            </w:pPr>
            <w:r w:rsidRPr="00B06331">
              <w:rPr>
                <w:rFonts w:ascii="Avenir Book" w:eastAsia="Cambria" w:hAnsi="Avenir Book"/>
              </w:rPr>
              <w:t>269,624</w:t>
            </w:r>
          </w:p>
        </w:tc>
      </w:tr>
      <w:tr w:rsidR="003B3B17" w:rsidRPr="00B06331" w:rsidTr="003B3B17">
        <w:tc>
          <w:tcPr>
            <w:cnfStyle w:val="001000000000"/>
            <w:tcW w:w="2943" w:type="dxa"/>
          </w:tcPr>
          <w:p w:rsidR="003B3B17" w:rsidRPr="00B06331" w:rsidRDefault="003B3B17" w:rsidP="003B3B17">
            <w:pPr>
              <w:jc w:val="both"/>
              <w:rPr>
                <w:rFonts w:ascii="Avenir Book" w:eastAsia="Cambria" w:hAnsi="Avenir Book"/>
              </w:rPr>
            </w:pPr>
            <w:r w:rsidRPr="00B06331">
              <w:rPr>
                <w:rFonts w:ascii="Avenir Book" w:eastAsia="Cambria" w:hAnsi="Avenir Book"/>
              </w:rPr>
              <w:t>Freight traffic (t)</w:t>
            </w:r>
          </w:p>
        </w:tc>
        <w:tc>
          <w:tcPr>
            <w:tcW w:w="1276"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1,091</w:t>
            </w:r>
          </w:p>
        </w:tc>
        <w:tc>
          <w:tcPr>
            <w:tcW w:w="1276"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1,387</w:t>
            </w:r>
          </w:p>
        </w:tc>
        <w:tc>
          <w:tcPr>
            <w:tcW w:w="1417"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1,792</w:t>
            </w:r>
          </w:p>
        </w:tc>
        <w:tc>
          <w:tcPr>
            <w:tcW w:w="1134"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1,702</w:t>
            </w:r>
          </w:p>
        </w:tc>
        <w:tc>
          <w:tcPr>
            <w:tcW w:w="1166" w:type="dxa"/>
          </w:tcPr>
          <w:p w:rsidR="003B3B17" w:rsidRPr="00B06331" w:rsidRDefault="003B3B17" w:rsidP="003B3B17">
            <w:pPr>
              <w:jc w:val="both"/>
              <w:cnfStyle w:val="000000000000"/>
              <w:rPr>
                <w:rFonts w:ascii="Avenir Book" w:eastAsia="Cambria" w:hAnsi="Avenir Book"/>
              </w:rPr>
            </w:pPr>
            <w:r w:rsidRPr="00B06331">
              <w:rPr>
                <w:rFonts w:ascii="Avenir Book" w:eastAsia="Cambria" w:hAnsi="Avenir Book"/>
              </w:rPr>
              <w:t>1,744</w:t>
            </w:r>
          </w:p>
        </w:tc>
      </w:tr>
    </w:tbl>
    <w:p w:rsidR="003B3B17" w:rsidRPr="00B06331" w:rsidRDefault="003B3B17" w:rsidP="003B3B17">
      <w:pPr>
        <w:jc w:val="both"/>
        <w:rPr>
          <w:rFonts w:ascii="Avenir Book" w:eastAsia="Cambria" w:hAnsi="Avenir Book"/>
        </w:rPr>
      </w:pPr>
      <w:r w:rsidRPr="00B06331">
        <w:rPr>
          <w:rFonts w:ascii="Avenir Book" w:eastAsia="Cambria" w:hAnsi="Avenir Book"/>
        </w:rPr>
        <w:t>Source: GCAA</w:t>
      </w:r>
    </w:p>
    <w:p w:rsidR="00830F34" w:rsidRPr="00B06331" w:rsidRDefault="00830F34" w:rsidP="00830F34">
      <w:pPr>
        <w:jc w:val="both"/>
        <w:rPr>
          <w:rFonts w:cs="Calibri"/>
        </w:rPr>
      </w:pPr>
      <w:r w:rsidRPr="00B06331">
        <w:rPr>
          <w:rFonts w:cs="Calibri"/>
        </w:rPr>
        <w:lastRenderedPageBreak/>
        <w:t>Passenger traffic dropped in year 2015 and recovered in year 2016 and was not much affected by political issues as the unrest began after the peak of the tourism season. Most passengers come from Europe, while the remainder travel on regional airlines. Freight traffic went up in 2013/2014 and stabilized afterwards.</w:t>
      </w:r>
    </w:p>
    <w:p w:rsidR="00830F34" w:rsidRPr="00B06331" w:rsidRDefault="00830F34" w:rsidP="00830F34">
      <w:pPr>
        <w:jc w:val="both"/>
        <w:rPr>
          <w:rFonts w:cs="Calibri"/>
        </w:rPr>
      </w:pPr>
      <w:r w:rsidRPr="00B06331">
        <w:rPr>
          <w:rFonts w:cs="Calibri"/>
        </w:rPr>
        <w:t>Gambian International Airlines still provides ground handling services, but there is no barrier to the entry of competitors. Two companies provide passenger processing services.</w:t>
      </w:r>
    </w:p>
    <w:p w:rsidR="00830F34" w:rsidRPr="00B06331" w:rsidRDefault="00830F34" w:rsidP="00830F34">
      <w:pPr>
        <w:jc w:val="both"/>
        <w:rPr>
          <w:rFonts w:cs="Calibri"/>
        </w:rPr>
      </w:pPr>
      <w:r w:rsidRPr="00B06331">
        <w:rPr>
          <w:rFonts w:cs="Calibri"/>
        </w:rPr>
        <w:t xml:space="preserve">BIA accounts are significantly affected by outstanding hard currency debts amounting to about 80 million US dollars. The respective loans were raised from the Kuwaiti fund, the Saudi fund, and the African Development Bank, but to a lesser extent. Revenues peaked at 400 million dalasi in recent years, and BIA made a 25-million-dalasi profit in 2015. GCAA has been seeking for a number of years to finance an ambitious investment program amounting to 118 million US dollars but the priority levels of each of the components of the program has yet to be assessed. </w:t>
      </w:r>
    </w:p>
    <w:p w:rsidR="003B3B17" w:rsidRPr="00B06331" w:rsidRDefault="002615E7" w:rsidP="003B3B17">
      <w:pPr>
        <w:jc w:val="both"/>
        <w:rPr>
          <w:rFonts w:ascii="Avenir Book" w:eastAsia="Cambria" w:hAnsi="Avenir Book"/>
          <w:b/>
          <w:i/>
        </w:rPr>
      </w:pPr>
      <w:r w:rsidRPr="00B06331">
        <w:rPr>
          <w:rFonts w:ascii="Avenir Book" w:eastAsia="Cambria" w:hAnsi="Avenir Book"/>
          <w:b/>
          <w:i/>
        </w:rPr>
        <w:t xml:space="preserve">Summary of </w:t>
      </w:r>
      <w:r w:rsidR="003B3B17" w:rsidRPr="00B06331">
        <w:rPr>
          <w:rFonts w:ascii="Avenir Book" w:eastAsia="Cambria" w:hAnsi="Avenir Book"/>
          <w:b/>
          <w:i/>
        </w:rPr>
        <w:t>Key Challenges i</w:t>
      </w:r>
      <w:r w:rsidRPr="00B06331">
        <w:rPr>
          <w:rFonts w:ascii="Avenir Book" w:eastAsia="Cambria" w:hAnsi="Avenir Book"/>
          <w:b/>
          <w:i/>
        </w:rPr>
        <w:t>n the Transport S</w:t>
      </w:r>
      <w:r w:rsidR="001929BE" w:rsidRPr="00B06331">
        <w:rPr>
          <w:rFonts w:ascii="Avenir Book" w:eastAsia="Cambria" w:hAnsi="Avenir Book"/>
          <w:b/>
          <w:i/>
        </w:rPr>
        <w:t xml:space="preserve">ector </w:t>
      </w:r>
    </w:p>
    <w:p w:rsidR="002615E7" w:rsidRPr="00B06331" w:rsidRDefault="003B3B17" w:rsidP="003B3B17">
      <w:pPr>
        <w:jc w:val="both"/>
        <w:rPr>
          <w:rFonts w:ascii="Avenir Book" w:eastAsia="Cambria" w:hAnsi="Avenir Book"/>
        </w:rPr>
      </w:pPr>
      <w:r w:rsidRPr="00B06331">
        <w:rPr>
          <w:rFonts w:ascii="Avenir Book" w:eastAsia="Cambria" w:hAnsi="Avenir Book"/>
        </w:rPr>
        <w:t xml:space="preserve">Many of the policy directives on ‘institutional mechanisms for coordinated planning and sector regulation’ whose objective was to ensure the application of commercial principles in the management of the sector have not been implemented. This has negatively affected intermodal coordinated planning, the regulatory environment, and ultimately the efficient functioning of the market. </w:t>
      </w:r>
    </w:p>
    <w:p w:rsidR="003B3B17" w:rsidRPr="00B06331" w:rsidRDefault="003B3B17" w:rsidP="003B3B17">
      <w:pPr>
        <w:jc w:val="both"/>
        <w:rPr>
          <w:rFonts w:ascii="Avenir Book" w:eastAsia="Cambria" w:hAnsi="Avenir Book"/>
        </w:rPr>
      </w:pPr>
      <w:r w:rsidRPr="00B06331">
        <w:rPr>
          <w:rFonts w:ascii="Avenir Book" w:eastAsia="Cambria" w:hAnsi="Avenir Book"/>
        </w:rPr>
        <w:t>Improving the institutional framework of the sector by bringing all transport activities, including transport services, under the umbrella of the Ministry of Transport, as well as transferring back the responsibility for enacting regulations, policy and sector strategy to this Ministry is critical. Fixing the flaws and conflict of interest situations by separating regulatory roles from operational and management responsibility, starting with the civil aviation and air transport sector, and establishing a land transport regulator will also be necessary.</w:t>
      </w:r>
    </w:p>
    <w:p w:rsidR="003B3B17" w:rsidRPr="00B06331" w:rsidRDefault="003B3B17" w:rsidP="003B3B17">
      <w:pPr>
        <w:jc w:val="both"/>
        <w:rPr>
          <w:rFonts w:ascii="Avenir Book" w:eastAsia="Cambria" w:hAnsi="Avenir Book"/>
        </w:rPr>
      </w:pPr>
      <w:r w:rsidRPr="00B06331">
        <w:rPr>
          <w:rFonts w:ascii="Avenir Book" w:eastAsia="Cambria" w:hAnsi="Avenir Book"/>
        </w:rPr>
        <w:t>The absence of a transport sector-wide Master Plan which would have otherwise operationalize</w:t>
      </w:r>
      <w:r w:rsidR="004D7E95" w:rsidRPr="00B06331">
        <w:rPr>
          <w:rFonts w:ascii="Avenir Book" w:eastAsia="Cambria" w:hAnsi="Avenir Book"/>
        </w:rPr>
        <w:t>d</w:t>
      </w:r>
      <w:r w:rsidRPr="00B06331">
        <w:rPr>
          <w:rFonts w:ascii="Avenir Book" w:eastAsia="Cambria" w:hAnsi="Avenir Book"/>
        </w:rPr>
        <w:t xml:space="preserve"> the objective of integration and prioritization in Transport Investment Planning is preventing the movement of goods and passengers by the mode that is least costly to the economy. </w:t>
      </w:r>
    </w:p>
    <w:p w:rsidR="00890E95" w:rsidRPr="00B06331" w:rsidRDefault="00830F34" w:rsidP="00830F34">
      <w:pPr>
        <w:pStyle w:val="AICDbodycopy"/>
        <w:tabs>
          <w:tab w:val="left" w:pos="720"/>
        </w:tabs>
        <w:spacing w:line="276" w:lineRule="auto"/>
        <w:ind w:firstLine="0"/>
        <w:jc w:val="both"/>
        <w:rPr>
          <w:rFonts w:ascii="Avenir Book" w:eastAsia="Cambria" w:hAnsi="Avenir Book"/>
          <w:szCs w:val="24"/>
          <w:lang/>
        </w:rPr>
      </w:pPr>
      <w:r w:rsidRPr="00B06331">
        <w:rPr>
          <w:rFonts w:ascii="Avenir Book" w:eastAsia="Cambria" w:hAnsi="Avenir Book"/>
          <w:szCs w:val="24"/>
          <w:lang/>
        </w:rPr>
        <w:t>Although above the sub-Saharan African average, the quality of infrastructure is poor due to maintenance neglect, with 82.50% of the network in poor condition and contributing to high cost of vehicle operation/maintenance. The exception is the primary roads network which is 80% in good condition because of an on-going annual maintenance &amp; rehabilitation contract with the private sector. The poor road maintenance is a consequence of inadequate (less than 30% of estimated needs) and unsustainable r</w:t>
      </w:r>
      <w:r w:rsidR="001953F9" w:rsidRPr="00B06331">
        <w:rPr>
          <w:rFonts w:ascii="Avenir Book" w:eastAsia="Cambria" w:hAnsi="Avenir Book"/>
          <w:szCs w:val="24"/>
          <w:lang/>
        </w:rPr>
        <w:t xml:space="preserve">oad maintenance financing. </w:t>
      </w:r>
      <w:r w:rsidR="00890E95" w:rsidRPr="00B06331">
        <w:rPr>
          <w:rFonts w:ascii="Avenir Book" w:eastAsia="Cambria" w:hAnsi="Avenir Book"/>
          <w:szCs w:val="24"/>
          <w:lang/>
        </w:rPr>
        <w:t>O</w:t>
      </w:r>
      <w:r w:rsidRPr="00B06331">
        <w:rPr>
          <w:rFonts w:ascii="Avenir Book" w:eastAsia="Cambria" w:hAnsi="Avenir Book"/>
          <w:szCs w:val="24"/>
          <w:lang/>
        </w:rPr>
        <w:t xml:space="preserve">ther operational issues are associated with safety and excessive axle loads and the inability of local companies to undertake extensive road construction. </w:t>
      </w:r>
    </w:p>
    <w:p w:rsidR="00830F34" w:rsidRPr="00B06331" w:rsidRDefault="00830F34" w:rsidP="00830F34">
      <w:pPr>
        <w:pStyle w:val="AICDbodycopy"/>
        <w:tabs>
          <w:tab w:val="left" w:pos="720"/>
        </w:tabs>
        <w:spacing w:line="276" w:lineRule="auto"/>
        <w:ind w:firstLine="0"/>
        <w:jc w:val="both"/>
        <w:rPr>
          <w:rFonts w:ascii="Avenir Book" w:eastAsia="Cambria" w:hAnsi="Avenir Book"/>
          <w:szCs w:val="24"/>
          <w:lang/>
        </w:rPr>
      </w:pPr>
      <w:r w:rsidRPr="00B06331">
        <w:rPr>
          <w:rFonts w:ascii="Avenir Book" w:eastAsia="Cambria" w:hAnsi="Avenir Book"/>
          <w:szCs w:val="24"/>
          <w:lang/>
        </w:rPr>
        <w:t>There is also the need to improve trade and transport facilitation measures on regional road networks and to establish private sector driven corridor management organizations to improve efficiency of transport and trade corridors in the country. This is of growing importance considering the Tra</w:t>
      </w:r>
      <w:r w:rsidR="00890E95" w:rsidRPr="00B06331">
        <w:rPr>
          <w:rFonts w:ascii="Avenir Book" w:eastAsia="Cambria" w:hAnsi="Avenir Book"/>
          <w:szCs w:val="24"/>
          <w:lang/>
        </w:rPr>
        <w:t>ns-</w:t>
      </w:r>
      <w:r w:rsidR="00890E95" w:rsidRPr="00B06331">
        <w:rPr>
          <w:rFonts w:ascii="Avenir Book" w:eastAsia="Cambria" w:hAnsi="Avenir Book"/>
          <w:szCs w:val="24"/>
          <w:lang/>
        </w:rPr>
        <w:lastRenderedPageBreak/>
        <w:t>Gambian Bridge. Associated with</w:t>
      </w:r>
      <w:r w:rsidRPr="00B06331">
        <w:rPr>
          <w:rFonts w:ascii="Avenir Book" w:eastAsia="Cambria" w:hAnsi="Avenir Book"/>
          <w:szCs w:val="24"/>
          <w:lang/>
        </w:rPr>
        <w:t xml:space="preserve"> this need are the missing links identified in the national road network that are essential for both national and international trade</w:t>
      </w:r>
      <w:r w:rsidR="00890E95" w:rsidRPr="00B06331">
        <w:rPr>
          <w:rFonts w:ascii="Avenir Book" w:eastAsia="Cambria" w:hAnsi="Avenir Book"/>
          <w:szCs w:val="24"/>
          <w:lang/>
        </w:rPr>
        <w:t>,</w:t>
      </w:r>
      <w:r w:rsidRPr="00B06331">
        <w:rPr>
          <w:rFonts w:ascii="Avenir Book" w:eastAsia="Cambria" w:hAnsi="Avenir Book"/>
          <w:szCs w:val="24"/>
          <w:lang/>
        </w:rPr>
        <w:t xml:space="preserve"> check point reductions and the full application of the Inter-State Road Transit scheme for goods transiting in Senegal to other countries (Guinea, Mali, Guinea Conakry).</w:t>
      </w:r>
    </w:p>
    <w:p w:rsidR="00830F34" w:rsidRPr="00B06331" w:rsidRDefault="00830F34" w:rsidP="00830F34">
      <w:pPr>
        <w:spacing w:after="0"/>
        <w:jc w:val="both"/>
        <w:rPr>
          <w:rFonts w:ascii="Avenir Book" w:eastAsia="Cambria" w:hAnsi="Avenir Book"/>
          <w:szCs w:val="24"/>
          <w:lang/>
        </w:rPr>
      </w:pPr>
      <w:r w:rsidRPr="00B06331">
        <w:rPr>
          <w:rFonts w:ascii="Avenir Book" w:hAnsi="Avenir Book"/>
          <w:szCs w:val="24"/>
        </w:rPr>
        <w:t>Rapid urbanization is creating a transport crisis in the Greater Banjul Metropolis. Currently, there is confusion with respect to institutional responsibilities for the hierarchy of urban roads network and regulation of urban transport services on the arterial, collector and local roads. This needs to be rationalized and the institutions strengthened to improve efficiency of the urban transport system and ac</w:t>
      </w:r>
      <w:r w:rsidR="00890E95" w:rsidRPr="00B06331">
        <w:rPr>
          <w:rFonts w:ascii="Avenir Book" w:hAnsi="Avenir Book"/>
          <w:szCs w:val="24"/>
        </w:rPr>
        <w:t>countability.</w:t>
      </w:r>
      <w:r w:rsidRPr="00B06331">
        <w:rPr>
          <w:rFonts w:ascii="Avenir Book" w:hAnsi="Avenir Book"/>
          <w:szCs w:val="24"/>
        </w:rPr>
        <w:t xml:space="preserve"> This is particularly important for the interrelated plans covering road networks, bus networks and truck routes, and a traffic management plan for Central Business District (CBD) in the city and major towns. </w:t>
      </w:r>
    </w:p>
    <w:p w:rsidR="00830F34" w:rsidRPr="00B06331" w:rsidRDefault="00830F34" w:rsidP="00830F34">
      <w:pPr>
        <w:tabs>
          <w:tab w:val="left" w:pos="720"/>
        </w:tabs>
        <w:spacing w:before="120" w:after="120"/>
        <w:jc w:val="both"/>
        <w:rPr>
          <w:rFonts w:ascii="Avenir Book" w:hAnsi="Avenir Book"/>
          <w:szCs w:val="24"/>
        </w:rPr>
      </w:pPr>
      <w:r w:rsidRPr="00B06331">
        <w:rPr>
          <w:rFonts w:ascii="Avenir Book" w:hAnsi="Avenir Book"/>
          <w:szCs w:val="24"/>
        </w:rPr>
        <w:t>Through the Banjul International Airport (BIA), the only airport, air transport plays a major role by providing the international gateway for the business community with the rest of the world and as a critical facilitator for The Gambia Tourist Industry. However, the current capacity at the Banjul International Airport (BIA) is only optimally utilized during the tourist season from November to April each year- indicating the potential for new business during the rest of the year. Government therefore recognizes that policy decisions regarding tariffs and charges are a key determinant to the competitiveness of the BIA. The Gambia’s current policy stance disadvantages it because of strong competition from regional competitors. This is further exacerbated by higher fuel costs compared to regional competitors, as well as, inadequate equipment and machinery.  Current human capacity levels are inadequate to provide appropriate management of BIA.</w:t>
      </w:r>
    </w:p>
    <w:p w:rsidR="00830F34" w:rsidRPr="00B06331" w:rsidRDefault="00830F34" w:rsidP="00830F34">
      <w:pPr>
        <w:tabs>
          <w:tab w:val="left" w:pos="720"/>
        </w:tabs>
        <w:spacing w:before="120" w:after="120"/>
        <w:jc w:val="both"/>
        <w:rPr>
          <w:rFonts w:ascii="Avenir Book" w:hAnsi="Avenir Book"/>
          <w:sz w:val="20"/>
          <w:szCs w:val="24"/>
          <w:lang/>
        </w:rPr>
      </w:pPr>
      <w:r w:rsidRPr="00B06331">
        <w:rPr>
          <w:rFonts w:ascii="Avenir Book" w:hAnsi="Avenir Book"/>
          <w:szCs w:val="24"/>
        </w:rPr>
        <w:t xml:space="preserve">The Port of Banjul is the gateway for the export and import trade accounting for over 80% of total international trade. The port handles about 2 million tons annually and about 80,000 containers making it a middle size port. The absence of mobile cranes on the jetties, lack of available space, a manual terminal operating system, and the absence of an external dry port for the storage and handling of containers, constrain the efficiency of port operations. Inadequate depth of the approach channel and at the berth sides </w:t>
      </w:r>
      <w:r w:rsidR="008D395E" w:rsidRPr="00B06331">
        <w:rPr>
          <w:rFonts w:ascii="Avenir Book" w:hAnsi="Avenir Book"/>
          <w:szCs w:val="24"/>
        </w:rPr>
        <w:t>exclude larger</w:t>
      </w:r>
      <w:r w:rsidRPr="00B06331">
        <w:rPr>
          <w:rFonts w:ascii="Avenir Book" w:hAnsi="Avenir Book"/>
          <w:szCs w:val="24"/>
        </w:rPr>
        <w:t xml:space="preserve"> vessels and impede adaptation </w:t>
      </w:r>
      <w:r w:rsidR="00303A7D" w:rsidRPr="00B06331">
        <w:rPr>
          <w:rFonts w:ascii="Avenir Book" w:hAnsi="Avenir Book"/>
          <w:szCs w:val="24"/>
        </w:rPr>
        <w:t>to changing</w:t>
      </w:r>
      <w:r w:rsidRPr="00B06331">
        <w:rPr>
          <w:rFonts w:ascii="Avenir Book" w:hAnsi="Avenir Book"/>
          <w:szCs w:val="24"/>
        </w:rPr>
        <w:t xml:space="preserve"> trends in the port and shipping industry. The 2008 Ports Master Plan provides for improvements to the container terminals to increase efficiency and restore the ports competitive edge. However, non-implementation has rendered the Banjul Port uncompetitive as it is still being operated as a public service port. </w:t>
      </w:r>
    </w:p>
    <w:p w:rsidR="00830F34" w:rsidRPr="00B06331" w:rsidRDefault="00830F34" w:rsidP="00830F34">
      <w:pPr>
        <w:tabs>
          <w:tab w:val="left" w:pos="720"/>
        </w:tabs>
        <w:spacing w:before="120" w:after="120"/>
        <w:jc w:val="both"/>
        <w:rPr>
          <w:rFonts w:ascii="Avenir Book" w:hAnsi="Avenir Book"/>
          <w:szCs w:val="24"/>
        </w:rPr>
      </w:pPr>
      <w:r w:rsidRPr="00B06331">
        <w:rPr>
          <w:rFonts w:ascii="Avenir Book" w:hAnsi="Avenir Book"/>
          <w:szCs w:val="24"/>
        </w:rPr>
        <w:t xml:space="preserve">Government recognizes the complementarity role played by river transport in trade (including re-export trade) and tourism. However, the river transport and its associated infrastructure have all but collapsed. Based on a survey, an analysis of flow of freight based on origin/destination indicated that weekly movements of construction aggregates, cement and building materials, and other bulky freight on the road can be shifted to river transport given a level playing field for all transport modes. This includes holistic transport sector multi and inter modal planning and appropriate infrastructure pricing policies and incentives (for axle load control on the road network and tax holidays) for water transport operators involved in bulk haulage by barges.  </w:t>
      </w:r>
    </w:p>
    <w:p w:rsidR="003B3B17" w:rsidRPr="00B06331" w:rsidRDefault="003B3B17" w:rsidP="002920DE">
      <w:pPr>
        <w:pStyle w:val="Heading3"/>
        <w:rPr>
          <w:rFonts w:asciiTheme="minorHAnsi" w:hAnsiTheme="minorHAnsi" w:cstheme="minorHAnsi"/>
          <w:b/>
          <w:sz w:val="22"/>
          <w:szCs w:val="22"/>
        </w:rPr>
      </w:pPr>
      <w:bookmarkStart w:id="69" w:name="_Toc492364747"/>
      <w:r w:rsidRPr="00B06331">
        <w:rPr>
          <w:rFonts w:asciiTheme="minorHAnsi" w:hAnsiTheme="minorHAnsi" w:cstheme="minorHAnsi"/>
          <w:b/>
          <w:sz w:val="22"/>
          <w:szCs w:val="22"/>
        </w:rPr>
        <w:lastRenderedPageBreak/>
        <w:t>3.8.2 Information Communication Technology (ICT)</w:t>
      </w:r>
      <w:bookmarkEnd w:id="69"/>
    </w:p>
    <w:p w:rsidR="003B3B17" w:rsidRPr="00B06331" w:rsidRDefault="003B3B17" w:rsidP="003B3B17">
      <w:pPr>
        <w:pStyle w:val="ListParagraph"/>
        <w:spacing w:after="0"/>
        <w:ind w:left="0"/>
        <w:jc w:val="both"/>
        <w:rPr>
          <w:rFonts w:ascii="Avenir Book" w:eastAsia="Cambria" w:hAnsi="Avenir Book"/>
        </w:rPr>
      </w:pPr>
    </w:p>
    <w:p w:rsidR="003B3B17" w:rsidRPr="00B06331" w:rsidRDefault="003B3B17" w:rsidP="003B3B17">
      <w:pPr>
        <w:pStyle w:val="ListParagraph"/>
        <w:spacing w:after="0"/>
        <w:ind w:left="0"/>
        <w:jc w:val="both"/>
        <w:rPr>
          <w:rFonts w:ascii="Avenir Book" w:eastAsia="Cambria" w:hAnsi="Avenir Book"/>
        </w:rPr>
      </w:pPr>
      <w:r w:rsidRPr="00B06331">
        <w:rPr>
          <w:rFonts w:ascii="Avenir Book" w:eastAsia="Cambria" w:hAnsi="Avenir Book"/>
        </w:rPr>
        <w:t xml:space="preserve">While the Gambia has made significant strides in the recent years in terms of developing the information and communications (ICT) sector for provision of affordable communications and internet services to the Gambian people, further effort to foster a competitive market environment is still needed in order to maintain this momentum of growth. Monopoly bottlenecks in the sector still exist and the application of an open and fair regulatory framework for the sector still requires strengthening. Action is still required to ensure that more and more Gambian citizens can fully benefit from ICT in their social and economic lives. </w:t>
      </w:r>
    </w:p>
    <w:p w:rsidR="003B3B17" w:rsidRPr="00B06331" w:rsidRDefault="003B3B17" w:rsidP="003B3B17">
      <w:pPr>
        <w:pStyle w:val="ListParagraph"/>
        <w:spacing w:after="0"/>
        <w:ind w:left="0"/>
        <w:jc w:val="both"/>
        <w:rPr>
          <w:rFonts w:ascii="Avenir Book" w:eastAsia="Cambria" w:hAnsi="Avenir Book"/>
        </w:rPr>
      </w:pPr>
    </w:p>
    <w:p w:rsidR="003B3B17" w:rsidRPr="00B06331" w:rsidRDefault="003B3B17" w:rsidP="003B3B17">
      <w:pPr>
        <w:pStyle w:val="ListParagraph"/>
        <w:spacing w:after="0"/>
        <w:ind w:left="0"/>
        <w:jc w:val="both"/>
        <w:rPr>
          <w:rFonts w:ascii="Avenir Book" w:eastAsia="Cambria" w:hAnsi="Avenir Book"/>
        </w:rPr>
      </w:pPr>
      <w:r w:rsidRPr="00B06331">
        <w:rPr>
          <w:rFonts w:ascii="Avenir Book" w:eastAsia="Cambria" w:hAnsi="Avenir Book"/>
        </w:rPr>
        <w:t>The Gambia has a partially liberalized telecommunications sector with good competition in mobile and broadband but continued monopoly over the international voice gateway through the state-owned company, Gamtel. The telecommunications industry in the Gambia currently consists of one national fixed line operator, GAMTEL, which also provides internet services, 4 GSM operators namely Gamcel (national operator), Africell, Comium and Qcell.  Netpage, Unique Solutions, Lanix and Qcell have also been licensed as Internet Service Providers. Africell leads the with largest mobile market share of 51% followed by Qcell at 18%, Gamcel at 16% and Comium at 15%. The Gambia has one submarine cable landing station from their investment in the Africa Coast to Europe (ACE) undersea cable through the support of the World Bank West Africa Regional Communications Program.</w:t>
      </w:r>
    </w:p>
    <w:p w:rsidR="00FE5C36" w:rsidRPr="00B06331" w:rsidRDefault="00FE5C36"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Figure </w:t>
      </w:r>
      <w:r w:rsidR="004D2867" w:rsidRPr="00B06331">
        <w:rPr>
          <w:rFonts w:ascii="Avenir Book" w:hAnsi="Avenir Book"/>
          <w:szCs w:val="24"/>
        </w:rPr>
        <w:t>3.11</w:t>
      </w:r>
      <w:r w:rsidRPr="00B06331">
        <w:rPr>
          <w:rFonts w:ascii="Avenir Book" w:hAnsi="Avenir Book"/>
          <w:szCs w:val="24"/>
        </w:rPr>
        <w:t>: Gambia Mobile Service Market Structure (2017)</w:t>
      </w: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noProof/>
          <w:szCs w:val="24"/>
        </w:rPr>
        <w:drawing>
          <wp:inline distT="0" distB="0" distL="0" distR="0">
            <wp:extent cx="3336925" cy="1252855"/>
            <wp:effectExtent l="0" t="0" r="15875" b="444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Source: PURA</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Gambia has a growing mobile voice and data market which is increasingly becoming an “enabling sector” and an input to growth. The penetration rates for mobile services, fixed lines and internet subscription exceed 130%,2% and 28% respectively.  This has created a platform for new value added mobile services such as mobile money which aims to circumvent the low penetration rates for traditional financial services. Further linkages have been made between the electricity and telecoms sector with the launching of applications for the purchase of electricity units through mobile phones by both Qcell and Africell. The average revenue per user (ARPU) in the </w:t>
      </w:r>
      <w:r w:rsidR="00303A7D" w:rsidRPr="00B06331">
        <w:rPr>
          <w:rFonts w:ascii="Avenir Book" w:hAnsi="Avenir Book"/>
          <w:szCs w:val="24"/>
        </w:rPr>
        <w:t>sector</w:t>
      </w:r>
      <w:r w:rsidRPr="00B06331">
        <w:rPr>
          <w:rFonts w:ascii="Avenir Book" w:hAnsi="Avenir Book"/>
          <w:szCs w:val="24"/>
        </w:rPr>
        <w:t xml:space="preserve"> remain low ranging from $1.20 - $2.20 amongst all operators.</w:t>
      </w:r>
    </w:p>
    <w:p w:rsidR="002615E7" w:rsidRPr="00B06331" w:rsidRDefault="002615E7"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890E95" w:rsidRPr="00B06331" w:rsidRDefault="00890E95"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Figure </w:t>
      </w:r>
      <w:r w:rsidR="004D2867" w:rsidRPr="00B06331">
        <w:rPr>
          <w:rFonts w:ascii="Avenir Book" w:hAnsi="Avenir Book"/>
          <w:szCs w:val="24"/>
        </w:rPr>
        <w:t>3.12</w:t>
      </w:r>
      <w:r w:rsidRPr="00B06331">
        <w:rPr>
          <w:rFonts w:ascii="Avenir Book" w:hAnsi="Avenir Book"/>
          <w:szCs w:val="24"/>
        </w:rPr>
        <w:t>: Gambia Mobile Phone Service Penetration Rate (2017)</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noProof/>
          <w:szCs w:val="24"/>
        </w:rPr>
        <w:drawing>
          <wp:inline distT="0" distB="0" distL="0" distR="0">
            <wp:extent cx="4033520" cy="1903730"/>
            <wp:effectExtent l="0" t="0" r="5080" b="127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Source: PURA</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Affordability is still one of the main barriers to mobile phone ownership and usage in particular for low-income populations. In 2016, The Gambia was ranked 163 out of 183 countries in terms of the International Telecommunication Union’s mobile service prices sub-index</w:t>
      </w:r>
      <w:r w:rsidRPr="00B06331">
        <w:rPr>
          <w:rFonts w:ascii="Avenir Book" w:hAnsi="Avenir Book"/>
          <w:szCs w:val="24"/>
        </w:rPr>
        <w:footnoteReference w:id="13"/>
      </w:r>
      <w:r w:rsidRPr="00B06331">
        <w:rPr>
          <w:rFonts w:ascii="Avenir Book" w:hAnsi="Avenir Book"/>
          <w:szCs w:val="24"/>
        </w:rPr>
        <w:t>. In addition, the cost of the handset and tablet device is considered to be an obstacle to ownership of devices such as smart phones and tablet computers. Another major barrier is the lack of perceived benefits. This obstacle can be greater in communities where lower overall mobile uptake makes the service less valuable because of the lack of network effects and local content.</w:t>
      </w:r>
    </w:p>
    <w:p w:rsidR="003B3B17" w:rsidRPr="00B06331" w:rsidRDefault="003B3B17" w:rsidP="003B3B17">
      <w:pPr>
        <w:pStyle w:val="ListParagraph"/>
        <w:spacing w:after="0"/>
        <w:ind w:left="0"/>
        <w:jc w:val="both"/>
        <w:rPr>
          <w:rFonts w:ascii="Avenir Book" w:hAnsi="Avenir Book"/>
          <w:szCs w:val="24"/>
        </w:rPr>
      </w:pPr>
    </w:p>
    <w:p w:rsidR="00890E95"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liberalization of the international voice gateway remains outstanding. The Information Communications Act of 2009 lays a foundation for liberalization of the telecommunications market and has paved the way for a competitive mobile market. The recent ACE submarine cable landing station is managed by a special purpose vehicle (SPV) or public-private partnership (PPP) called the Gambia Submarine Cable Company (GSC). The GSC comprises of shareholders from both public and private sector telecoms operators and the Government. Private shares consist of 51%. To date, and in-line with the continued liberalization agenda, the private GSC members should have been issued with both international voice and data gateway licenses, but have only been issued with the data gateway license. The PPP arrangement for managing the ACE landing station together with the requirement for open access of the international gateway by all the PPP members had been agreed on by the Government of </w:t>
      </w:r>
      <w:r w:rsidRPr="00B06331">
        <w:rPr>
          <w:rFonts w:ascii="Avenir Book" w:hAnsi="Avenir Book"/>
          <w:szCs w:val="24"/>
        </w:rPr>
        <w:lastRenderedPageBreak/>
        <w:t xml:space="preserve">The Gambia (GoTG) and the World Bank during the preparation of the WARCIP project. Subsequently, the PPP agreement signed by the GoTG and private members states that each member would be issued licenses to operate its own gateways for both data and voice. </w:t>
      </w:r>
    </w:p>
    <w:p w:rsidR="00890E95" w:rsidRPr="00B06331" w:rsidRDefault="00890E95"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The monopoly over the international voice gateway has negatively impacted the profitability of the private mobile operators and their capacity to reinvest and upgrade their networks, thus slowing overall network expansion and degrading Quality of service in The Gambia. This also means that the sector as a whole, and Gambia itself, has not yet fully benefited from the new ACE internet capacity.</w:t>
      </w:r>
    </w:p>
    <w:p w:rsidR="003B3B17" w:rsidRPr="00B06331" w:rsidRDefault="003B3B17" w:rsidP="003B3B17">
      <w:pPr>
        <w:pStyle w:val="ListParagraph"/>
        <w:spacing w:after="0"/>
        <w:ind w:left="0"/>
        <w:jc w:val="both"/>
        <w:rPr>
          <w:rFonts w:ascii="Avenir Book" w:hAnsi="Avenir Book"/>
          <w:szCs w:val="24"/>
        </w:rPr>
      </w:pPr>
    </w:p>
    <w:p w:rsidR="003B3B17" w:rsidRPr="00B06331" w:rsidRDefault="002615E7" w:rsidP="003B3B17">
      <w:pPr>
        <w:pStyle w:val="ListParagraph"/>
        <w:spacing w:after="0"/>
        <w:ind w:left="0"/>
        <w:jc w:val="both"/>
        <w:rPr>
          <w:rFonts w:ascii="Avenir Book" w:hAnsi="Avenir Book"/>
          <w:b/>
          <w:szCs w:val="24"/>
        </w:rPr>
      </w:pPr>
      <w:r w:rsidRPr="00B06331">
        <w:rPr>
          <w:rFonts w:ascii="Avenir Book" w:hAnsi="Avenir Book"/>
          <w:b/>
          <w:szCs w:val="24"/>
        </w:rPr>
        <w:t>Table 3.11</w:t>
      </w:r>
      <w:r w:rsidR="003B3B17" w:rsidRPr="00B06331">
        <w:rPr>
          <w:rFonts w:ascii="Avenir Book" w:hAnsi="Avenir Book"/>
          <w:b/>
          <w:szCs w:val="24"/>
        </w:rPr>
        <w:t>. Investor sh</w:t>
      </w:r>
      <w:r w:rsidR="00FE5C36" w:rsidRPr="00B06331">
        <w:rPr>
          <w:rFonts w:ascii="Avenir Book" w:hAnsi="Avenir Book"/>
          <w:b/>
          <w:szCs w:val="24"/>
        </w:rPr>
        <w:t>ares of the ACE landing station</w:t>
      </w:r>
    </w:p>
    <w:tbl>
      <w:tblPr>
        <w:tblStyle w:val="GridTable4-Accent12"/>
        <w:tblW w:w="0" w:type="auto"/>
        <w:tblLook w:val="04A0"/>
      </w:tblPr>
      <w:tblGrid>
        <w:gridCol w:w="2337"/>
        <w:gridCol w:w="2337"/>
        <w:gridCol w:w="2338"/>
        <w:gridCol w:w="2338"/>
      </w:tblGrid>
      <w:tr w:rsidR="003B3B17" w:rsidRPr="00B06331" w:rsidTr="003B3B17">
        <w:trPr>
          <w:cnfStyle w:val="100000000000"/>
        </w:trPr>
        <w:tc>
          <w:tcPr>
            <w:cnfStyle w:val="001000000000"/>
            <w:tcW w:w="2337" w:type="dxa"/>
          </w:tcPr>
          <w:p w:rsidR="003B3B17" w:rsidRPr="00B06331" w:rsidRDefault="003B3B17" w:rsidP="003B3B17">
            <w:pPr>
              <w:pStyle w:val="ListParagraph"/>
              <w:spacing w:after="0"/>
              <w:ind w:left="0"/>
              <w:jc w:val="both"/>
              <w:rPr>
                <w:rFonts w:ascii="Avenir Book" w:hAnsi="Avenir Book"/>
                <w:szCs w:val="24"/>
              </w:rPr>
            </w:pPr>
          </w:p>
        </w:tc>
        <w:tc>
          <w:tcPr>
            <w:tcW w:w="2337" w:type="dxa"/>
          </w:tcPr>
          <w:p w:rsidR="003B3B17" w:rsidRPr="00B06331" w:rsidRDefault="003B3B17" w:rsidP="003B3B17">
            <w:pPr>
              <w:pStyle w:val="ListParagraph"/>
              <w:spacing w:after="0"/>
              <w:ind w:left="0"/>
              <w:jc w:val="both"/>
              <w:cnfStyle w:val="100000000000"/>
              <w:rPr>
                <w:rFonts w:ascii="Avenir Book" w:hAnsi="Avenir Book"/>
                <w:szCs w:val="24"/>
              </w:rPr>
            </w:pPr>
          </w:p>
        </w:tc>
        <w:tc>
          <w:tcPr>
            <w:tcW w:w="2338" w:type="dxa"/>
          </w:tcPr>
          <w:p w:rsidR="003B3B17" w:rsidRPr="00B06331" w:rsidRDefault="003B3B17" w:rsidP="003B3B17">
            <w:pPr>
              <w:pStyle w:val="ListParagraph"/>
              <w:spacing w:after="0"/>
              <w:ind w:left="0"/>
              <w:jc w:val="both"/>
              <w:cnfStyle w:val="100000000000"/>
              <w:rPr>
                <w:rFonts w:ascii="Avenir Book" w:hAnsi="Avenir Book"/>
                <w:szCs w:val="24"/>
              </w:rPr>
            </w:pPr>
            <w:r w:rsidRPr="00B06331">
              <w:rPr>
                <w:rFonts w:ascii="Avenir Book" w:hAnsi="Avenir Book"/>
                <w:szCs w:val="24"/>
              </w:rPr>
              <w:t>Initial Request</w:t>
            </w:r>
          </w:p>
        </w:tc>
        <w:tc>
          <w:tcPr>
            <w:tcW w:w="2338" w:type="dxa"/>
          </w:tcPr>
          <w:p w:rsidR="003B3B17" w:rsidRPr="00B06331" w:rsidRDefault="003B3B17" w:rsidP="003B3B17">
            <w:pPr>
              <w:pStyle w:val="ListParagraph"/>
              <w:spacing w:after="0"/>
              <w:ind w:left="0"/>
              <w:jc w:val="both"/>
              <w:cnfStyle w:val="100000000000"/>
              <w:rPr>
                <w:rFonts w:ascii="Avenir Book" w:hAnsi="Avenir Book"/>
                <w:szCs w:val="24"/>
              </w:rPr>
            </w:pPr>
            <w:r w:rsidRPr="00B06331">
              <w:rPr>
                <w:rFonts w:ascii="Avenir Book" w:hAnsi="Avenir Book"/>
                <w:szCs w:val="24"/>
              </w:rPr>
              <w:t>Bandwidth Equivalent (Gbits)</w:t>
            </w:r>
          </w:p>
        </w:tc>
      </w:tr>
      <w:tr w:rsidR="003B3B17" w:rsidRPr="00B06331" w:rsidTr="003B3B17">
        <w:trPr>
          <w:cnfStyle w:val="000000100000"/>
        </w:trPr>
        <w:tc>
          <w:tcPr>
            <w:cnfStyle w:val="001000000000"/>
            <w:tcW w:w="2337" w:type="dxa"/>
            <w:vMerge w:val="restart"/>
          </w:tcPr>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Public Investor</w:t>
            </w:r>
          </w:p>
        </w:tc>
        <w:tc>
          <w:tcPr>
            <w:tcW w:w="2337"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The Government</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19%</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1.0</w:t>
            </w:r>
          </w:p>
        </w:tc>
      </w:tr>
      <w:tr w:rsidR="003B3B17" w:rsidRPr="00B06331" w:rsidTr="003B3B17">
        <w:tc>
          <w:tcPr>
            <w:cnfStyle w:val="001000000000"/>
            <w:tcW w:w="2337" w:type="dxa"/>
            <w:vMerge/>
          </w:tcPr>
          <w:p w:rsidR="003B3B17" w:rsidRPr="00B06331" w:rsidRDefault="003B3B17" w:rsidP="003B3B17">
            <w:pPr>
              <w:pStyle w:val="ListParagraph"/>
              <w:spacing w:after="0"/>
              <w:ind w:left="0"/>
              <w:jc w:val="both"/>
              <w:rPr>
                <w:rFonts w:ascii="Avenir Book" w:hAnsi="Avenir Book"/>
                <w:szCs w:val="24"/>
              </w:rPr>
            </w:pPr>
          </w:p>
        </w:tc>
        <w:tc>
          <w:tcPr>
            <w:tcW w:w="2337"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GAMTEL</w:t>
            </w:r>
          </w:p>
        </w:tc>
        <w:tc>
          <w:tcPr>
            <w:tcW w:w="2338"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30%</w:t>
            </w:r>
          </w:p>
        </w:tc>
        <w:tc>
          <w:tcPr>
            <w:tcW w:w="2338"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1.5</w:t>
            </w:r>
          </w:p>
        </w:tc>
      </w:tr>
      <w:tr w:rsidR="003B3B17" w:rsidRPr="00B06331" w:rsidTr="003B3B17">
        <w:trPr>
          <w:cnfStyle w:val="000000100000"/>
        </w:trPr>
        <w:tc>
          <w:tcPr>
            <w:cnfStyle w:val="001000000000"/>
            <w:tcW w:w="2337" w:type="dxa"/>
            <w:vMerge w:val="restart"/>
          </w:tcPr>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Private Mobile Investor</w:t>
            </w:r>
          </w:p>
        </w:tc>
        <w:tc>
          <w:tcPr>
            <w:tcW w:w="2337"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Africell</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15%</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0.8</w:t>
            </w:r>
          </w:p>
        </w:tc>
      </w:tr>
      <w:tr w:rsidR="003B3B17" w:rsidRPr="00B06331" w:rsidTr="003B3B17">
        <w:tc>
          <w:tcPr>
            <w:cnfStyle w:val="001000000000"/>
            <w:tcW w:w="2337" w:type="dxa"/>
            <w:vMerge/>
          </w:tcPr>
          <w:p w:rsidR="003B3B17" w:rsidRPr="00B06331" w:rsidRDefault="003B3B17" w:rsidP="003B3B17">
            <w:pPr>
              <w:pStyle w:val="ListParagraph"/>
              <w:spacing w:after="0"/>
              <w:ind w:left="0"/>
              <w:jc w:val="both"/>
              <w:rPr>
                <w:rFonts w:ascii="Avenir Book" w:hAnsi="Avenir Book"/>
                <w:szCs w:val="24"/>
              </w:rPr>
            </w:pPr>
          </w:p>
        </w:tc>
        <w:tc>
          <w:tcPr>
            <w:tcW w:w="2337"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Comium</w:t>
            </w:r>
          </w:p>
        </w:tc>
        <w:tc>
          <w:tcPr>
            <w:tcW w:w="2338"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10%</w:t>
            </w:r>
          </w:p>
        </w:tc>
        <w:tc>
          <w:tcPr>
            <w:tcW w:w="2338"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0.5</w:t>
            </w:r>
          </w:p>
        </w:tc>
      </w:tr>
      <w:tr w:rsidR="003B3B17" w:rsidRPr="00B06331" w:rsidTr="003B3B17">
        <w:trPr>
          <w:cnfStyle w:val="000000100000"/>
        </w:trPr>
        <w:tc>
          <w:tcPr>
            <w:cnfStyle w:val="001000000000"/>
            <w:tcW w:w="2337" w:type="dxa"/>
            <w:vMerge/>
          </w:tcPr>
          <w:p w:rsidR="003B3B17" w:rsidRPr="00B06331" w:rsidRDefault="003B3B17" w:rsidP="003B3B17">
            <w:pPr>
              <w:pStyle w:val="ListParagraph"/>
              <w:spacing w:after="0"/>
              <w:ind w:left="0"/>
              <w:jc w:val="both"/>
              <w:rPr>
                <w:rFonts w:ascii="Avenir Book" w:hAnsi="Avenir Book"/>
                <w:szCs w:val="24"/>
              </w:rPr>
            </w:pPr>
          </w:p>
        </w:tc>
        <w:tc>
          <w:tcPr>
            <w:tcW w:w="2337"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Qcell</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16%</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0.8</w:t>
            </w:r>
          </w:p>
        </w:tc>
      </w:tr>
      <w:tr w:rsidR="003B3B17" w:rsidRPr="00B06331" w:rsidTr="003B3B17">
        <w:tc>
          <w:tcPr>
            <w:cnfStyle w:val="001000000000"/>
            <w:tcW w:w="2337" w:type="dxa"/>
            <w:vMerge w:val="restart"/>
          </w:tcPr>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Private ISP Investor</w:t>
            </w:r>
          </w:p>
        </w:tc>
        <w:tc>
          <w:tcPr>
            <w:tcW w:w="2337"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Netpage</w:t>
            </w:r>
          </w:p>
        </w:tc>
        <w:tc>
          <w:tcPr>
            <w:tcW w:w="2338"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5%</w:t>
            </w:r>
          </w:p>
        </w:tc>
        <w:tc>
          <w:tcPr>
            <w:tcW w:w="2338" w:type="dxa"/>
          </w:tcPr>
          <w:p w:rsidR="003B3B17" w:rsidRPr="00B06331" w:rsidRDefault="003B3B17" w:rsidP="003B3B17">
            <w:pPr>
              <w:pStyle w:val="ListParagraph"/>
              <w:spacing w:after="0"/>
              <w:ind w:left="0"/>
              <w:jc w:val="both"/>
              <w:cnfStyle w:val="000000000000"/>
              <w:rPr>
                <w:rFonts w:ascii="Avenir Book" w:hAnsi="Avenir Book"/>
                <w:szCs w:val="24"/>
              </w:rPr>
            </w:pPr>
            <w:r w:rsidRPr="00B06331">
              <w:rPr>
                <w:rFonts w:ascii="Avenir Book" w:hAnsi="Avenir Book"/>
                <w:szCs w:val="24"/>
              </w:rPr>
              <w:t>0.3</w:t>
            </w:r>
          </w:p>
        </w:tc>
      </w:tr>
      <w:tr w:rsidR="003B3B17" w:rsidRPr="00B06331" w:rsidTr="003B3B17">
        <w:trPr>
          <w:cnfStyle w:val="000000100000"/>
        </w:trPr>
        <w:tc>
          <w:tcPr>
            <w:cnfStyle w:val="001000000000"/>
            <w:tcW w:w="2337" w:type="dxa"/>
            <w:vMerge/>
          </w:tcPr>
          <w:p w:rsidR="003B3B17" w:rsidRPr="00B06331" w:rsidRDefault="003B3B17" w:rsidP="003B3B17">
            <w:pPr>
              <w:pStyle w:val="ListParagraph"/>
              <w:spacing w:after="0"/>
              <w:ind w:left="0"/>
              <w:jc w:val="both"/>
              <w:rPr>
                <w:rFonts w:ascii="Avenir Book" w:hAnsi="Avenir Book"/>
                <w:szCs w:val="24"/>
              </w:rPr>
            </w:pPr>
          </w:p>
        </w:tc>
        <w:tc>
          <w:tcPr>
            <w:tcW w:w="2337"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Unique Solutions</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5%</w:t>
            </w:r>
          </w:p>
        </w:tc>
        <w:tc>
          <w:tcPr>
            <w:tcW w:w="2338" w:type="dxa"/>
          </w:tcPr>
          <w:p w:rsidR="003B3B17" w:rsidRPr="00B06331" w:rsidRDefault="003B3B17" w:rsidP="003B3B17">
            <w:pPr>
              <w:pStyle w:val="ListParagraph"/>
              <w:spacing w:after="0"/>
              <w:ind w:left="0"/>
              <w:jc w:val="both"/>
              <w:cnfStyle w:val="000000100000"/>
              <w:rPr>
                <w:rFonts w:ascii="Avenir Book" w:hAnsi="Avenir Book"/>
                <w:szCs w:val="24"/>
              </w:rPr>
            </w:pPr>
            <w:r w:rsidRPr="00B06331">
              <w:rPr>
                <w:rFonts w:ascii="Avenir Book" w:hAnsi="Avenir Book"/>
                <w:szCs w:val="24"/>
              </w:rPr>
              <w:t>0.3</w:t>
            </w:r>
          </w:p>
        </w:tc>
      </w:tr>
    </w:tbl>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Source: PURA</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Government continues to develop its state-owned communications infrastructure to ensure better connectivity throughout the country. As part of an ECOWAS regional connectivity initiative, and through a part loan-part grant USD33.26-million-dollar project financed by the Islamic Development Bank (IsDB), Gambia today has a national fibre optic network running from Brikima to Fatoto called the ECOWAN network. The Government is further developing WiMAX last mile infrastructure, and national fiber optic links (817 km) from Banjul to Basse in the North Bank and from Banjul to Fatoto in the South Bank of the country. This project is expected to build the missing/critical fiber network on the North Bank and replace existing obsolete network on the South Bank in the country.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ECOWAN network consists of an ‘essential facility’, as it is infrastructure that is core to the nationwide fibre optic network. There is limited economic justification for duplicate investments into essential facilities due to high sunk costs as well as operational costs. Hence, the owner of such a facility such as ECOWAN is responsible for ensuring open and fair access to this infrastructure by all players in the market to avoid becoming a bottleneck to further expansion of operator networks. Currently, the ECOWAN infrastructure is hugely underutilized due to missing links - the last miles - that is required to reach the rural areas. Gamtel is managing and operating the ECOWAN network as well as the WiMax network and the redundancy network link through to Sonatel’s network in Senegal. Due to its existing debt </w:t>
      </w:r>
      <w:r w:rsidR="00E158EB" w:rsidRPr="00B06331">
        <w:rPr>
          <w:rFonts w:ascii="Avenir Book" w:hAnsi="Avenir Book"/>
          <w:szCs w:val="24"/>
        </w:rPr>
        <w:t>situation,</w:t>
      </w:r>
      <w:r w:rsidRPr="00B06331">
        <w:rPr>
          <w:rFonts w:ascii="Avenir Book" w:hAnsi="Avenir Book"/>
          <w:szCs w:val="24"/>
        </w:rPr>
        <w:t xml:space="preserve"> Gamtel is currently not capable of investing in the last mile of the ECOWAN network.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Despite the continued monopoly on the international voice gateway and difficulties in utilizing the ECOWAN network, there are still notable advancements in the telecommunications sector. The ACE </w:t>
      </w:r>
      <w:r w:rsidRPr="00B06331">
        <w:rPr>
          <w:rFonts w:ascii="Avenir Book" w:hAnsi="Avenir Book"/>
          <w:szCs w:val="24"/>
        </w:rPr>
        <w:lastRenderedPageBreak/>
        <w:t xml:space="preserve">project has had transformational impact on the ICT sector. The cost of whole sale capacity for example drastically reduced from USD 8000 (pre-ACE) to USD 200 (post-ACE). In addition, </w:t>
      </w:r>
      <w:r w:rsidR="00E158EB" w:rsidRPr="00B06331">
        <w:rPr>
          <w:rFonts w:ascii="Avenir Book" w:hAnsi="Avenir Book"/>
          <w:szCs w:val="24"/>
        </w:rPr>
        <w:t>because</w:t>
      </w:r>
      <w:r w:rsidRPr="00B06331">
        <w:rPr>
          <w:rFonts w:ascii="Avenir Book" w:hAnsi="Avenir Book"/>
          <w:szCs w:val="24"/>
        </w:rPr>
        <w:t xml:space="preserve"> of the increased capacity, 36 MDAs have been connected via the broadband government network. The WB-funded IFMIS project is one of the first systems to be deployed over this network.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Furthermore, WARCIP in The Gambia brought broadband Internet to six schools “Connect a School, Connect a Community” initiative led by the Ministry of Information and Communication Infrastructure (MOICI). While the computer labs are used by students during the day, they are used by the community at large in the evenings and weekend. There are currently 2,177 staff employed in the telecoms sector.  GAMTEL and Gamcel have the highest share of these employees in the sector at 51% and 22% respectively.  Africell has 14% of the sector employees followed by Qcell and Comium at 9</w:t>
      </w:r>
      <w:r w:rsidR="00E158EB" w:rsidRPr="00B06331">
        <w:rPr>
          <w:rFonts w:ascii="Avenir Book" w:hAnsi="Avenir Book"/>
          <w:szCs w:val="24"/>
        </w:rPr>
        <w:t>% and</w:t>
      </w:r>
      <w:r w:rsidRPr="00B06331">
        <w:rPr>
          <w:rFonts w:ascii="Avenir Book" w:hAnsi="Avenir Book"/>
          <w:szCs w:val="24"/>
        </w:rPr>
        <w:t xml:space="preserve"> 6% respectively.</w:t>
      </w:r>
    </w:p>
    <w:p w:rsidR="00FE5C36" w:rsidRPr="00B06331" w:rsidRDefault="00FE5C36" w:rsidP="003B3B17">
      <w:pPr>
        <w:pStyle w:val="ListParagraph"/>
        <w:spacing w:after="0"/>
        <w:ind w:left="0"/>
        <w:jc w:val="both"/>
        <w:rPr>
          <w:rFonts w:ascii="Avenir Book" w:hAnsi="Avenir Book"/>
          <w:b/>
          <w:sz w:val="20"/>
          <w:szCs w:val="24"/>
        </w:rPr>
      </w:pPr>
    </w:p>
    <w:p w:rsidR="003B3B17" w:rsidRPr="00B06331" w:rsidRDefault="003B3B17" w:rsidP="003B3B17">
      <w:pPr>
        <w:pStyle w:val="ListParagraph"/>
        <w:spacing w:after="0"/>
        <w:ind w:left="0"/>
        <w:jc w:val="both"/>
        <w:rPr>
          <w:rFonts w:ascii="Avenir Book" w:hAnsi="Avenir Book"/>
          <w:b/>
          <w:sz w:val="20"/>
          <w:szCs w:val="24"/>
        </w:rPr>
      </w:pPr>
      <w:r w:rsidRPr="00B06331">
        <w:rPr>
          <w:rFonts w:ascii="Avenir Book" w:hAnsi="Avenir Book"/>
          <w:b/>
          <w:sz w:val="20"/>
          <w:szCs w:val="24"/>
        </w:rPr>
        <w:t>Figu</w:t>
      </w:r>
      <w:r w:rsidR="004D2867" w:rsidRPr="00B06331">
        <w:rPr>
          <w:rFonts w:ascii="Avenir Book" w:hAnsi="Avenir Book"/>
          <w:b/>
          <w:sz w:val="20"/>
          <w:szCs w:val="24"/>
        </w:rPr>
        <w:t>re 3.13</w:t>
      </w:r>
      <w:r w:rsidRPr="00B06331">
        <w:rPr>
          <w:rFonts w:ascii="Avenir Book" w:hAnsi="Avenir Book"/>
          <w:b/>
          <w:sz w:val="20"/>
          <w:szCs w:val="24"/>
        </w:rPr>
        <w:t>: Gambia ICT Employment share (2017)</w:t>
      </w: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noProof/>
          <w:szCs w:val="24"/>
        </w:rPr>
        <w:drawing>
          <wp:inline distT="0" distB="0" distL="0" distR="0">
            <wp:extent cx="3573145" cy="1793240"/>
            <wp:effectExtent l="0" t="0" r="8255" b="1651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E5C36" w:rsidRPr="00B06331" w:rsidRDefault="003B3B17" w:rsidP="003B3B17">
      <w:pPr>
        <w:pStyle w:val="ListParagraph"/>
        <w:spacing w:after="0"/>
        <w:ind w:left="0"/>
        <w:jc w:val="both"/>
        <w:rPr>
          <w:rFonts w:ascii="Avenir Book" w:hAnsi="Avenir Book"/>
          <w:sz w:val="16"/>
          <w:szCs w:val="24"/>
        </w:rPr>
      </w:pPr>
      <w:r w:rsidRPr="00B06331">
        <w:rPr>
          <w:rFonts w:ascii="Avenir Book" w:hAnsi="Avenir Book"/>
          <w:sz w:val="16"/>
          <w:szCs w:val="24"/>
        </w:rPr>
        <w:t>Source: PURA</w:t>
      </w:r>
    </w:p>
    <w:p w:rsidR="00FE5C36" w:rsidRPr="00B06331" w:rsidRDefault="00FE5C36" w:rsidP="003B3B17">
      <w:pPr>
        <w:pStyle w:val="ListParagraph"/>
        <w:spacing w:after="0"/>
        <w:ind w:left="0"/>
        <w:jc w:val="both"/>
        <w:rPr>
          <w:rFonts w:ascii="Avenir Book" w:hAnsi="Avenir Book"/>
          <w:b/>
          <w:color w:val="7030A0"/>
          <w:szCs w:val="24"/>
        </w:rPr>
      </w:pPr>
    </w:p>
    <w:p w:rsidR="003B3B17" w:rsidRPr="00B06331" w:rsidRDefault="003B3B17" w:rsidP="003B3B17">
      <w:pPr>
        <w:pStyle w:val="ListParagraph"/>
        <w:spacing w:after="0"/>
        <w:ind w:left="0"/>
        <w:jc w:val="both"/>
        <w:rPr>
          <w:rFonts w:ascii="Avenir Book" w:hAnsi="Avenir Book"/>
          <w:sz w:val="16"/>
          <w:szCs w:val="24"/>
        </w:rPr>
      </w:pPr>
      <w:r w:rsidRPr="00B06331">
        <w:rPr>
          <w:rFonts w:ascii="Avenir Book" w:hAnsi="Avenir Book"/>
          <w:b/>
          <w:color w:val="7030A0"/>
          <w:szCs w:val="24"/>
        </w:rPr>
        <w:t>Key Challenges and Opportunities</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National Information and Communications Policy was revised and updated in 2016 (NICI II) to reflect the next stage of challenges and opportunities of the ICT sector. NICI II is conscious of the socioeconomic challenges Gambia is facing and focuses not only on ICT sector development but on the role of ICT as an input for increased productivity, economic growth and social development. The “enabling” nature of the ICT sector makes it important for the country’s overall development, as it can provide the inputs for other sectors such as health, education, tourism and agriculture to flourish. Opportunities are many, as ICT can be applied and leveraged in all segments of the economy today. Furthermore, ICT can facilitate and improve service delivery in the education and health sectors. Of particular relevance is the role the ICT sector could play for the youth.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ICT sector could provide Gambia a leapfrogging opportunity for youth. The role of the ICT sector in addressing not only unemployment which currently stands at 29.8% but also youth unemployment which is around 38% is therefore critical. Employment in IT outsourcing, business process outsourcing, call centers could be considered. Innovation hubs are being established across Africa and the impact on </w:t>
      </w:r>
      <w:r w:rsidRPr="00B06331">
        <w:rPr>
          <w:rFonts w:ascii="Avenir Book" w:hAnsi="Avenir Book"/>
          <w:szCs w:val="24"/>
        </w:rPr>
        <w:lastRenderedPageBreak/>
        <w:t>the economy is already being realized. Youth who have the digital skills would have the opportunity to explore opportunities in the growing digital industries across the globe and digital entrepreneurship, right from Gambia as participation in the digital space only requires good broadband internet connection. However, in order to realize these digital dividends, key policy and regulatory issues need to be addressed.</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The greatest challenge to the development of the ICT sector is still the continued monopoly of the international voice gateway.  The failure to liberalize the gateway is not in-line with the Information and Communication Act of 2009, and has resulted in exorbitantly high international call rates, inefficiency and degrading quality of service. Furthermore, the private GSC members continue to pay the Government for their shares in ACE cable despite not having received their operating license for the international voice gateway and this adversely impacts their ability to invest in their networks. This has resulted in poor and expensive last mile connectivity options for the public.  The management contract with a third-party revenue monitoring company has raised concerns about transparency and accountability particularly in relation to the auditing of the revenue being collected and deposited with the former Government.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Global trends indicate that in the immediate aftermath of liberalization, international incoming termination rates fall by at least 31% with an increase in call volumes by at least 65%</w:t>
      </w:r>
      <w:r w:rsidRPr="00B06331">
        <w:rPr>
          <w:rFonts w:ascii="Avenir Book" w:hAnsi="Avenir Book"/>
          <w:szCs w:val="24"/>
        </w:rPr>
        <w:footnoteReference w:id="14"/>
      </w:r>
      <w:r w:rsidRPr="00B06331">
        <w:rPr>
          <w:rFonts w:ascii="Avenir Book" w:hAnsi="Avenir Book"/>
          <w:szCs w:val="24"/>
        </w:rPr>
        <w:t>.  In order to realize these projected results, PURA proposes a 35% reduction of incoming international termination rates fromUS$0.53 to US$0.36. Under this tariff structure, the revenue will be distributed between operators, government and the regulator by 56%, 36% and 8% respectively. Based on these assumptions, PURA estimates that an annual revenue of D2.35 billion will be generated post-liberalization. PURA proposes that it verify the traffic volume for international voice calls for revenue assurance purposes and to ensure accurate remittances to the Gambia Revenue Authority (GRA). Apart from the D848 million which Government would realize annually from th</w:t>
      </w:r>
      <w:r w:rsidR="00E158EB" w:rsidRPr="00B06331">
        <w:rPr>
          <w:rFonts w:ascii="Avenir Book" w:hAnsi="Avenir Book"/>
          <w:szCs w:val="24"/>
        </w:rPr>
        <w:t>e gateway tariff surcharge, there</w:t>
      </w:r>
      <w:r w:rsidRPr="00B06331">
        <w:rPr>
          <w:rFonts w:ascii="Avenir Book" w:hAnsi="Avenir Book"/>
          <w:szCs w:val="24"/>
        </w:rPr>
        <w:t xml:space="preserve"> could also be increased taxation on revenue from the operators as the net forecasted tax post liberalization is D1.46 billion. This does not include VAT and other consumption taxes which is estimated to also increase significantly.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GAMTEL/ GAMCEL continue to struggle to compete effectively in the ICT sector. Its main source of revenue which used to accrue from the gateway has shrunk drastically over the years for various reasons including the increasing use of OTTs (over the top services) such as Skype and Viber. They are over staffed with around 1,300 employees and have been a significant strain on Government’s budget </w:t>
      </w:r>
      <w:r w:rsidR="00FB254A" w:rsidRPr="00B06331">
        <w:rPr>
          <w:rFonts w:ascii="Avenir Book" w:hAnsi="Avenir Book"/>
          <w:szCs w:val="24"/>
        </w:rPr>
        <w:t>because</w:t>
      </w:r>
      <w:r w:rsidRPr="00B06331">
        <w:rPr>
          <w:rFonts w:ascii="Avenir Book" w:hAnsi="Avenir Book"/>
          <w:szCs w:val="24"/>
        </w:rPr>
        <w:t xml:space="preserve"> of their dire circumstances.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Delays in restructuring will play against Gamtel as the market becomes more dynamic and technology advancements evolve. Even if the gateway is not liberalized, the effect of the increasing use of OTTs will continue to deplete gateway revenue. Part of the restructuring will need to address the excess staff at both institutions which is typical of SOEs in general.  GAMTEL will have to focus on which services </w:t>
      </w:r>
      <w:r w:rsidRPr="00B06331">
        <w:rPr>
          <w:rFonts w:ascii="Avenir Book" w:hAnsi="Avenir Book"/>
          <w:szCs w:val="24"/>
        </w:rPr>
        <w:lastRenderedPageBreak/>
        <w:t>they will be most suited to provide such as wholesale, infrastructure, carrier of carriers or triple play. Special attention needs to be given to the ECOWAN project to avoid the transfer of monopoly power/dominance from the international gateway to the backbone in the event of liberalization. Bold regulatory action would be needed to ensure the ECOWAN project is maintained on an open access basis with charges set to be Fair, Reasonable &amp; Non-Discriminatory. Initial regulatory assessments have classified it as a key bottleneck infrastructure which is open to pricing control.</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The reform of any telecoms sector requires effective and efficient regulation. Failing this, the regulator may pose risk to the industry in itself. PURA’s role in the proposed reform of the sector is pivotal to its success. Therefore, continued capacity building to oversee the sector and to ensure enforcement of the Open Access Policy (ACE &amp; ECOWAN), Spectrum Management, Infrastructure Sharing and a fair tariff regime will be increasingly important to further develop the broadband internet market particularly in the aftermath of the Digital Switchover.</w:t>
      </w:r>
    </w:p>
    <w:p w:rsidR="003B3B17" w:rsidRPr="00B06331" w:rsidRDefault="003B3B17" w:rsidP="003B3B17">
      <w:pPr>
        <w:pStyle w:val="ListParagraph"/>
        <w:spacing w:after="0"/>
        <w:ind w:left="0"/>
        <w:rPr>
          <w:rFonts w:ascii="Avenir Book" w:eastAsia="Cambria" w:hAnsi="Avenir Book"/>
          <w:color w:val="365F91"/>
          <w:szCs w:val="24"/>
        </w:rPr>
      </w:pPr>
    </w:p>
    <w:p w:rsidR="003B3B17" w:rsidRPr="00B06331" w:rsidRDefault="003B3B17" w:rsidP="004D2867">
      <w:pPr>
        <w:pStyle w:val="Heading3"/>
        <w:rPr>
          <w:rFonts w:asciiTheme="minorHAnsi" w:hAnsiTheme="minorHAnsi" w:cstheme="minorHAnsi"/>
          <w:b/>
          <w:sz w:val="22"/>
          <w:szCs w:val="22"/>
        </w:rPr>
      </w:pPr>
      <w:bookmarkStart w:id="70" w:name="_Toc492364748"/>
      <w:r w:rsidRPr="00B06331">
        <w:rPr>
          <w:rFonts w:asciiTheme="minorHAnsi" w:hAnsiTheme="minorHAnsi" w:cstheme="minorHAnsi"/>
          <w:b/>
          <w:sz w:val="22"/>
          <w:szCs w:val="22"/>
        </w:rPr>
        <w:t>3.8.3 Energy</w:t>
      </w:r>
      <w:bookmarkEnd w:id="70"/>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Energy is a critical element in the development and functioning of The Gambia’s economy. As an essential input to households, agricultural production, ICT, transportation, industry, commerce and the knowledge industry, the country’s reliance on energy will also continue to grow as the population increases and standards of living improve. The Gambia has a dual energy system where traditional and modern energy systems co-exist. </w:t>
      </w:r>
    </w:p>
    <w:p w:rsidR="003B3B17" w:rsidRPr="00B06331" w:rsidRDefault="003B3B17" w:rsidP="003B3B17">
      <w:pPr>
        <w:spacing w:before="120" w:after="120"/>
        <w:jc w:val="both"/>
        <w:rPr>
          <w:rFonts w:ascii="Avenir Book" w:hAnsi="Avenir Book"/>
          <w:szCs w:val="24"/>
        </w:rPr>
      </w:pPr>
      <w:r w:rsidRPr="00B06331">
        <w:rPr>
          <w:rFonts w:ascii="Avenir Book" w:hAnsi="Avenir Book"/>
          <w:szCs w:val="24"/>
        </w:rPr>
        <w:t xml:space="preserve">The main source of energy in The Gambia is fuel wood, followed by petroleum products and a small growing fraction of renewable energy (solar and wind). LPG is also an important source of energy although its use is higher among the affluent segment of urban households. The biggest consumers of energy in The Gambia are households and the transport sector, with a steady and consistent increase during the past decade in the consumption of petroleum products. Approximately 44% of the electricity produced is consumed by residential consumers. The small-scale industries including hotels and larger industries use approximately 39% while commercial entities use about 8%. The remaining 9% is consumed by Government and NAWEC (NAWEC, 2011). </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rPr>
          <w:rFonts w:ascii="Avenir Book" w:hAnsi="Avenir Book"/>
          <w:b/>
          <w:color w:val="7030A0"/>
          <w:szCs w:val="24"/>
        </w:rPr>
      </w:pPr>
      <w:r w:rsidRPr="00B06331">
        <w:rPr>
          <w:rFonts w:ascii="Avenir Book" w:hAnsi="Avenir Book"/>
          <w:b/>
          <w:color w:val="7030A0"/>
          <w:szCs w:val="24"/>
        </w:rPr>
        <w:t>Electricity Sub Sector</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In July 2017, The Gambia’s power sector is in a precarious situation. Only 45MW of generation capacity is available in the Greater Banjul Area (GBA) compared to at least 70 MW demand, meaning blackouts are pervasive. Moreover, NAWEC’s debt has mushroomed to 9 billion Dalasi (approximately US$200 million), making the sector financially untenable for private investment. However, the new political chapter in The Gambia provides an opportune moment to reassess the country’s power sector and update the electricity sector roadmap prepared in 2015. </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lastRenderedPageBreak/>
        <w:t>The Gambia’s installed generation capacity is currently 99 MW, which is entirely provided by heavy fuel oil (HFO)</w:t>
      </w:r>
      <w:r w:rsidR="00965AD2" w:rsidRPr="00B06331">
        <w:rPr>
          <w:rFonts w:ascii="Avenir Book" w:hAnsi="Avenir Book"/>
          <w:szCs w:val="24"/>
        </w:rPr>
        <w:fldChar w:fldCharType="begin"/>
      </w:r>
      <w:r w:rsidRPr="00B06331">
        <w:rPr>
          <w:rFonts w:ascii="Avenir Book" w:hAnsi="Avenir Book"/>
          <w:szCs w:val="24"/>
        </w:rPr>
        <w:instrText xml:space="preserve"> TA \l "heavy fuel oil (HFO)" \s "heavy fuel oil (HFO)" \c 1 </w:instrText>
      </w:r>
      <w:r w:rsidR="00965AD2" w:rsidRPr="00B06331">
        <w:rPr>
          <w:rFonts w:ascii="Avenir Book" w:hAnsi="Avenir Book"/>
          <w:szCs w:val="24"/>
        </w:rPr>
        <w:fldChar w:fldCharType="end"/>
      </w:r>
      <w:r w:rsidRPr="00B06331">
        <w:rPr>
          <w:rFonts w:ascii="Avenir Book" w:hAnsi="Avenir Book"/>
          <w:szCs w:val="24"/>
        </w:rPr>
        <w:t xml:space="preserve"> thermal power plants. A lack of resources for maintenance has led to deterioration in available capacity in the Greater Banjul Agra (GBA)</w:t>
      </w:r>
      <w:r w:rsidR="00965AD2" w:rsidRPr="00B06331">
        <w:rPr>
          <w:rFonts w:ascii="Avenir Book" w:hAnsi="Avenir Book"/>
          <w:szCs w:val="24"/>
        </w:rPr>
        <w:fldChar w:fldCharType="begin"/>
      </w:r>
      <w:r w:rsidRPr="00B06331">
        <w:rPr>
          <w:rFonts w:ascii="Avenir Book" w:hAnsi="Avenir Book"/>
          <w:szCs w:val="24"/>
        </w:rPr>
        <w:instrText xml:space="preserve"> TA \l "Greater Banjul Agrea (GBA)" \s "Greater Banjul Agrea (GBA)" \c 1 </w:instrText>
      </w:r>
      <w:r w:rsidR="00965AD2" w:rsidRPr="00B06331">
        <w:rPr>
          <w:rFonts w:ascii="Avenir Book" w:hAnsi="Avenir Book"/>
          <w:szCs w:val="24"/>
        </w:rPr>
        <w:fldChar w:fldCharType="end"/>
      </w:r>
      <w:r w:rsidRPr="00B06331">
        <w:rPr>
          <w:rFonts w:ascii="Avenir Book" w:hAnsi="Avenir Book"/>
          <w:szCs w:val="24"/>
        </w:rPr>
        <w:t xml:space="preserve">  to about 45 MW. This is not sufficient to meet peak demand, which between June and September is expected to exceed 70 MW. The situation has worsened with the scarcity of cash available to purchase fuel. Urgent measures have been taken to ensure short term HFO purchases, but these are nevertheless estimated to only cover consumption for only four months.</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t>New generation capacity in the pipeline is expected to relieve these shortages in the medium term. Over the next 12-18 months around 50 MW of baseload capacity are coming on line. At the end of 2018 projects from the World Bank</w:t>
      </w:r>
      <w:r w:rsidR="00965AD2" w:rsidRPr="00B06331">
        <w:rPr>
          <w:rFonts w:ascii="Avenir Book" w:hAnsi="Avenir Book"/>
          <w:szCs w:val="24"/>
        </w:rPr>
        <w:fldChar w:fldCharType="begin"/>
      </w:r>
      <w:r w:rsidRPr="00B06331">
        <w:rPr>
          <w:rFonts w:ascii="Avenir Book" w:hAnsi="Avenir Book"/>
          <w:szCs w:val="24"/>
        </w:rPr>
        <w:instrText xml:space="preserve"> TA \l "International Development Association (IDA)" \s "International Development Association (IDA)" \c 1 </w:instrText>
      </w:r>
      <w:r w:rsidR="00965AD2" w:rsidRPr="00B06331">
        <w:rPr>
          <w:rFonts w:ascii="Avenir Book" w:hAnsi="Avenir Book"/>
          <w:szCs w:val="24"/>
        </w:rPr>
        <w:fldChar w:fldCharType="end"/>
      </w:r>
      <w:r w:rsidRPr="00B06331">
        <w:rPr>
          <w:rFonts w:ascii="Avenir Book" w:hAnsi="Avenir Book"/>
          <w:szCs w:val="24"/>
        </w:rPr>
        <w:t>/GESP (18-20 MW); the Islamic Development Bank (IsDB)</w:t>
      </w:r>
      <w:r w:rsidR="00965AD2" w:rsidRPr="00B06331">
        <w:rPr>
          <w:rFonts w:ascii="Avenir Book" w:hAnsi="Avenir Book"/>
          <w:szCs w:val="24"/>
        </w:rPr>
        <w:fldChar w:fldCharType="begin"/>
      </w:r>
      <w:r w:rsidRPr="00B06331">
        <w:rPr>
          <w:rFonts w:ascii="Avenir Book" w:hAnsi="Avenir Book"/>
          <w:szCs w:val="24"/>
        </w:rPr>
        <w:instrText xml:space="preserve"> TA \l "Islamic Development Bank (IsDB)" \s "Islamic Development Bank (IsDB)" \c 1 </w:instrText>
      </w:r>
      <w:r w:rsidR="00965AD2" w:rsidRPr="00B06331">
        <w:rPr>
          <w:rFonts w:ascii="Avenir Book" w:hAnsi="Avenir Book"/>
          <w:szCs w:val="24"/>
        </w:rPr>
        <w:fldChar w:fldCharType="end"/>
      </w:r>
      <w:r w:rsidRPr="00B06331">
        <w:rPr>
          <w:rFonts w:ascii="Avenir Book" w:hAnsi="Avenir Book"/>
          <w:szCs w:val="24"/>
        </w:rPr>
        <w:t>, 11MW; and 20 MW from the Arab Bank for Economic Development in Africa (BADEA)</w:t>
      </w:r>
      <w:r w:rsidR="00965AD2" w:rsidRPr="00B06331">
        <w:rPr>
          <w:rFonts w:ascii="Avenir Book" w:hAnsi="Avenir Book"/>
          <w:szCs w:val="24"/>
        </w:rPr>
        <w:fldChar w:fldCharType="begin"/>
      </w:r>
      <w:r w:rsidRPr="00B06331">
        <w:rPr>
          <w:rFonts w:ascii="Avenir Book" w:hAnsi="Avenir Book"/>
          <w:szCs w:val="24"/>
        </w:rPr>
        <w:instrText xml:space="preserve"> TA \l "Arab Bank for Economic Development in Africa (BADEA)" \s "Arab Bank for Economic Development in Africa (BADEA)" \c 1 </w:instrText>
      </w:r>
      <w:r w:rsidR="00965AD2" w:rsidRPr="00B06331">
        <w:rPr>
          <w:rFonts w:ascii="Avenir Book" w:hAnsi="Avenir Book"/>
          <w:szCs w:val="24"/>
        </w:rPr>
        <w:fldChar w:fldCharType="end"/>
      </w:r>
      <w:r w:rsidRPr="00B06331">
        <w:rPr>
          <w:rFonts w:ascii="Avenir Book" w:hAnsi="Avenir Book"/>
          <w:szCs w:val="24"/>
        </w:rPr>
        <w:t>, will add new generation capacity, all of which will be HFO. In the long term, the regional WAPP interconnection transmission project, Organization pour la Mise en Valeur du fleuve Gambie/Gambia River Basin Development Organization (OMVG),</w:t>
      </w:r>
      <w:r w:rsidR="00965AD2" w:rsidRPr="00B06331">
        <w:rPr>
          <w:rFonts w:ascii="Avenir Book" w:hAnsi="Avenir Book"/>
          <w:szCs w:val="24"/>
        </w:rPr>
        <w:fldChar w:fldCharType="begin"/>
      </w:r>
      <w:r w:rsidRPr="00B06331">
        <w:rPr>
          <w:rFonts w:ascii="Avenir Book" w:hAnsi="Avenir Book"/>
          <w:szCs w:val="24"/>
        </w:rPr>
        <w:instrText xml:space="preserve"> TA \l "Organisation pour la Mise en Valeur du fleuve Gambie/Gambia River Basin Development Organization (OMVG)" \s "Organisation pour la Mise en Valeur du fleuve Gambie/Gambia River Basin Development Organization (OMVG)" \c 1 </w:instrText>
      </w:r>
      <w:r w:rsidR="00965AD2" w:rsidRPr="00B06331">
        <w:rPr>
          <w:rFonts w:ascii="Avenir Book" w:hAnsi="Avenir Book"/>
          <w:szCs w:val="24"/>
        </w:rPr>
        <w:fldChar w:fldCharType="end"/>
      </w:r>
      <w:r w:rsidRPr="00B06331">
        <w:rPr>
          <w:rFonts w:ascii="Avenir Book" w:hAnsi="Avenir Book"/>
          <w:szCs w:val="24"/>
        </w:rPr>
        <w:t xml:space="preserve"> will provide 14 MW from Kaleta in 2020, and 45 MW from Souapiti in 2023, all at affordable prices. </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t xml:space="preserve">Despite these planned increases in generation, additional investment is required; recent forecasts suggest that electricity demand will grow to 150 MW in 2020 and 200 MW in 2025. There is therefore a critical need to develop sustainable, low-cost generation. </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t>From a sector perspective, NAWEC is in dire financial situation. It is currently unable to cover its operational expenses. Institutional actions are needed that will transform NAWEC into an efficient, financially viable off-taker that is capable of attracting IPPs. It is therefore necessary to find strategies that balance the needs of short-term supply while also reducing generation costs to help make the sector more financially sustainable.</w:t>
      </w:r>
    </w:p>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t>With these substantial needs and a new political chapter beginning in The Gambia, the electricity sector is being inundated with unsolicited proposals. These include proposals from both emergency power as well as long-term Independent Power Producers (IPPs)</w:t>
      </w:r>
      <w:r w:rsidR="00965AD2" w:rsidRPr="00B06331">
        <w:rPr>
          <w:rFonts w:ascii="Avenir Book" w:hAnsi="Avenir Book"/>
          <w:szCs w:val="24"/>
        </w:rPr>
        <w:fldChar w:fldCharType="begin"/>
      </w:r>
      <w:r w:rsidRPr="00B06331">
        <w:rPr>
          <w:rFonts w:ascii="Avenir Book" w:hAnsi="Avenir Book"/>
          <w:szCs w:val="24"/>
        </w:rPr>
        <w:instrText xml:space="preserve"> TA \l "Independent Power Producers (IPPs)" \s "Independent Power Producers (IPPs)" \c 1 </w:instrText>
      </w:r>
      <w:r w:rsidR="00965AD2" w:rsidRPr="00B06331">
        <w:rPr>
          <w:rFonts w:ascii="Avenir Book" w:hAnsi="Avenir Book"/>
          <w:szCs w:val="24"/>
        </w:rPr>
        <w:fldChar w:fldCharType="end"/>
      </w:r>
      <w:r w:rsidRPr="00B06331">
        <w:rPr>
          <w:rFonts w:ascii="Avenir Book" w:hAnsi="Avenir Book"/>
          <w:szCs w:val="24"/>
        </w:rPr>
        <w:t>. In parallel, many donors are seeking to engage or re-engage in the sector including, but not limited to, the European Union (EU)</w:t>
      </w:r>
      <w:r w:rsidR="00965AD2" w:rsidRPr="00B06331">
        <w:rPr>
          <w:rFonts w:ascii="Avenir Book" w:hAnsi="Avenir Book"/>
          <w:szCs w:val="24"/>
        </w:rPr>
        <w:fldChar w:fldCharType="begin"/>
      </w:r>
      <w:r w:rsidRPr="00B06331">
        <w:rPr>
          <w:rFonts w:ascii="Avenir Book" w:hAnsi="Avenir Book"/>
          <w:szCs w:val="24"/>
        </w:rPr>
        <w:instrText xml:space="preserve"> TA \l "European Union (EU)" \s "European Union (EU)" \c 1 </w:instrText>
      </w:r>
      <w:r w:rsidR="00965AD2" w:rsidRPr="00B06331">
        <w:rPr>
          <w:rFonts w:ascii="Avenir Book" w:hAnsi="Avenir Book"/>
          <w:szCs w:val="24"/>
        </w:rPr>
        <w:fldChar w:fldCharType="end"/>
      </w:r>
      <w:r w:rsidRPr="00B06331">
        <w:rPr>
          <w:rFonts w:ascii="Avenir Book" w:hAnsi="Avenir Book"/>
          <w:szCs w:val="24"/>
        </w:rPr>
        <w:t>, the EIB (European Investment Bank)</w:t>
      </w:r>
      <w:r w:rsidR="00965AD2" w:rsidRPr="00B06331">
        <w:rPr>
          <w:rFonts w:ascii="Avenir Book" w:hAnsi="Avenir Book"/>
          <w:szCs w:val="24"/>
        </w:rPr>
        <w:fldChar w:fldCharType="begin"/>
      </w:r>
      <w:r w:rsidRPr="00B06331">
        <w:rPr>
          <w:rFonts w:ascii="Avenir Book" w:hAnsi="Avenir Book"/>
          <w:szCs w:val="24"/>
        </w:rPr>
        <w:instrText xml:space="preserve"> TA \l "EIB (European Investment Bank)" \s "EIB (European Investment Bank)" \c 1 </w:instrText>
      </w:r>
      <w:r w:rsidR="00965AD2" w:rsidRPr="00B06331">
        <w:rPr>
          <w:rFonts w:ascii="Avenir Book" w:hAnsi="Avenir Book"/>
          <w:szCs w:val="24"/>
        </w:rPr>
        <w:fldChar w:fldCharType="end"/>
      </w:r>
      <w:r w:rsidRPr="00B06331">
        <w:rPr>
          <w:rFonts w:ascii="Avenir Book" w:hAnsi="Avenir Book"/>
          <w:szCs w:val="24"/>
        </w:rPr>
        <w:t>, the French Development Agency (AFD)</w:t>
      </w:r>
      <w:r w:rsidR="00965AD2" w:rsidRPr="00B06331">
        <w:rPr>
          <w:rFonts w:ascii="Avenir Book" w:hAnsi="Avenir Book"/>
          <w:szCs w:val="24"/>
        </w:rPr>
        <w:fldChar w:fldCharType="begin"/>
      </w:r>
      <w:r w:rsidRPr="00B06331">
        <w:rPr>
          <w:rFonts w:ascii="Avenir Book" w:hAnsi="Avenir Book"/>
          <w:szCs w:val="24"/>
        </w:rPr>
        <w:instrText xml:space="preserve"> TA \l "the French Development Agency (AFD)" \s "the French Development Agency (AFD)" \c 1 </w:instrText>
      </w:r>
      <w:r w:rsidR="00965AD2" w:rsidRPr="00B06331">
        <w:rPr>
          <w:rFonts w:ascii="Avenir Book" w:hAnsi="Avenir Book"/>
          <w:szCs w:val="24"/>
        </w:rPr>
        <w:fldChar w:fldCharType="end"/>
      </w:r>
      <w:r w:rsidRPr="00B06331">
        <w:rPr>
          <w:rFonts w:ascii="Avenir Book" w:hAnsi="Avenir Book"/>
          <w:szCs w:val="24"/>
        </w:rPr>
        <w:t>, and the African Development Bank (AfDB)</w:t>
      </w:r>
      <w:r w:rsidR="00965AD2" w:rsidRPr="00B06331">
        <w:rPr>
          <w:rFonts w:ascii="Avenir Book" w:hAnsi="Avenir Book"/>
          <w:szCs w:val="24"/>
        </w:rPr>
        <w:fldChar w:fldCharType="begin"/>
      </w:r>
      <w:r w:rsidRPr="00B06331">
        <w:rPr>
          <w:rFonts w:ascii="Avenir Book" w:hAnsi="Avenir Book"/>
          <w:szCs w:val="24"/>
        </w:rPr>
        <w:instrText xml:space="preserve"> TA \l "African Development Bank (AfDB)" \s "African Development Bank (AfDB)" \c 1 </w:instrText>
      </w:r>
      <w:r w:rsidR="00965AD2" w:rsidRPr="00B06331">
        <w:rPr>
          <w:rFonts w:ascii="Avenir Book" w:hAnsi="Avenir Book"/>
          <w:szCs w:val="24"/>
        </w:rPr>
        <w:fldChar w:fldCharType="end"/>
      </w:r>
      <w:r w:rsidRPr="00B06331">
        <w:rPr>
          <w:rFonts w:ascii="Avenir Book" w:hAnsi="Avenir Book"/>
          <w:szCs w:val="24"/>
        </w:rPr>
        <w:t xml:space="preserve">. Stakeholders have noted the urgent need to establish greater predictability and control in the electricity sector. </w:t>
      </w:r>
    </w:p>
    <w:p w:rsidR="003B3B17" w:rsidRPr="00B06331" w:rsidRDefault="003B3B17" w:rsidP="003B3B17">
      <w:pPr>
        <w:spacing w:after="0"/>
        <w:rPr>
          <w:rFonts w:ascii="Avenir Book" w:hAnsi="Avenir Book"/>
          <w:b/>
          <w:szCs w:val="24"/>
        </w:rPr>
      </w:pPr>
      <w:bookmarkStart w:id="71" w:name="_Toc486844783"/>
    </w:p>
    <w:p w:rsidR="003B3B17" w:rsidRPr="00B06331" w:rsidRDefault="003B3B17" w:rsidP="003B3B17">
      <w:pPr>
        <w:spacing w:after="0"/>
        <w:rPr>
          <w:rFonts w:ascii="Avenir Book" w:hAnsi="Avenir Book"/>
          <w:b/>
          <w:color w:val="7030A0"/>
          <w:szCs w:val="24"/>
        </w:rPr>
      </w:pPr>
      <w:r w:rsidRPr="00B06331">
        <w:rPr>
          <w:rFonts w:ascii="Avenir Book" w:hAnsi="Avenir Book"/>
          <w:b/>
          <w:color w:val="7030A0"/>
          <w:szCs w:val="24"/>
        </w:rPr>
        <w:t>Sector organization</w:t>
      </w:r>
      <w:bookmarkEnd w:id="71"/>
    </w:p>
    <w:p w:rsidR="009931CE" w:rsidRPr="00B06331" w:rsidRDefault="009931CE" w:rsidP="003B3B17">
      <w:pPr>
        <w:spacing w:after="0"/>
        <w:rPr>
          <w:rFonts w:ascii="Avenir Book" w:hAnsi="Avenir Book"/>
          <w:b/>
          <w:color w:val="7030A0"/>
          <w:szCs w:val="24"/>
        </w:rPr>
      </w:pPr>
    </w:p>
    <w:p w:rsidR="003B3B17" w:rsidRPr="00B06331" w:rsidRDefault="003B3B17" w:rsidP="009931CE">
      <w:pPr>
        <w:rPr>
          <w:b/>
          <w:bCs/>
        </w:rPr>
      </w:pPr>
      <w:bookmarkStart w:id="72" w:name="_Toc486844784"/>
      <w:r w:rsidRPr="00B06331">
        <w:rPr>
          <w:b/>
        </w:rPr>
        <w:t>Institutional Setting</w:t>
      </w:r>
      <w:bookmarkEnd w:id="72"/>
    </w:p>
    <w:p w:rsidR="003B3B17" w:rsidRPr="00B06331" w:rsidRDefault="003B3B17" w:rsidP="003B3B17">
      <w:pPr>
        <w:spacing w:after="0"/>
        <w:jc w:val="both"/>
        <w:rPr>
          <w:rFonts w:ascii="Avenir Book" w:hAnsi="Avenir Book"/>
          <w:szCs w:val="24"/>
        </w:rPr>
      </w:pPr>
      <w:r w:rsidRPr="00B06331">
        <w:rPr>
          <w:rFonts w:ascii="Avenir Book" w:hAnsi="Avenir Book"/>
          <w:szCs w:val="24"/>
        </w:rPr>
        <w:t>The key stakeholders of the Gambian electricity sector are National Water and Electricity Company (NAWEC), the Public Utilities Regulatory Authority (PURA),</w:t>
      </w:r>
      <w:r w:rsidR="00965AD2" w:rsidRPr="00B06331">
        <w:rPr>
          <w:rFonts w:ascii="Avenir Book" w:hAnsi="Avenir Book"/>
          <w:szCs w:val="24"/>
        </w:rPr>
        <w:fldChar w:fldCharType="begin"/>
      </w:r>
      <w:r w:rsidRPr="00B06331">
        <w:rPr>
          <w:rFonts w:ascii="Avenir Book" w:hAnsi="Avenir Book"/>
          <w:szCs w:val="24"/>
        </w:rPr>
        <w:instrText xml:space="preserve"> TA \l "Public Utilities Regulatory Authority (PURA)," \s "Public Utilities Regulatory Authority (PURA)," \c 1 </w:instrText>
      </w:r>
      <w:r w:rsidR="00965AD2" w:rsidRPr="00B06331">
        <w:rPr>
          <w:rFonts w:ascii="Avenir Book" w:hAnsi="Avenir Book"/>
          <w:szCs w:val="24"/>
        </w:rPr>
        <w:fldChar w:fldCharType="end"/>
      </w:r>
      <w:r w:rsidRPr="00B06331">
        <w:rPr>
          <w:rFonts w:ascii="Avenir Book" w:hAnsi="Avenir Book"/>
          <w:szCs w:val="24"/>
        </w:rPr>
        <w:t xml:space="preserve"> the Ministry of Petroleum and Energy (MoPE),</w:t>
      </w:r>
      <w:r w:rsidR="00965AD2" w:rsidRPr="00B06331">
        <w:rPr>
          <w:rFonts w:ascii="Avenir Book" w:hAnsi="Avenir Book"/>
          <w:szCs w:val="24"/>
        </w:rPr>
        <w:fldChar w:fldCharType="begin"/>
      </w:r>
      <w:r w:rsidRPr="00B06331">
        <w:rPr>
          <w:rFonts w:ascii="Avenir Book" w:hAnsi="Avenir Book"/>
          <w:szCs w:val="24"/>
        </w:rPr>
        <w:instrText xml:space="preserve"> TA \l "Ministry of Petroleum and Energy (MoPE)," \s "Ministry of Petroleum and Energy (MoPE)," \c 1 </w:instrText>
      </w:r>
      <w:r w:rsidR="00965AD2" w:rsidRPr="00B06331">
        <w:rPr>
          <w:rFonts w:ascii="Avenir Book" w:hAnsi="Avenir Book"/>
          <w:szCs w:val="24"/>
        </w:rPr>
        <w:fldChar w:fldCharType="end"/>
      </w:r>
      <w:r w:rsidRPr="00B06331">
        <w:rPr>
          <w:rFonts w:ascii="Avenir Book" w:hAnsi="Avenir Book"/>
          <w:szCs w:val="24"/>
        </w:rPr>
        <w:t xml:space="preserve"> and the Ministry of Finance and Economic Affairs (MoFEA).</w:t>
      </w:r>
      <w:r w:rsidR="00965AD2" w:rsidRPr="00B06331">
        <w:rPr>
          <w:rFonts w:ascii="Avenir Book" w:hAnsi="Avenir Book"/>
          <w:szCs w:val="24"/>
        </w:rPr>
        <w:fldChar w:fldCharType="begin"/>
      </w:r>
      <w:r w:rsidRPr="00B06331">
        <w:rPr>
          <w:rFonts w:ascii="Avenir Book" w:hAnsi="Avenir Book"/>
          <w:szCs w:val="24"/>
        </w:rPr>
        <w:instrText xml:space="preserve"> TA \l "Ministry of Finance and Economic Affairs (MoFEA)." \s "Ministry of Finance and Economic Affairs (MoFEA)." \c 1 </w:instrText>
      </w:r>
      <w:r w:rsidR="00965AD2" w:rsidRPr="00B06331">
        <w:rPr>
          <w:rFonts w:ascii="Avenir Book" w:hAnsi="Avenir Book"/>
          <w:szCs w:val="24"/>
        </w:rPr>
        <w:fldChar w:fldCharType="end"/>
      </w:r>
      <w:r w:rsidRPr="00B06331">
        <w:rPr>
          <w:rFonts w:ascii="Avenir Book" w:hAnsi="Avenir Book"/>
          <w:szCs w:val="24"/>
        </w:rPr>
        <w:t xml:space="preserve"> Electricity, water, and sewerage services in The Gambia are provided by NAWEC, a vertically integrated public utility that handles </w:t>
      </w:r>
      <w:r w:rsidRPr="00B06331">
        <w:rPr>
          <w:rFonts w:ascii="Avenir Book" w:hAnsi="Avenir Book"/>
          <w:szCs w:val="24"/>
        </w:rPr>
        <w:lastRenderedPageBreak/>
        <w:t>generation, transmission, and distribution of electricity, as well as water production and distribution, and sewerage. The MoPE is responsible for the implementation of Government policy in relation to electricity supply and distribution and renewable energy. PURA was established in 2001 and conducts tariff reviews and recommends tariff adjustments to the MoFEA, which evaluates the financial implications and provides advice for final decisions.</w:t>
      </w:r>
    </w:p>
    <w:p w:rsidR="003B3B17" w:rsidRPr="00B06331" w:rsidRDefault="003B3B17" w:rsidP="003B3B17">
      <w:pPr>
        <w:spacing w:after="0"/>
        <w:jc w:val="both"/>
        <w:rPr>
          <w:rFonts w:ascii="Avenir Book" w:hAnsi="Avenir Book"/>
          <w:szCs w:val="24"/>
        </w:rPr>
      </w:pPr>
    </w:p>
    <w:p w:rsidR="003B3B17" w:rsidRPr="00B06331" w:rsidRDefault="003B3B17" w:rsidP="003B3B17">
      <w:pPr>
        <w:pStyle w:val="Caption"/>
        <w:keepNext/>
        <w:spacing w:after="0" w:line="276" w:lineRule="auto"/>
        <w:jc w:val="center"/>
        <w:rPr>
          <w:rFonts w:ascii="Avenir Book" w:hAnsi="Avenir Book"/>
          <w:b/>
          <w:i w:val="0"/>
          <w:iCs w:val="0"/>
          <w:color w:val="auto"/>
          <w:sz w:val="22"/>
          <w:szCs w:val="24"/>
        </w:rPr>
      </w:pPr>
      <w:bookmarkStart w:id="73" w:name="_Toc486844853"/>
      <w:r w:rsidRPr="00B06331">
        <w:rPr>
          <w:rFonts w:ascii="Avenir Book" w:hAnsi="Avenir Book"/>
          <w:b/>
          <w:i w:val="0"/>
          <w:iCs w:val="0"/>
          <w:color w:val="auto"/>
          <w:sz w:val="22"/>
          <w:szCs w:val="24"/>
        </w:rPr>
        <w:t>Table 3.1</w:t>
      </w:r>
      <w:r w:rsidR="002615E7" w:rsidRPr="00B06331">
        <w:rPr>
          <w:rFonts w:ascii="Avenir Book" w:hAnsi="Avenir Book"/>
          <w:b/>
          <w:i w:val="0"/>
          <w:iCs w:val="0"/>
          <w:color w:val="auto"/>
          <w:sz w:val="22"/>
          <w:szCs w:val="24"/>
        </w:rPr>
        <w:t>2</w:t>
      </w:r>
      <w:r w:rsidRPr="00B06331">
        <w:rPr>
          <w:rFonts w:ascii="Avenir Book" w:hAnsi="Avenir Book"/>
          <w:b/>
          <w:i w:val="0"/>
          <w:iCs w:val="0"/>
          <w:color w:val="auto"/>
          <w:sz w:val="22"/>
          <w:szCs w:val="24"/>
        </w:rPr>
        <w:t>: Snapshot of electricity sector performance</w:t>
      </w:r>
      <w:bookmarkEnd w:id="73"/>
    </w:p>
    <w:tbl>
      <w:tblPr>
        <w:tblStyle w:val="GridTable4-Accent12"/>
        <w:tblW w:w="9222" w:type="dxa"/>
        <w:tblLook w:val="04A0"/>
      </w:tblPr>
      <w:tblGrid>
        <w:gridCol w:w="3725"/>
        <w:gridCol w:w="5497"/>
      </w:tblGrid>
      <w:tr w:rsidR="003B3B17" w:rsidRPr="00B06331" w:rsidTr="003B3B17">
        <w:trPr>
          <w:cnfStyle w:val="100000000000"/>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Parameter</w:t>
            </w:r>
          </w:p>
        </w:tc>
        <w:tc>
          <w:tcPr>
            <w:tcW w:w="5497" w:type="dxa"/>
            <w:hideMark/>
          </w:tcPr>
          <w:p w:rsidR="003B3B17" w:rsidRPr="00B06331" w:rsidRDefault="003B3B17" w:rsidP="003B3B17">
            <w:pPr>
              <w:spacing w:after="0"/>
              <w:cnfStyle w:val="100000000000"/>
              <w:rPr>
                <w:rFonts w:ascii="Avenir Book" w:hAnsi="Avenir Book"/>
                <w:szCs w:val="24"/>
              </w:rPr>
            </w:pPr>
            <w:r w:rsidRPr="00B06331">
              <w:rPr>
                <w:rFonts w:ascii="Avenir Book" w:hAnsi="Avenir Book"/>
                <w:szCs w:val="24"/>
              </w:rPr>
              <w:t>Value</w:t>
            </w:r>
          </w:p>
        </w:tc>
      </w:tr>
      <w:tr w:rsidR="003B3B17" w:rsidRPr="00B06331" w:rsidTr="003B3B17">
        <w:trPr>
          <w:cnfStyle w:val="000000100000"/>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 xml:space="preserve">Electricity Access rate </w:t>
            </w:r>
          </w:p>
        </w:tc>
        <w:tc>
          <w:tcPr>
            <w:tcW w:w="5497" w:type="dxa"/>
            <w:hideMark/>
          </w:tcPr>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47% (2014, SE4ALL GTF)</w:t>
            </w:r>
          </w:p>
        </w:tc>
      </w:tr>
      <w:tr w:rsidR="003B3B17" w:rsidRPr="00B06331" w:rsidTr="003B3B17">
        <w:trPr>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Number of electricity customers</w:t>
            </w:r>
          </w:p>
        </w:tc>
        <w:tc>
          <w:tcPr>
            <w:tcW w:w="5497" w:type="dxa"/>
            <w:hideMark/>
          </w:tcPr>
          <w:p w:rsidR="003B3B17" w:rsidRPr="00B06331" w:rsidRDefault="003B3B17" w:rsidP="003B3B17">
            <w:pPr>
              <w:spacing w:after="0"/>
              <w:cnfStyle w:val="000000000000"/>
              <w:rPr>
                <w:rFonts w:ascii="Avenir Book" w:hAnsi="Avenir Book"/>
                <w:szCs w:val="24"/>
              </w:rPr>
            </w:pPr>
            <w:r w:rsidRPr="00B06331">
              <w:rPr>
                <w:rFonts w:ascii="Avenir Book" w:hAnsi="Avenir Book"/>
                <w:szCs w:val="24"/>
              </w:rPr>
              <w:t>155,000 (2016)</w:t>
            </w:r>
          </w:p>
        </w:tc>
      </w:tr>
      <w:tr w:rsidR="003B3B17" w:rsidRPr="00B06331" w:rsidTr="003B3B17">
        <w:trPr>
          <w:cnfStyle w:val="000000100000"/>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Installed capacity</w:t>
            </w:r>
          </w:p>
        </w:tc>
        <w:tc>
          <w:tcPr>
            <w:tcW w:w="5497" w:type="dxa"/>
            <w:hideMark/>
          </w:tcPr>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Country: 99MW of which 54MW is available (May 2017)</w:t>
            </w:r>
          </w:p>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Banjul: 88MW of which 45MW available (May 2017)</w:t>
            </w:r>
          </w:p>
        </w:tc>
      </w:tr>
      <w:tr w:rsidR="003B3B17" w:rsidRPr="00B06331" w:rsidTr="003B3B17">
        <w:trPr>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Peak Demand</w:t>
            </w:r>
          </w:p>
        </w:tc>
        <w:tc>
          <w:tcPr>
            <w:tcW w:w="5497" w:type="dxa"/>
            <w:hideMark/>
          </w:tcPr>
          <w:p w:rsidR="003B3B17" w:rsidRPr="00B06331" w:rsidRDefault="003B3B17" w:rsidP="003B3B17">
            <w:pPr>
              <w:spacing w:after="0"/>
              <w:cnfStyle w:val="000000000000"/>
              <w:rPr>
                <w:rFonts w:ascii="Avenir Book" w:hAnsi="Avenir Book"/>
                <w:szCs w:val="24"/>
              </w:rPr>
            </w:pPr>
            <w:r w:rsidRPr="00B06331">
              <w:rPr>
                <w:rFonts w:ascii="Avenir Book" w:hAnsi="Avenir Book"/>
                <w:szCs w:val="24"/>
              </w:rPr>
              <w:t>Approx. 70MW, but generation requirement for up to 150MW given suppressed demand (2017)</w:t>
            </w:r>
          </w:p>
        </w:tc>
      </w:tr>
      <w:tr w:rsidR="003B3B17" w:rsidRPr="00B06331" w:rsidTr="003B3B17">
        <w:trPr>
          <w:cnfStyle w:val="000000100000"/>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Energy mix</w:t>
            </w:r>
          </w:p>
        </w:tc>
        <w:tc>
          <w:tcPr>
            <w:tcW w:w="5497" w:type="dxa"/>
            <w:hideMark/>
          </w:tcPr>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100% HFO (2017)</w:t>
            </w:r>
          </w:p>
        </w:tc>
      </w:tr>
      <w:tr w:rsidR="003B3B17" w:rsidRPr="00B06331" w:rsidTr="003B3B17">
        <w:trPr>
          <w:trHeight w:val="31"/>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Share of private sector in generation</w:t>
            </w:r>
          </w:p>
        </w:tc>
        <w:tc>
          <w:tcPr>
            <w:tcW w:w="5497" w:type="dxa"/>
            <w:hideMark/>
          </w:tcPr>
          <w:p w:rsidR="003B3B17" w:rsidRPr="00B06331" w:rsidRDefault="003B3B17" w:rsidP="003B3B17">
            <w:pPr>
              <w:spacing w:after="0"/>
              <w:cnfStyle w:val="000000000000"/>
              <w:rPr>
                <w:rFonts w:ascii="Avenir Book" w:hAnsi="Avenir Book"/>
                <w:szCs w:val="24"/>
              </w:rPr>
            </w:pPr>
            <w:r w:rsidRPr="00B06331">
              <w:rPr>
                <w:rFonts w:ascii="Avenir Book" w:hAnsi="Avenir Book"/>
                <w:szCs w:val="24"/>
              </w:rPr>
              <w:t>0% (2017)</w:t>
            </w:r>
          </w:p>
        </w:tc>
      </w:tr>
      <w:tr w:rsidR="003B3B17" w:rsidRPr="00B06331" w:rsidTr="003B3B17">
        <w:trPr>
          <w:cnfStyle w:val="000000100000"/>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Average cost of service</w:t>
            </w:r>
          </w:p>
        </w:tc>
        <w:tc>
          <w:tcPr>
            <w:tcW w:w="5497" w:type="dxa"/>
            <w:hideMark/>
          </w:tcPr>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$0.44 / kWh (2014)</w:t>
            </w:r>
          </w:p>
        </w:tc>
      </w:tr>
      <w:tr w:rsidR="003B3B17" w:rsidRPr="00B06331" w:rsidTr="003B3B17">
        <w:trPr>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Average tariff</w:t>
            </w:r>
          </w:p>
        </w:tc>
        <w:tc>
          <w:tcPr>
            <w:tcW w:w="5497" w:type="dxa"/>
            <w:hideMark/>
          </w:tcPr>
          <w:p w:rsidR="003B3B17" w:rsidRPr="00B06331" w:rsidRDefault="003B3B17" w:rsidP="003B3B17">
            <w:pPr>
              <w:spacing w:after="0"/>
              <w:cnfStyle w:val="000000000000"/>
              <w:rPr>
                <w:rFonts w:ascii="Avenir Book" w:hAnsi="Avenir Book"/>
                <w:szCs w:val="24"/>
              </w:rPr>
            </w:pPr>
            <w:r w:rsidRPr="00B06331">
              <w:rPr>
                <w:rFonts w:ascii="Avenir Book" w:hAnsi="Avenir Book"/>
                <w:szCs w:val="24"/>
              </w:rPr>
              <w:t>$0.22 / kWh (2014) $0.26 / kWh (2016)</w:t>
            </w:r>
          </w:p>
        </w:tc>
      </w:tr>
      <w:tr w:rsidR="003B3B17" w:rsidRPr="00B06331" w:rsidTr="003B3B17">
        <w:trPr>
          <w:cnfStyle w:val="000000100000"/>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Average T&amp;D losses</w:t>
            </w:r>
          </w:p>
        </w:tc>
        <w:tc>
          <w:tcPr>
            <w:tcW w:w="5497" w:type="dxa"/>
            <w:hideMark/>
          </w:tcPr>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24% (2016)</w:t>
            </w:r>
          </w:p>
        </w:tc>
      </w:tr>
      <w:tr w:rsidR="003B3B17" w:rsidRPr="00B06331" w:rsidTr="003B3B17">
        <w:trPr>
          <w:trHeight w:val="240"/>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Electricity bill collection rate</w:t>
            </w:r>
          </w:p>
        </w:tc>
        <w:tc>
          <w:tcPr>
            <w:tcW w:w="5497" w:type="dxa"/>
            <w:hideMark/>
          </w:tcPr>
          <w:p w:rsidR="003B3B17" w:rsidRPr="00B06331" w:rsidRDefault="003B3B17" w:rsidP="003B3B17">
            <w:pPr>
              <w:spacing w:after="0"/>
              <w:cnfStyle w:val="000000000000"/>
              <w:rPr>
                <w:rFonts w:ascii="Avenir Book" w:hAnsi="Avenir Book"/>
                <w:szCs w:val="24"/>
              </w:rPr>
            </w:pPr>
            <w:r w:rsidRPr="00B06331">
              <w:rPr>
                <w:rFonts w:ascii="Avenir Book" w:hAnsi="Avenir Book"/>
                <w:szCs w:val="24"/>
              </w:rPr>
              <w:t>88% (2016)</w:t>
            </w:r>
          </w:p>
        </w:tc>
      </w:tr>
      <w:tr w:rsidR="003B3B17" w:rsidRPr="00B06331" w:rsidTr="003B3B17">
        <w:trPr>
          <w:cnfStyle w:val="000000100000"/>
          <w:trHeight w:val="258"/>
        </w:trPr>
        <w:tc>
          <w:tcPr>
            <w:cnfStyle w:val="001000000000"/>
            <w:tcW w:w="3725" w:type="dxa"/>
            <w:hideMark/>
          </w:tcPr>
          <w:p w:rsidR="003B3B17" w:rsidRPr="00B06331" w:rsidRDefault="003B3B17" w:rsidP="003B3B17">
            <w:pPr>
              <w:spacing w:after="0"/>
              <w:rPr>
                <w:rFonts w:ascii="Avenir Book" w:hAnsi="Avenir Book"/>
                <w:szCs w:val="24"/>
              </w:rPr>
            </w:pPr>
            <w:r w:rsidRPr="00B06331">
              <w:rPr>
                <w:rFonts w:ascii="Avenir Book" w:hAnsi="Avenir Book"/>
                <w:szCs w:val="24"/>
              </w:rPr>
              <w:t>Utility debt (electricity water and sewerage)</w:t>
            </w:r>
          </w:p>
        </w:tc>
        <w:tc>
          <w:tcPr>
            <w:tcW w:w="5497" w:type="dxa"/>
            <w:hideMark/>
          </w:tcPr>
          <w:p w:rsidR="003B3B17" w:rsidRPr="00B06331" w:rsidRDefault="003B3B17" w:rsidP="003B3B17">
            <w:pPr>
              <w:spacing w:after="0"/>
              <w:cnfStyle w:val="000000100000"/>
              <w:rPr>
                <w:rFonts w:ascii="Avenir Book" w:hAnsi="Avenir Book"/>
                <w:szCs w:val="24"/>
              </w:rPr>
            </w:pPr>
            <w:r w:rsidRPr="00B06331">
              <w:rPr>
                <w:rFonts w:ascii="Avenir Book" w:hAnsi="Avenir Book"/>
                <w:szCs w:val="24"/>
              </w:rPr>
              <w:t>Stock of debt is ~D9billion (~$220m), or 4x annual turnover</w:t>
            </w:r>
          </w:p>
        </w:tc>
      </w:tr>
    </w:tbl>
    <w:p w:rsidR="003B3B17" w:rsidRPr="00B06331" w:rsidRDefault="003B3B17" w:rsidP="003B3B17">
      <w:pPr>
        <w:spacing w:after="0"/>
        <w:jc w:val="both"/>
        <w:rPr>
          <w:rFonts w:ascii="Avenir Book" w:hAnsi="Avenir Book"/>
          <w:szCs w:val="24"/>
        </w:rPr>
      </w:pPr>
    </w:p>
    <w:p w:rsidR="003B3B17" w:rsidRPr="00B06331" w:rsidRDefault="003B3B17" w:rsidP="003B3B17">
      <w:pPr>
        <w:spacing w:after="0"/>
        <w:jc w:val="both"/>
        <w:rPr>
          <w:rFonts w:ascii="Avenir Book" w:hAnsi="Avenir Book"/>
          <w:szCs w:val="24"/>
        </w:rPr>
      </w:pPr>
      <w:r w:rsidRPr="00B06331">
        <w:rPr>
          <w:rFonts w:ascii="Avenir Book" w:hAnsi="Avenir Book"/>
          <w:szCs w:val="24"/>
        </w:rPr>
        <w:t>Some of the key characteristics of the Gambia`s electricity sector include:</w:t>
      </w:r>
    </w:p>
    <w:p w:rsidR="003B3B17" w:rsidRPr="00B06331" w:rsidRDefault="003B3B17" w:rsidP="004143E3">
      <w:pPr>
        <w:numPr>
          <w:ilvl w:val="0"/>
          <w:numId w:val="90"/>
        </w:numPr>
        <w:spacing w:after="0"/>
        <w:jc w:val="both"/>
        <w:rPr>
          <w:rFonts w:ascii="Avenir Book" w:hAnsi="Avenir Book"/>
          <w:szCs w:val="24"/>
        </w:rPr>
      </w:pPr>
      <w:r w:rsidRPr="00B06331">
        <w:rPr>
          <w:rFonts w:ascii="Avenir Book" w:hAnsi="Avenir Book"/>
          <w:szCs w:val="24"/>
        </w:rPr>
        <w:t xml:space="preserve">Low access to electricity: electricity access in The Gambia is estimated at 35 percent of the population. While 60 percent of the population in the GBA is served, only six percent of the population in the outlying provinces has access. </w:t>
      </w:r>
    </w:p>
    <w:p w:rsidR="003B3B17" w:rsidRPr="00B06331" w:rsidRDefault="003B3B17" w:rsidP="004143E3">
      <w:pPr>
        <w:numPr>
          <w:ilvl w:val="0"/>
          <w:numId w:val="90"/>
        </w:numPr>
        <w:spacing w:after="0"/>
        <w:jc w:val="both"/>
        <w:rPr>
          <w:rFonts w:ascii="Avenir Book" w:hAnsi="Avenir Book"/>
          <w:szCs w:val="24"/>
        </w:rPr>
      </w:pPr>
      <w:r w:rsidRPr="00B06331">
        <w:rPr>
          <w:rFonts w:ascii="Avenir Book" w:hAnsi="Avenir Book"/>
          <w:szCs w:val="24"/>
        </w:rPr>
        <w:t>Inadequate supply means blackouts are frequent: NAWEC has an installed capacity of 99 MW of which only 54 MW are currently available. 88MW is installed in the GBA, of which 45 MW is available against an estimated peak demand of 70 MW. Installed capacity is 100 percent liquid fuels, with NAWEC consuming on average 6,000 metric tons of HFO per month.</w:t>
      </w:r>
    </w:p>
    <w:p w:rsidR="003B3B17" w:rsidRPr="00B06331" w:rsidRDefault="003B3B17" w:rsidP="004143E3">
      <w:pPr>
        <w:numPr>
          <w:ilvl w:val="0"/>
          <w:numId w:val="90"/>
        </w:numPr>
        <w:spacing w:after="0"/>
        <w:jc w:val="both"/>
        <w:rPr>
          <w:rFonts w:ascii="Avenir Book" w:hAnsi="Avenir Book"/>
          <w:szCs w:val="24"/>
        </w:rPr>
      </w:pPr>
      <w:r w:rsidRPr="00B06331">
        <w:rPr>
          <w:rFonts w:ascii="Avenir Book" w:hAnsi="Avenir Book"/>
          <w:szCs w:val="24"/>
        </w:rPr>
        <w:t xml:space="preserve">High transmission and distribution losses: Transmission and Distribution network losses were approximately 24 percent in 2016, increasing the cost of supply on a per kWh basis. </w:t>
      </w:r>
    </w:p>
    <w:p w:rsidR="003B3B17" w:rsidRPr="00B06331" w:rsidRDefault="003B3B17" w:rsidP="004143E3">
      <w:pPr>
        <w:numPr>
          <w:ilvl w:val="0"/>
          <w:numId w:val="90"/>
        </w:numPr>
        <w:spacing w:after="0"/>
        <w:jc w:val="both"/>
        <w:rPr>
          <w:rFonts w:ascii="Avenir Book" w:hAnsi="Avenir Book"/>
          <w:szCs w:val="24"/>
        </w:rPr>
      </w:pPr>
      <w:r w:rsidRPr="00B06331">
        <w:rPr>
          <w:rFonts w:ascii="Avenir Book" w:hAnsi="Avenir Book"/>
          <w:szCs w:val="24"/>
        </w:rPr>
        <w:t xml:space="preserve">Commercial: NAWEC had 155,000 electricity customers in 2016, over 90 percent of which are in the GBA. Bill collection rates have steadily improved to 88 percent thanks to the widespread introduction of prepaid meters (almost universal coverage for residential customers). </w:t>
      </w:r>
    </w:p>
    <w:p w:rsidR="003B3B17" w:rsidRPr="00B06331" w:rsidRDefault="003B3B17" w:rsidP="004143E3">
      <w:pPr>
        <w:numPr>
          <w:ilvl w:val="0"/>
          <w:numId w:val="90"/>
        </w:numPr>
        <w:spacing w:after="0"/>
        <w:jc w:val="both"/>
        <w:rPr>
          <w:rFonts w:ascii="Avenir Book" w:hAnsi="Avenir Book"/>
          <w:szCs w:val="24"/>
        </w:rPr>
      </w:pPr>
      <w:r w:rsidRPr="00B06331">
        <w:rPr>
          <w:rFonts w:ascii="Avenir Book" w:hAnsi="Avenir Book"/>
          <w:szCs w:val="24"/>
        </w:rPr>
        <w:t xml:space="preserve">Highly indebted utility: Collected revenues have not covered accrued costs forcing the utility to expand its debt to cover short term operating costs in addition to investment needs. Despite a 12 percent tariff in January 2015 and a government backed debt restructure in 2015, NAWECs debt has mushroomed to 9 billion Dalasi (approximately $200 million), equivalent to four times the annual utility revenue, or 25 percent of GDP. </w:t>
      </w:r>
    </w:p>
    <w:p w:rsidR="003B3B17" w:rsidRPr="00B06331" w:rsidRDefault="003B3B17" w:rsidP="004143E3">
      <w:pPr>
        <w:numPr>
          <w:ilvl w:val="0"/>
          <w:numId w:val="90"/>
        </w:numPr>
        <w:spacing w:after="0"/>
        <w:jc w:val="both"/>
        <w:rPr>
          <w:rFonts w:ascii="Avenir Book" w:hAnsi="Avenir Book"/>
          <w:szCs w:val="24"/>
        </w:rPr>
      </w:pPr>
      <w:r w:rsidRPr="00B06331">
        <w:rPr>
          <w:rFonts w:ascii="Avenir Book" w:hAnsi="Avenir Book"/>
          <w:szCs w:val="24"/>
        </w:rPr>
        <w:lastRenderedPageBreak/>
        <w:t xml:space="preserve">Earlier reform efforts: In terms of reform, the sector successfully established a regulator. NAWEC remains a small and traditional vertically integrated state owned utility. The government tried to bring the private sector into generation in 2006 through a HFO IPP (Global Electric Group). However, following irregular payments and cash flow issues, NAWEC purchased the assets from the IPP in 2013. </w:t>
      </w:r>
    </w:p>
    <w:p w:rsidR="009931CE" w:rsidRPr="00B06331" w:rsidRDefault="009931CE" w:rsidP="009931CE">
      <w:pPr>
        <w:spacing w:after="0"/>
        <w:jc w:val="both"/>
        <w:rPr>
          <w:rFonts w:ascii="Avenir Book" w:hAnsi="Avenir Book"/>
          <w:szCs w:val="24"/>
        </w:rPr>
      </w:pPr>
    </w:p>
    <w:p w:rsidR="003B3B17" w:rsidRPr="00B06331" w:rsidRDefault="003B3B17" w:rsidP="009931CE">
      <w:pPr>
        <w:rPr>
          <w:b/>
          <w:bCs/>
        </w:rPr>
      </w:pPr>
      <w:bookmarkStart w:id="74" w:name="_Toc486844786"/>
      <w:r w:rsidRPr="00B06331">
        <w:rPr>
          <w:b/>
        </w:rPr>
        <w:t>Key obstacles in The Gambia’s electricity sector</w:t>
      </w:r>
      <w:bookmarkEnd w:id="74"/>
    </w:p>
    <w:p w:rsidR="003B3B17" w:rsidRPr="00B06331" w:rsidRDefault="003B3B17" w:rsidP="003B3B17">
      <w:pPr>
        <w:spacing w:after="0"/>
        <w:jc w:val="both"/>
        <w:rPr>
          <w:rFonts w:ascii="Avenir Book" w:hAnsi="Avenir Book"/>
          <w:szCs w:val="24"/>
        </w:rPr>
      </w:pPr>
      <w:r w:rsidRPr="00B06331">
        <w:rPr>
          <w:rFonts w:ascii="Avenir Book" w:hAnsi="Avenir Book"/>
          <w:szCs w:val="24"/>
        </w:rPr>
        <w:t>Some of the key obstacles that pose challenges to progress include NAWEC`s unsustainable debt levels, inadequate spending on maintenance of HFO engines, and tariffs that are set at rates that are too low and leaves NAWEC exposed to external shocks beyond its control.</w:t>
      </w:r>
    </w:p>
    <w:p w:rsidR="003B3B17" w:rsidRPr="00B06331" w:rsidRDefault="003B3B17" w:rsidP="003B3B17">
      <w:pPr>
        <w:pStyle w:val="Caption"/>
        <w:keepNext/>
        <w:spacing w:after="0" w:line="276" w:lineRule="auto"/>
        <w:rPr>
          <w:rFonts w:ascii="Avenir Book" w:hAnsi="Avenir Book"/>
          <w:i w:val="0"/>
          <w:iCs w:val="0"/>
          <w:color w:val="auto"/>
          <w:sz w:val="22"/>
          <w:szCs w:val="24"/>
        </w:rPr>
      </w:pPr>
    </w:p>
    <w:tbl>
      <w:tblPr>
        <w:tblStyle w:val="GridTable4-Accent12"/>
        <w:tblW w:w="9445" w:type="dxa"/>
        <w:tblLook w:val="04A0"/>
      </w:tblPr>
      <w:tblGrid>
        <w:gridCol w:w="2245"/>
        <w:gridCol w:w="7200"/>
      </w:tblGrid>
      <w:tr w:rsidR="004D2867" w:rsidRPr="00B06331" w:rsidTr="003B3B17">
        <w:trPr>
          <w:cnfStyle w:val="100000000000"/>
        </w:trPr>
        <w:tc>
          <w:tcPr>
            <w:cnfStyle w:val="001000000000"/>
            <w:tcW w:w="2245" w:type="dxa"/>
          </w:tcPr>
          <w:p w:rsidR="004D2867" w:rsidRPr="00B06331" w:rsidRDefault="004D2867" w:rsidP="003B3B17">
            <w:pPr>
              <w:spacing w:before="100" w:beforeAutospacing="1" w:afterAutospacing="1"/>
              <w:jc w:val="both"/>
              <w:rPr>
                <w:rFonts w:ascii="Avenir Book" w:hAnsi="Avenir Book"/>
                <w:szCs w:val="24"/>
              </w:rPr>
            </w:pPr>
          </w:p>
        </w:tc>
        <w:tc>
          <w:tcPr>
            <w:tcW w:w="7200" w:type="dxa"/>
          </w:tcPr>
          <w:p w:rsidR="004D2867" w:rsidRPr="00B06331" w:rsidRDefault="004D2867" w:rsidP="004D2867">
            <w:pPr>
              <w:pStyle w:val="Caption"/>
              <w:keepNext/>
              <w:spacing w:after="0" w:line="276" w:lineRule="auto"/>
              <w:cnfStyle w:val="100000000000"/>
              <w:rPr>
                <w:rFonts w:ascii="Avenir Book" w:hAnsi="Avenir Book"/>
                <w:i w:val="0"/>
                <w:iCs w:val="0"/>
                <w:color w:val="FFFFFF" w:themeColor="background1"/>
                <w:sz w:val="22"/>
                <w:szCs w:val="24"/>
              </w:rPr>
            </w:pPr>
            <w:bookmarkStart w:id="75" w:name="_Toc486844854"/>
            <w:r w:rsidRPr="00B06331">
              <w:rPr>
                <w:rFonts w:ascii="Avenir Book" w:hAnsi="Avenir Book"/>
                <w:i w:val="0"/>
                <w:iCs w:val="0"/>
                <w:color w:val="FFFFFF" w:themeColor="background1"/>
                <w:sz w:val="22"/>
                <w:szCs w:val="24"/>
              </w:rPr>
              <w:t>Box 3.2: Key obstacles in The Gambia's electricity sector</w:t>
            </w:r>
            <w:bookmarkEnd w:id="75"/>
          </w:p>
        </w:tc>
      </w:tr>
      <w:tr w:rsidR="003B3B17" w:rsidRPr="00B06331" w:rsidTr="003B3B17">
        <w:trPr>
          <w:cnfStyle w:val="000000100000"/>
        </w:trPr>
        <w:tc>
          <w:tcPr>
            <w:cnfStyle w:val="001000000000"/>
            <w:tcW w:w="2245" w:type="dxa"/>
          </w:tcPr>
          <w:p w:rsidR="003B3B17" w:rsidRPr="00B06331" w:rsidRDefault="003B3B17" w:rsidP="003B3B17">
            <w:pPr>
              <w:spacing w:before="100" w:beforeAutospacing="1" w:afterAutospacing="1"/>
              <w:jc w:val="both"/>
              <w:rPr>
                <w:rFonts w:ascii="Avenir Book" w:hAnsi="Avenir Book"/>
                <w:szCs w:val="24"/>
              </w:rPr>
            </w:pPr>
            <w:r w:rsidRPr="00B06331">
              <w:rPr>
                <w:rFonts w:ascii="Avenir Book" w:hAnsi="Avenir Book"/>
                <w:szCs w:val="24"/>
              </w:rPr>
              <w:t>Obstacle</w:t>
            </w:r>
          </w:p>
        </w:tc>
        <w:tc>
          <w:tcPr>
            <w:tcW w:w="7200" w:type="dxa"/>
          </w:tcPr>
          <w:p w:rsidR="003B3B17" w:rsidRPr="00B06331" w:rsidRDefault="003B3B17" w:rsidP="003B3B17">
            <w:pPr>
              <w:spacing w:before="100" w:beforeAutospacing="1" w:afterAutospacing="1"/>
              <w:jc w:val="both"/>
              <w:cnfStyle w:val="000000100000"/>
              <w:rPr>
                <w:rFonts w:ascii="Avenir Book" w:hAnsi="Avenir Book"/>
                <w:szCs w:val="24"/>
              </w:rPr>
            </w:pPr>
            <w:r w:rsidRPr="00B06331">
              <w:rPr>
                <w:rFonts w:ascii="Avenir Book" w:hAnsi="Avenir Book"/>
                <w:szCs w:val="24"/>
              </w:rPr>
              <w:t>Description</w:t>
            </w:r>
          </w:p>
        </w:tc>
      </w:tr>
      <w:tr w:rsidR="003B3B17" w:rsidRPr="00B06331" w:rsidTr="003B3B17">
        <w:tc>
          <w:tcPr>
            <w:cnfStyle w:val="001000000000"/>
            <w:tcW w:w="2245" w:type="dxa"/>
          </w:tcPr>
          <w:p w:rsidR="003B3B17" w:rsidRPr="00B06331" w:rsidRDefault="003B3B17" w:rsidP="003B3B17">
            <w:pPr>
              <w:spacing w:before="100" w:beforeAutospacing="1" w:afterAutospacing="1"/>
              <w:rPr>
                <w:rFonts w:ascii="Avenir Book" w:hAnsi="Avenir Book"/>
                <w:szCs w:val="24"/>
              </w:rPr>
            </w:pPr>
            <w:r w:rsidRPr="00B06331">
              <w:rPr>
                <w:rFonts w:ascii="Avenir Book" w:hAnsi="Avenir Book"/>
                <w:szCs w:val="24"/>
              </w:rPr>
              <w:t xml:space="preserve">Unsustainable debt </w:t>
            </w:r>
          </w:p>
        </w:tc>
        <w:tc>
          <w:tcPr>
            <w:tcW w:w="7200" w:type="dxa"/>
          </w:tcPr>
          <w:p w:rsidR="003B3B17" w:rsidRPr="00B06331" w:rsidRDefault="003B3B17" w:rsidP="003B3B17">
            <w:pPr>
              <w:spacing w:before="100" w:beforeAutospacing="1" w:afterAutospacing="1"/>
              <w:jc w:val="both"/>
              <w:cnfStyle w:val="000000000000"/>
              <w:rPr>
                <w:rFonts w:ascii="Avenir Book" w:hAnsi="Avenir Book"/>
                <w:szCs w:val="24"/>
              </w:rPr>
            </w:pPr>
            <w:r w:rsidRPr="00B06331">
              <w:rPr>
                <w:rFonts w:ascii="Avenir Book" w:hAnsi="Avenir Book"/>
                <w:szCs w:val="24"/>
              </w:rPr>
              <w:t xml:space="preserve">NAWEC is highly indebted and essentially bankrupt. For years, collected revenues have not covered accrued costs forcing the utility to expand its debt to cover short term operating costs in addition to investment needs. Despite a 12 percent tariff in January 2015 and a government backed debt restructure in 2015 in March 2015 in the form of a consolidated bond, total debt taken out by or on behalf of NAWEC has mushroomed to around 9.5 billion Dalasi (approximately $215 million), equivalent to four times the annual utility revenue, or around 20 percent of GDP. The debt is so large that loan default threatens the stability of the nation’s banking system, often forcing the government to bail out NAWEC. </w:t>
            </w:r>
          </w:p>
        </w:tc>
      </w:tr>
      <w:tr w:rsidR="003B3B17" w:rsidRPr="00B06331" w:rsidTr="003B3B17">
        <w:trPr>
          <w:cnfStyle w:val="000000100000"/>
        </w:trPr>
        <w:tc>
          <w:tcPr>
            <w:cnfStyle w:val="001000000000"/>
            <w:tcW w:w="2245" w:type="dxa"/>
          </w:tcPr>
          <w:p w:rsidR="003B3B17" w:rsidRPr="00B06331" w:rsidRDefault="003B3B17" w:rsidP="003B3B17">
            <w:pPr>
              <w:spacing w:before="100" w:beforeAutospacing="1" w:afterAutospacing="1"/>
              <w:rPr>
                <w:rFonts w:ascii="Avenir Book" w:hAnsi="Avenir Book"/>
                <w:szCs w:val="24"/>
              </w:rPr>
            </w:pPr>
            <w:r w:rsidRPr="00B06331">
              <w:rPr>
                <w:rFonts w:ascii="Avenir Book" w:hAnsi="Avenir Book"/>
                <w:szCs w:val="24"/>
              </w:rPr>
              <w:t>Inadequate spending on maintenance</w:t>
            </w:r>
          </w:p>
        </w:tc>
        <w:tc>
          <w:tcPr>
            <w:tcW w:w="7200" w:type="dxa"/>
          </w:tcPr>
          <w:p w:rsidR="003B3B17" w:rsidRPr="00B06331" w:rsidRDefault="003B3B17" w:rsidP="003B3B17">
            <w:pPr>
              <w:spacing w:before="100" w:beforeAutospacing="1" w:afterAutospacing="1"/>
              <w:jc w:val="both"/>
              <w:cnfStyle w:val="000000100000"/>
              <w:rPr>
                <w:rFonts w:ascii="Avenir Book" w:hAnsi="Avenir Book"/>
                <w:szCs w:val="24"/>
              </w:rPr>
            </w:pPr>
            <w:r w:rsidRPr="00B06331">
              <w:rPr>
                <w:rFonts w:ascii="Avenir Book" w:hAnsi="Avenir Book"/>
                <w:szCs w:val="24"/>
              </w:rPr>
              <w:t xml:space="preserve">Due to a constrained financial position, NAWEC has been unable to carry out all of its routine maintenance activities. As a result, less than 50 percent of installed generation capacity is available and T&amp;D losses have increased.  </w:t>
            </w:r>
          </w:p>
        </w:tc>
      </w:tr>
      <w:tr w:rsidR="003B3B17" w:rsidRPr="00B06331" w:rsidTr="003B3B17">
        <w:tc>
          <w:tcPr>
            <w:cnfStyle w:val="001000000000"/>
            <w:tcW w:w="2245" w:type="dxa"/>
          </w:tcPr>
          <w:p w:rsidR="003B3B17" w:rsidRPr="00B06331" w:rsidRDefault="003B3B17" w:rsidP="003B3B17">
            <w:pPr>
              <w:spacing w:before="100" w:beforeAutospacing="1" w:afterAutospacing="1"/>
              <w:rPr>
                <w:rFonts w:ascii="Avenir Book" w:hAnsi="Avenir Book"/>
                <w:szCs w:val="24"/>
              </w:rPr>
            </w:pPr>
            <w:r w:rsidRPr="00B06331">
              <w:rPr>
                <w:rFonts w:ascii="Avenir Book" w:hAnsi="Avenir Book"/>
                <w:szCs w:val="24"/>
              </w:rPr>
              <w:t>Tariff levels are too low</w:t>
            </w:r>
          </w:p>
        </w:tc>
        <w:tc>
          <w:tcPr>
            <w:tcW w:w="7200" w:type="dxa"/>
          </w:tcPr>
          <w:p w:rsidR="003B3B17" w:rsidRPr="00B06331" w:rsidRDefault="003B3B17" w:rsidP="003B3B17">
            <w:pPr>
              <w:spacing w:before="100" w:beforeAutospacing="1" w:afterAutospacing="1"/>
              <w:jc w:val="both"/>
              <w:cnfStyle w:val="000000000000"/>
              <w:rPr>
                <w:rFonts w:ascii="Avenir Book" w:hAnsi="Avenir Book"/>
                <w:szCs w:val="24"/>
              </w:rPr>
            </w:pPr>
            <w:r w:rsidRPr="00B06331">
              <w:rPr>
                <w:rFonts w:ascii="Avenir Book" w:hAnsi="Avenir Book"/>
                <w:szCs w:val="24"/>
              </w:rPr>
              <w:t>Even if NAWEC collected 100 percent of its billed revenue, cash collected would not be sufficient to cover costs. While the cost of supply should reduce in the medium to long term (as the energy mix improves through OMVG (expected to be operational by 2020) and T&amp;D losses are reduced), current tariff levels are inadequate to cover accrued costs.</w:t>
            </w:r>
          </w:p>
        </w:tc>
      </w:tr>
      <w:tr w:rsidR="003B3B17" w:rsidRPr="00B06331" w:rsidTr="003B3B17">
        <w:trPr>
          <w:cnfStyle w:val="000000100000"/>
        </w:trPr>
        <w:tc>
          <w:tcPr>
            <w:cnfStyle w:val="001000000000"/>
            <w:tcW w:w="2245" w:type="dxa"/>
          </w:tcPr>
          <w:p w:rsidR="003B3B17" w:rsidRPr="00B06331" w:rsidRDefault="003B3B17" w:rsidP="003B3B17">
            <w:pPr>
              <w:spacing w:before="100" w:beforeAutospacing="1" w:afterAutospacing="1"/>
              <w:rPr>
                <w:rFonts w:ascii="Avenir Book" w:hAnsi="Avenir Book"/>
                <w:szCs w:val="24"/>
              </w:rPr>
            </w:pPr>
            <w:r w:rsidRPr="00B06331">
              <w:rPr>
                <w:rFonts w:ascii="Avenir Book" w:hAnsi="Avenir Book"/>
                <w:szCs w:val="24"/>
              </w:rPr>
              <w:t>Tariff structure leaves NAWEC exposed to external shocks beyond its control</w:t>
            </w:r>
          </w:p>
        </w:tc>
        <w:tc>
          <w:tcPr>
            <w:tcW w:w="7200" w:type="dxa"/>
          </w:tcPr>
          <w:p w:rsidR="003B3B17" w:rsidRPr="00B06331" w:rsidRDefault="003B3B17" w:rsidP="003B3B17">
            <w:pPr>
              <w:spacing w:before="100" w:beforeAutospacing="1" w:afterAutospacing="1"/>
              <w:jc w:val="both"/>
              <w:cnfStyle w:val="000000100000"/>
              <w:rPr>
                <w:rFonts w:ascii="Avenir Book" w:hAnsi="Avenir Book"/>
                <w:szCs w:val="24"/>
              </w:rPr>
            </w:pPr>
            <w:r w:rsidRPr="00B06331">
              <w:rPr>
                <w:rFonts w:ascii="Avenir Book" w:hAnsi="Avenir Book"/>
                <w:szCs w:val="24"/>
              </w:rPr>
              <w:t>With the cost structure outlined above, external shocks have a major impact on NAWEC. For example, between 2000 and 2016, the Gambian Dalasi depreciated 200 percent against the US dollar. There is no automatic pass through mechanism in the tariff structure to respond to these shocks, and no minimum period within which tariff reviews need to happen (NAWEC need to initiate a tariff review process which it is often hesitant to do). The utility therefore remains exposed to global oil price shocks and exchange rate fluctuations which are beyond its control.</w:t>
            </w:r>
          </w:p>
        </w:tc>
      </w:tr>
    </w:tbl>
    <w:p w:rsidR="009931CE" w:rsidRPr="00B06331" w:rsidRDefault="009931CE" w:rsidP="009931CE">
      <w:pPr>
        <w:rPr>
          <w:b/>
        </w:rPr>
      </w:pPr>
      <w:bookmarkStart w:id="76" w:name="_Toc486844787"/>
    </w:p>
    <w:p w:rsidR="003B3B17" w:rsidRPr="00B06331" w:rsidRDefault="003B3B17" w:rsidP="009931CE">
      <w:pPr>
        <w:rPr>
          <w:b/>
          <w:bCs/>
        </w:rPr>
      </w:pPr>
      <w:r w:rsidRPr="00B06331">
        <w:rPr>
          <w:b/>
        </w:rPr>
        <w:t>Opportunities</w:t>
      </w:r>
      <w:bookmarkEnd w:id="76"/>
    </w:p>
    <w:p w:rsidR="003B3B17" w:rsidRPr="00B06331" w:rsidRDefault="003B3B17" w:rsidP="003B3B17">
      <w:pPr>
        <w:spacing w:after="0"/>
        <w:jc w:val="both"/>
        <w:rPr>
          <w:rFonts w:ascii="Avenir Book" w:hAnsi="Avenir Book"/>
          <w:szCs w:val="24"/>
        </w:rPr>
      </w:pPr>
      <w:r w:rsidRPr="00B06331">
        <w:rPr>
          <w:rFonts w:ascii="Avenir Book" w:hAnsi="Avenir Book"/>
          <w:szCs w:val="24"/>
        </w:rPr>
        <w:t xml:space="preserve">The Energy Roadmap and Action Plan for The Gambia identified basic, short-term, and medium-term investments needed to restore the sector’s performance. The basic needs include the rehabilitation of </w:t>
      </w:r>
      <w:r w:rsidRPr="00B06331">
        <w:rPr>
          <w:rFonts w:ascii="Avenir Book" w:hAnsi="Avenir Book"/>
          <w:szCs w:val="24"/>
        </w:rPr>
        <w:lastRenderedPageBreak/>
        <w:t xml:space="preserve">existing HFO plants, targeted investments in T&amp;D to reduce losses, and the installation of meters. The short-term investment needs include new thermal power plants to run on HFO and further T&amp;D network improvement investments. Medium-term investments are comprised of regional interconnections that provide access to clean and low-cost electricity imports. </w:t>
      </w:r>
    </w:p>
    <w:p w:rsidR="003B3B17" w:rsidRPr="00B06331" w:rsidRDefault="003B3B17" w:rsidP="003B3B17">
      <w:pPr>
        <w:pStyle w:val="ListParagraph"/>
        <w:spacing w:after="0"/>
        <w:ind w:left="360"/>
        <w:jc w:val="both"/>
        <w:rPr>
          <w:rFonts w:ascii="Avenir Book" w:hAnsi="Avenir Book"/>
          <w:szCs w:val="24"/>
        </w:rPr>
      </w:pPr>
    </w:p>
    <w:p w:rsidR="003B3B17" w:rsidRPr="00B06331" w:rsidRDefault="003B3B17" w:rsidP="004143E3">
      <w:pPr>
        <w:pStyle w:val="ListParagraph"/>
        <w:numPr>
          <w:ilvl w:val="0"/>
          <w:numId w:val="89"/>
        </w:numPr>
        <w:spacing w:after="0"/>
        <w:jc w:val="both"/>
        <w:rPr>
          <w:rFonts w:ascii="Avenir Book" w:hAnsi="Avenir Book"/>
          <w:szCs w:val="24"/>
        </w:rPr>
      </w:pPr>
      <w:r w:rsidRPr="00B06331">
        <w:rPr>
          <w:rFonts w:ascii="Avenir Book" w:hAnsi="Avenir Book"/>
          <w:szCs w:val="24"/>
        </w:rPr>
        <w:t>Financial Viability: The urgent short-term need is to achieve financial equilibrium in the sector and “stop the bleeding”. A November 2016 workshop convened key stakeholders in the energy sector to agree short and medium-term measures to address NAWECs financial viability challenges. Key workshop agreements included:</w:t>
      </w:r>
    </w:p>
    <w:p w:rsidR="003B3B17" w:rsidRPr="00B06331" w:rsidRDefault="003B3B17" w:rsidP="004143E3">
      <w:pPr>
        <w:pStyle w:val="ListParagraph"/>
        <w:numPr>
          <w:ilvl w:val="0"/>
          <w:numId w:val="91"/>
        </w:numPr>
        <w:spacing w:after="0"/>
        <w:contextualSpacing w:val="0"/>
        <w:jc w:val="both"/>
        <w:rPr>
          <w:rFonts w:ascii="Avenir Book" w:hAnsi="Avenir Book"/>
          <w:szCs w:val="24"/>
        </w:rPr>
      </w:pPr>
      <w:r w:rsidRPr="00B06331">
        <w:rPr>
          <w:rFonts w:ascii="Avenir Book" w:hAnsi="Avenir Book"/>
          <w:szCs w:val="24"/>
        </w:rPr>
        <w:t>NAWEC to renegotiate its fuel supply contract with GNPC, or explore sourcing from the market directly (per the practice of other utilities in the region)</w:t>
      </w:r>
    </w:p>
    <w:p w:rsidR="003B3B17" w:rsidRPr="00B06331" w:rsidRDefault="003B3B17" w:rsidP="004143E3">
      <w:pPr>
        <w:pStyle w:val="ListParagraph"/>
        <w:numPr>
          <w:ilvl w:val="0"/>
          <w:numId w:val="91"/>
        </w:numPr>
        <w:spacing w:after="0"/>
        <w:contextualSpacing w:val="0"/>
        <w:jc w:val="both"/>
        <w:rPr>
          <w:rFonts w:ascii="Avenir Book" w:hAnsi="Avenir Book"/>
          <w:szCs w:val="24"/>
        </w:rPr>
      </w:pPr>
      <w:r w:rsidRPr="00B06331">
        <w:rPr>
          <w:rFonts w:ascii="Avenir Book" w:hAnsi="Avenir Book"/>
          <w:szCs w:val="24"/>
        </w:rPr>
        <w:t>NAWEC to develop a debt restructure and debt sustainability plan. In the short term, the government may be forced to bail the utility out, but given that it faces its own debt sustainability issues, NAWEC will need to restructure its debt, develop a debt sustainability plan, and put in place a strong financial management and control system to avoid the situation repeating itself. A capital injection may be necessary.</w:t>
      </w:r>
    </w:p>
    <w:p w:rsidR="003B3B17" w:rsidRPr="00B06331" w:rsidRDefault="003B3B17" w:rsidP="004143E3">
      <w:pPr>
        <w:pStyle w:val="ListParagraph"/>
        <w:numPr>
          <w:ilvl w:val="0"/>
          <w:numId w:val="91"/>
        </w:numPr>
        <w:spacing w:after="0"/>
        <w:contextualSpacing w:val="0"/>
        <w:jc w:val="both"/>
        <w:rPr>
          <w:rFonts w:ascii="Avenir Book" w:hAnsi="Avenir Book"/>
          <w:szCs w:val="24"/>
        </w:rPr>
      </w:pPr>
      <w:r w:rsidRPr="00B06331">
        <w:rPr>
          <w:rFonts w:ascii="Avenir Book" w:hAnsi="Avenir Book"/>
          <w:szCs w:val="24"/>
        </w:rPr>
        <w:t xml:space="preserve">NAWEC is to apply for a tariff review </w:t>
      </w:r>
    </w:p>
    <w:p w:rsidR="003B3B17" w:rsidRPr="00B06331" w:rsidRDefault="003B3B17" w:rsidP="004143E3">
      <w:pPr>
        <w:pStyle w:val="ListParagraph"/>
        <w:numPr>
          <w:ilvl w:val="0"/>
          <w:numId w:val="91"/>
        </w:numPr>
        <w:spacing w:after="0"/>
        <w:contextualSpacing w:val="0"/>
        <w:jc w:val="both"/>
        <w:rPr>
          <w:rFonts w:ascii="Avenir Book" w:hAnsi="Avenir Book"/>
          <w:szCs w:val="24"/>
        </w:rPr>
      </w:pPr>
      <w:r w:rsidRPr="00B06331">
        <w:rPr>
          <w:rFonts w:ascii="Avenir Book" w:hAnsi="Avenir Book"/>
          <w:szCs w:val="24"/>
        </w:rPr>
        <w:t xml:space="preserve">GoTG is to initiate a Performance Contract between the State and NAWEC </w:t>
      </w:r>
    </w:p>
    <w:p w:rsidR="003B3B17" w:rsidRPr="00B06331" w:rsidRDefault="003B3B17" w:rsidP="004143E3">
      <w:pPr>
        <w:pStyle w:val="ListParagraph"/>
        <w:numPr>
          <w:ilvl w:val="0"/>
          <w:numId w:val="91"/>
        </w:numPr>
        <w:spacing w:after="0"/>
        <w:contextualSpacing w:val="0"/>
        <w:jc w:val="both"/>
        <w:rPr>
          <w:rFonts w:ascii="Avenir Book" w:hAnsi="Avenir Book"/>
          <w:szCs w:val="24"/>
        </w:rPr>
      </w:pPr>
      <w:r w:rsidRPr="00B06331">
        <w:rPr>
          <w:rFonts w:ascii="Avenir Book" w:hAnsi="Avenir Book"/>
          <w:szCs w:val="24"/>
        </w:rPr>
        <w:t xml:space="preserve">GoTG is to explore the possibility of an automatic pass through mechanism for fuel prices and exchange rate changes. </w:t>
      </w:r>
    </w:p>
    <w:p w:rsidR="003B3B17" w:rsidRPr="00B06331" w:rsidRDefault="003B3B17" w:rsidP="004143E3">
      <w:pPr>
        <w:pStyle w:val="ListParagraph"/>
        <w:numPr>
          <w:ilvl w:val="0"/>
          <w:numId w:val="91"/>
        </w:numPr>
        <w:spacing w:after="0"/>
        <w:contextualSpacing w:val="0"/>
        <w:jc w:val="both"/>
        <w:rPr>
          <w:rFonts w:ascii="Avenir Book" w:hAnsi="Avenir Book"/>
          <w:szCs w:val="24"/>
        </w:rPr>
      </w:pPr>
      <w:r w:rsidRPr="00B06331">
        <w:rPr>
          <w:rFonts w:ascii="Avenir Book" w:hAnsi="Avenir Book"/>
          <w:szCs w:val="24"/>
        </w:rPr>
        <w:t>GoTG is to ensure that Public Service Obligations are funded.</w:t>
      </w:r>
    </w:p>
    <w:p w:rsidR="003B3B17" w:rsidRPr="00B06331" w:rsidRDefault="003B3B17" w:rsidP="004143E3">
      <w:pPr>
        <w:pStyle w:val="ListParagraph"/>
        <w:numPr>
          <w:ilvl w:val="0"/>
          <w:numId w:val="89"/>
        </w:numPr>
        <w:spacing w:after="0"/>
        <w:jc w:val="both"/>
        <w:rPr>
          <w:rFonts w:ascii="Avenir Book" w:hAnsi="Avenir Book"/>
          <w:szCs w:val="24"/>
        </w:rPr>
      </w:pPr>
      <w:r w:rsidRPr="00B06331">
        <w:rPr>
          <w:rFonts w:ascii="Avenir Book" w:hAnsi="Avenir Book"/>
          <w:szCs w:val="24"/>
        </w:rPr>
        <w:t xml:space="preserve">Operational Competence: in parallel, it is critical to improve the management of NAWEC, a major focus of the current World Bank project (GESP). The project will finance a service contractor to provide advisory support to the key management functions (finance, commercial, technical etc.). The service contractor will also implement a revenue protection plan, design a new IT system for finance (commercial and HR), and support the separation of accounts for the various service lines (Electricity, water, sewerage). As mentioned above, a Performance Contract may also be introduced between the State and NAWEC to enhance the operational performance of NAWEC. </w:t>
      </w:r>
    </w:p>
    <w:p w:rsidR="003B3B17" w:rsidRPr="00B06331" w:rsidRDefault="003B3B17" w:rsidP="003B3B17">
      <w:pPr>
        <w:pStyle w:val="ListParagraph"/>
        <w:spacing w:after="0"/>
        <w:ind w:left="360"/>
        <w:jc w:val="both"/>
        <w:rPr>
          <w:rFonts w:ascii="Avenir Book" w:hAnsi="Avenir Book"/>
          <w:szCs w:val="24"/>
        </w:rPr>
      </w:pPr>
    </w:p>
    <w:p w:rsidR="003B3B17" w:rsidRPr="00B06331" w:rsidRDefault="003B3B17" w:rsidP="004143E3">
      <w:pPr>
        <w:pStyle w:val="ListParagraph"/>
        <w:numPr>
          <w:ilvl w:val="0"/>
          <w:numId w:val="89"/>
        </w:numPr>
        <w:spacing w:after="0"/>
        <w:jc w:val="both"/>
        <w:rPr>
          <w:rFonts w:ascii="Avenir Book" w:hAnsi="Avenir Book"/>
          <w:szCs w:val="24"/>
        </w:rPr>
      </w:pPr>
      <w:r w:rsidRPr="00B06331">
        <w:rPr>
          <w:rFonts w:ascii="Avenir Book" w:hAnsi="Avenir Book"/>
          <w:szCs w:val="24"/>
        </w:rPr>
        <w:t xml:space="preserve">Security of Supply: In the medium to long term, the OMVG regional interconnection project is a potential game changer for The Gambia, enabling the import of reliable low cost clean energy (hydro) from Guinea at a cost of around $0.12/kWh compared to current generation costs in excess of $0.30/KWh. Hydro plants in Guinea include Kaleta (240MW of which 14MW is reserved for The Gambia, commissioned in 2015) and Souapiti (500MW of which 50MW is reserved for The Gambia, construction started in 2016 with completion expected by 2023). OMVG have agreed term sheets for the agreed shares of electricity. Power Purchase Agreements (PPAs) will be signed when construction of OMVG line is complete and final construction costs are known. Construction of the OMVG line is expected to start 2017 and should be completed in 2020. The project involves four countries (Senegal, The Gambia, Guinea, and Guinea Bissau) and eight donors to construct a 1600km 220kV transmission loop. </w:t>
      </w:r>
    </w:p>
    <w:p w:rsidR="003B3B17" w:rsidRPr="00B06331" w:rsidRDefault="003B3B17" w:rsidP="003B3B17">
      <w:pPr>
        <w:pStyle w:val="ListParagraph"/>
        <w:spacing w:after="0"/>
        <w:ind w:left="360"/>
        <w:rPr>
          <w:rFonts w:ascii="Avenir Book" w:hAnsi="Avenir Book"/>
          <w:szCs w:val="24"/>
        </w:rPr>
      </w:pPr>
    </w:p>
    <w:p w:rsidR="003B3B17" w:rsidRPr="00B06331" w:rsidRDefault="003B3B17" w:rsidP="004143E3">
      <w:pPr>
        <w:pStyle w:val="ListParagraph"/>
        <w:numPr>
          <w:ilvl w:val="0"/>
          <w:numId w:val="89"/>
        </w:numPr>
        <w:spacing w:after="0"/>
        <w:jc w:val="both"/>
        <w:rPr>
          <w:rFonts w:ascii="Avenir Book" w:hAnsi="Avenir Book"/>
          <w:szCs w:val="24"/>
        </w:rPr>
      </w:pPr>
      <w:r w:rsidRPr="00B06331">
        <w:rPr>
          <w:rFonts w:ascii="Avenir Book" w:hAnsi="Avenir Book"/>
          <w:szCs w:val="24"/>
        </w:rPr>
        <w:lastRenderedPageBreak/>
        <w:t>Energy Access: OMVG will also provide substantial opportunities for rural electrification by providing a transmission backbone throughout the country and several 220kV / 30 kV substations which can be used for grid extension. In addition, there are several opportunities for rural electrification through pipeline projects. However, a national electrification plan is still needed.</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b/>
          <w:color w:val="7030A0"/>
          <w:szCs w:val="24"/>
        </w:rPr>
      </w:pPr>
      <w:r w:rsidRPr="00B06331">
        <w:rPr>
          <w:rFonts w:ascii="Avenir Book" w:hAnsi="Avenir Book"/>
          <w:b/>
          <w:color w:val="7030A0"/>
          <w:szCs w:val="24"/>
        </w:rPr>
        <w:t>Overview of the Electricity Road Map</w:t>
      </w:r>
    </w:p>
    <w:p w:rsidR="003B3B17" w:rsidRPr="00B06331" w:rsidRDefault="003B3B17" w:rsidP="003B3B17">
      <w:pPr>
        <w:pStyle w:val="ListParagraph"/>
        <w:spacing w:after="0"/>
        <w:ind w:left="0"/>
        <w:jc w:val="both"/>
        <w:rPr>
          <w:rFonts w:ascii="Avenir Book" w:hAnsi="Avenir Book"/>
          <w:szCs w:val="24"/>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An electricity roadmap has been agreed by stakeholders spanning three phases. The first phase aims to minimize disruptions and blackouts on the network and restore the GBA generation to at least 70MW of available capacity by the end of 2017, and kick off preparation for the first IPP. The second phase (2018-20) includes closing the generation gap and investments T&amp;D, as well as commissioning the first IPPs. The third phase aims to scale generation to 250MW of available capacity by 2025 and expand access. These phases are summarized in the Figure 3.16 below. </w:t>
      </w:r>
    </w:p>
    <w:p w:rsidR="003B3B17" w:rsidRPr="00B06331" w:rsidRDefault="003B3B17" w:rsidP="003B3B17">
      <w:pPr>
        <w:pStyle w:val="ListParagraph"/>
        <w:spacing w:after="0" w:line="240" w:lineRule="auto"/>
        <w:ind w:left="0"/>
        <w:jc w:val="both"/>
        <w:rPr>
          <w:rFonts w:cs="Calibri"/>
        </w:rPr>
      </w:pPr>
    </w:p>
    <w:p w:rsidR="003B3B17" w:rsidRPr="00B06331" w:rsidRDefault="003B3B17" w:rsidP="003B3B17">
      <w:pPr>
        <w:pStyle w:val="ListParagraph"/>
        <w:spacing w:after="0" w:line="240" w:lineRule="auto"/>
        <w:ind w:left="0"/>
        <w:jc w:val="both"/>
        <w:rPr>
          <w:rFonts w:cs="Calibri"/>
        </w:rPr>
      </w:pPr>
    </w:p>
    <w:p w:rsidR="003B3B17" w:rsidRPr="00B06331" w:rsidRDefault="003B3B17" w:rsidP="003B3B17">
      <w:pPr>
        <w:pStyle w:val="Caption"/>
        <w:jc w:val="center"/>
        <w:rPr>
          <w:rFonts w:cs="Calibri"/>
          <w:color w:val="auto"/>
        </w:rPr>
      </w:pPr>
      <w:bookmarkStart w:id="77" w:name="_Toc486844824"/>
      <w:r w:rsidRPr="00B06331">
        <w:rPr>
          <w:color w:val="auto"/>
          <w:sz w:val="22"/>
          <w:szCs w:val="22"/>
        </w:rPr>
        <w:t xml:space="preserve">Figure </w:t>
      </w:r>
      <w:r w:rsidR="004D2867" w:rsidRPr="00B06331">
        <w:rPr>
          <w:color w:val="auto"/>
          <w:sz w:val="22"/>
          <w:szCs w:val="22"/>
        </w:rPr>
        <w:t>3.14</w:t>
      </w:r>
      <w:r w:rsidRPr="00B06331">
        <w:rPr>
          <w:rFonts w:cs="Calibri"/>
          <w:color w:val="auto"/>
          <w:sz w:val="22"/>
          <w:szCs w:val="22"/>
        </w:rPr>
        <w:t>: Roadmap Objectives</w:t>
      </w:r>
      <w:r w:rsidRPr="00B06331">
        <w:rPr>
          <w:rFonts w:cs="Calibri"/>
          <w:noProof/>
          <w:color w:val="auto"/>
        </w:rPr>
        <w:drawing>
          <wp:inline distT="0" distB="0" distL="0" distR="0">
            <wp:extent cx="5939155"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2838450"/>
                    </a:xfrm>
                    <a:prstGeom prst="rect">
                      <a:avLst/>
                    </a:prstGeom>
                    <a:noFill/>
                    <a:ln>
                      <a:noFill/>
                    </a:ln>
                  </pic:spPr>
                </pic:pic>
              </a:graphicData>
            </a:graphic>
          </wp:inline>
        </w:drawing>
      </w:r>
      <w:bookmarkEnd w:id="77"/>
    </w:p>
    <w:p w:rsidR="003B3B17" w:rsidRPr="00B06331" w:rsidRDefault="003B3B17" w:rsidP="003B3B17">
      <w:pPr>
        <w:pStyle w:val="ListParagraph"/>
        <w:spacing w:after="0" w:line="240" w:lineRule="auto"/>
        <w:ind w:left="0"/>
        <w:jc w:val="both"/>
        <w:rPr>
          <w:rFonts w:cs="Calibri"/>
        </w:rPr>
      </w:pPr>
    </w:p>
    <w:p w:rsidR="003B3B17" w:rsidRPr="00B06331" w:rsidRDefault="003B3B17" w:rsidP="003B3B17">
      <w:pPr>
        <w:pStyle w:val="ListParagraph"/>
        <w:spacing w:after="0"/>
        <w:ind w:left="0"/>
        <w:jc w:val="both"/>
        <w:rPr>
          <w:rFonts w:ascii="Avenir Book" w:hAnsi="Avenir Book"/>
          <w:szCs w:val="24"/>
        </w:rPr>
      </w:pPr>
      <w:r w:rsidRPr="00B06331">
        <w:rPr>
          <w:rFonts w:ascii="Avenir Book" w:hAnsi="Avenir Book"/>
          <w:szCs w:val="24"/>
        </w:rPr>
        <w:t xml:space="preserve">Total investment in the sector is estimated at over $500 million through to 2025. Of this, $189 million is expected to come from the private sector through IPPs, and $334 million from the public sector. Of the public-sector investments, $157 million is already committed or in the pipeline, leaving a gap of $177 million in T&amp;D and access. Table </w:t>
      </w:r>
      <w:r w:rsidR="003F329B" w:rsidRPr="00B06331">
        <w:rPr>
          <w:rFonts w:ascii="Avenir Book" w:hAnsi="Avenir Book"/>
          <w:szCs w:val="24"/>
        </w:rPr>
        <w:t>3.13</w:t>
      </w:r>
      <w:r w:rsidRPr="00B06331">
        <w:rPr>
          <w:rFonts w:ascii="Avenir Book" w:hAnsi="Avenir Book"/>
          <w:szCs w:val="24"/>
        </w:rPr>
        <w:t xml:space="preserve"> summarizes the investment needs. </w:t>
      </w:r>
    </w:p>
    <w:p w:rsidR="003B3B17" w:rsidRPr="00B06331" w:rsidRDefault="003B3B17" w:rsidP="003B3B17">
      <w:pPr>
        <w:pStyle w:val="ListParagraph"/>
        <w:spacing w:after="0"/>
        <w:rPr>
          <w:rFonts w:ascii="Avenir Book" w:hAnsi="Avenir Book"/>
          <w:szCs w:val="24"/>
        </w:rPr>
      </w:pPr>
    </w:p>
    <w:tbl>
      <w:tblPr>
        <w:tblStyle w:val="GridTable4-Accent12"/>
        <w:tblW w:w="9187" w:type="dxa"/>
        <w:tblLook w:val="04A0"/>
      </w:tblPr>
      <w:tblGrid>
        <w:gridCol w:w="1993"/>
        <w:gridCol w:w="1753"/>
        <w:gridCol w:w="1173"/>
        <w:gridCol w:w="1046"/>
        <w:gridCol w:w="1719"/>
        <w:gridCol w:w="1503"/>
      </w:tblGrid>
      <w:tr w:rsidR="003B3B17" w:rsidRPr="00B06331" w:rsidTr="003B3B17">
        <w:trPr>
          <w:cnfStyle w:val="100000000000"/>
          <w:trHeight w:val="386"/>
        </w:trPr>
        <w:tc>
          <w:tcPr>
            <w:cnfStyle w:val="001000000000"/>
            <w:tcW w:w="9187" w:type="dxa"/>
            <w:gridSpan w:val="6"/>
          </w:tcPr>
          <w:p w:rsidR="003B3B17" w:rsidRPr="00B06331" w:rsidRDefault="002615E7" w:rsidP="003B3B17">
            <w:pPr>
              <w:spacing w:before="100" w:beforeAutospacing="1" w:afterAutospacing="1"/>
              <w:jc w:val="center"/>
              <w:textAlignment w:val="bottom"/>
              <w:rPr>
                <w:rFonts w:ascii="Avenir Book" w:hAnsi="Avenir Book"/>
                <w:szCs w:val="24"/>
              </w:rPr>
            </w:pPr>
            <w:bookmarkStart w:id="78" w:name="_Toc486844851"/>
            <w:r w:rsidRPr="00B06331">
              <w:rPr>
                <w:rFonts w:ascii="Avenir Book" w:hAnsi="Avenir Book"/>
                <w:szCs w:val="24"/>
              </w:rPr>
              <w:t>Table 3.13</w:t>
            </w:r>
            <w:r w:rsidR="003B3B17" w:rsidRPr="00B06331">
              <w:rPr>
                <w:rFonts w:ascii="Avenir Book" w:hAnsi="Avenir Book"/>
                <w:szCs w:val="24"/>
              </w:rPr>
              <w:t>: Overview of estimated investment needs in the electricity sector (US$m)</w:t>
            </w:r>
            <w:bookmarkEnd w:id="78"/>
          </w:p>
        </w:tc>
      </w:tr>
      <w:tr w:rsidR="003B3B17" w:rsidRPr="00B06331" w:rsidTr="003B3B17">
        <w:trPr>
          <w:cnfStyle w:val="000000100000"/>
          <w:trHeight w:val="707"/>
        </w:trPr>
        <w:tc>
          <w:tcPr>
            <w:cnfStyle w:val="001000000000"/>
            <w:tcW w:w="1993" w:type="dxa"/>
            <w:hideMark/>
          </w:tcPr>
          <w:p w:rsidR="003B3B17" w:rsidRPr="00B06331" w:rsidRDefault="003B3B17" w:rsidP="003B3B17">
            <w:pPr>
              <w:spacing w:before="100" w:beforeAutospacing="1" w:afterAutospacing="1"/>
              <w:rPr>
                <w:rFonts w:eastAsia="Times New Roman" w:cs="Calibri"/>
              </w:rPr>
            </w:pPr>
          </w:p>
        </w:tc>
        <w:tc>
          <w:tcPr>
            <w:tcW w:w="175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Total investment needed by 2025</w:t>
            </w:r>
          </w:p>
        </w:tc>
        <w:tc>
          <w:tcPr>
            <w:tcW w:w="117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Of which private</w:t>
            </w:r>
          </w:p>
        </w:tc>
        <w:tc>
          <w:tcPr>
            <w:tcW w:w="1046"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Of which public</w:t>
            </w:r>
          </w:p>
        </w:tc>
        <w:tc>
          <w:tcPr>
            <w:tcW w:w="1719"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Public – already committed or pipeline</w:t>
            </w:r>
          </w:p>
        </w:tc>
        <w:tc>
          <w:tcPr>
            <w:tcW w:w="150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b/>
                <w:bCs/>
                <w:kern w:val="24"/>
              </w:rPr>
              <w:t xml:space="preserve">Public financing gap </w:t>
            </w:r>
          </w:p>
        </w:tc>
      </w:tr>
      <w:tr w:rsidR="003B3B17" w:rsidRPr="00B06331" w:rsidTr="003B3B17">
        <w:trPr>
          <w:trHeight w:val="311"/>
        </w:trPr>
        <w:tc>
          <w:tcPr>
            <w:cnfStyle w:val="001000000000"/>
            <w:tcW w:w="1993" w:type="dxa"/>
            <w:hideMark/>
          </w:tcPr>
          <w:p w:rsidR="003B3B17" w:rsidRPr="00B06331" w:rsidRDefault="003B3B17" w:rsidP="003B3B17">
            <w:pPr>
              <w:spacing w:before="100" w:beforeAutospacing="1" w:afterAutospacing="1"/>
              <w:textAlignment w:val="bottom"/>
              <w:rPr>
                <w:rFonts w:eastAsia="Times New Roman" w:cs="Calibri"/>
                <w:i/>
              </w:rPr>
            </w:pPr>
            <w:r w:rsidRPr="00B06331">
              <w:rPr>
                <w:rFonts w:eastAsia="Times New Roman" w:cs="Calibri"/>
                <w:kern w:val="24"/>
              </w:rPr>
              <w:lastRenderedPageBreak/>
              <w:t>Generation</w:t>
            </w:r>
          </w:p>
        </w:tc>
        <w:tc>
          <w:tcPr>
            <w:tcW w:w="1753"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$258 </w:t>
            </w:r>
          </w:p>
        </w:tc>
        <w:tc>
          <w:tcPr>
            <w:tcW w:w="1173"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$189 </w:t>
            </w:r>
          </w:p>
        </w:tc>
        <w:tc>
          <w:tcPr>
            <w:tcW w:w="1046"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$69 </w:t>
            </w:r>
          </w:p>
        </w:tc>
        <w:tc>
          <w:tcPr>
            <w:tcW w:w="1719"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$69 </w:t>
            </w:r>
          </w:p>
        </w:tc>
        <w:tc>
          <w:tcPr>
            <w:tcW w:w="1503"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$0 </w:t>
            </w:r>
          </w:p>
        </w:tc>
      </w:tr>
      <w:tr w:rsidR="003B3B17" w:rsidRPr="00B06331" w:rsidTr="003B3B17">
        <w:trPr>
          <w:cnfStyle w:val="000000100000"/>
          <w:trHeight w:val="700"/>
        </w:trPr>
        <w:tc>
          <w:tcPr>
            <w:cnfStyle w:val="001000000000"/>
            <w:tcW w:w="1993" w:type="dxa"/>
            <w:hideMark/>
          </w:tcPr>
          <w:p w:rsidR="003B3B17" w:rsidRPr="00B06331" w:rsidRDefault="003B3B17" w:rsidP="003B3B17">
            <w:pPr>
              <w:spacing w:before="100" w:beforeAutospacing="1" w:afterAutospacing="1"/>
              <w:textAlignment w:val="bottom"/>
              <w:rPr>
                <w:rFonts w:eastAsia="Times New Roman" w:cs="Calibri"/>
                <w:i/>
              </w:rPr>
            </w:pPr>
            <w:r w:rsidRPr="00B06331">
              <w:rPr>
                <w:rFonts w:eastAsia="Times New Roman" w:cs="Calibri"/>
                <w:kern w:val="24"/>
              </w:rPr>
              <w:t>Transmission &amp; distribution (down to 1kV)</w:t>
            </w:r>
          </w:p>
        </w:tc>
        <w:tc>
          <w:tcPr>
            <w:tcW w:w="175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 xml:space="preserve">$133 </w:t>
            </w:r>
          </w:p>
        </w:tc>
        <w:tc>
          <w:tcPr>
            <w:tcW w:w="117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 xml:space="preserve">$0 </w:t>
            </w:r>
          </w:p>
        </w:tc>
        <w:tc>
          <w:tcPr>
            <w:tcW w:w="1046"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 xml:space="preserve">$133 </w:t>
            </w:r>
          </w:p>
        </w:tc>
        <w:tc>
          <w:tcPr>
            <w:tcW w:w="1719"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 xml:space="preserve">$58 </w:t>
            </w:r>
          </w:p>
        </w:tc>
        <w:tc>
          <w:tcPr>
            <w:tcW w:w="150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kern w:val="24"/>
              </w:rPr>
              <w:t xml:space="preserve">$75 </w:t>
            </w:r>
          </w:p>
        </w:tc>
      </w:tr>
      <w:tr w:rsidR="003B3B17" w:rsidRPr="00B06331" w:rsidTr="003B3B17">
        <w:trPr>
          <w:trHeight w:val="468"/>
        </w:trPr>
        <w:tc>
          <w:tcPr>
            <w:cnfStyle w:val="001000000000"/>
            <w:tcW w:w="1993" w:type="dxa"/>
            <w:hideMark/>
          </w:tcPr>
          <w:p w:rsidR="003B3B17" w:rsidRPr="00B06331" w:rsidRDefault="003B3B17" w:rsidP="003B3B17">
            <w:pPr>
              <w:spacing w:before="100" w:beforeAutospacing="1" w:afterAutospacing="1"/>
              <w:textAlignment w:val="bottom"/>
              <w:rPr>
                <w:rFonts w:eastAsia="Times New Roman" w:cs="Calibri"/>
                <w:i/>
              </w:rPr>
            </w:pPr>
            <w:r w:rsidRPr="00B06331">
              <w:rPr>
                <w:rFonts w:eastAsia="Times New Roman" w:cs="Calibri"/>
                <w:kern w:val="24"/>
              </w:rPr>
              <w:t xml:space="preserve">Access (1kV and below)* </w:t>
            </w:r>
          </w:p>
        </w:tc>
        <w:tc>
          <w:tcPr>
            <w:tcW w:w="1753"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$132 </w:t>
            </w:r>
          </w:p>
        </w:tc>
        <w:tc>
          <w:tcPr>
            <w:tcW w:w="1173"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$0 </w:t>
            </w:r>
          </w:p>
        </w:tc>
        <w:tc>
          <w:tcPr>
            <w:tcW w:w="1046"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$132 </w:t>
            </w:r>
          </w:p>
        </w:tc>
        <w:tc>
          <w:tcPr>
            <w:tcW w:w="1719"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$30 </w:t>
            </w:r>
          </w:p>
        </w:tc>
        <w:tc>
          <w:tcPr>
            <w:tcW w:w="1503" w:type="dxa"/>
            <w:hideMark/>
          </w:tcPr>
          <w:p w:rsidR="003B3B17" w:rsidRPr="00B06331" w:rsidRDefault="003B3B17" w:rsidP="003B3B17">
            <w:pPr>
              <w:spacing w:before="100" w:beforeAutospacing="1" w:afterAutospacing="1"/>
              <w:jc w:val="center"/>
              <w:textAlignment w:val="bottom"/>
              <w:cnfStyle w:val="000000000000"/>
              <w:rPr>
                <w:rFonts w:cs="Calibri"/>
              </w:rPr>
            </w:pPr>
            <w:r w:rsidRPr="00B06331">
              <w:rPr>
                <w:rFonts w:cs="Calibri"/>
                <w:kern w:val="24"/>
              </w:rPr>
              <w:t xml:space="preserve">$102 </w:t>
            </w:r>
          </w:p>
        </w:tc>
      </w:tr>
      <w:tr w:rsidR="003B3B17" w:rsidRPr="00B06331" w:rsidTr="003B3B17">
        <w:trPr>
          <w:cnfStyle w:val="000000100000"/>
          <w:trHeight w:val="311"/>
        </w:trPr>
        <w:tc>
          <w:tcPr>
            <w:cnfStyle w:val="001000000000"/>
            <w:tcW w:w="1993" w:type="dxa"/>
            <w:hideMark/>
          </w:tcPr>
          <w:p w:rsidR="003B3B17" w:rsidRPr="00B06331" w:rsidRDefault="003B3B17" w:rsidP="003B3B17">
            <w:pPr>
              <w:spacing w:before="100" w:beforeAutospacing="1" w:afterAutospacing="1"/>
              <w:textAlignment w:val="bottom"/>
              <w:rPr>
                <w:rFonts w:eastAsia="Times New Roman" w:cs="Calibri"/>
                <w:i/>
              </w:rPr>
            </w:pPr>
            <w:r w:rsidRPr="00B06331">
              <w:rPr>
                <w:rFonts w:eastAsia="Times New Roman" w:cs="Calibri"/>
                <w:b w:val="0"/>
                <w:bCs w:val="0"/>
                <w:kern w:val="24"/>
              </w:rPr>
              <w:t>Total</w:t>
            </w:r>
          </w:p>
        </w:tc>
        <w:tc>
          <w:tcPr>
            <w:tcW w:w="175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b/>
                <w:bCs/>
                <w:kern w:val="24"/>
              </w:rPr>
              <w:t xml:space="preserve">$523 </w:t>
            </w:r>
          </w:p>
        </w:tc>
        <w:tc>
          <w:tcPr>
            <w:tcW w:w="117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b/>
                <w:bCs/>
                <w:kern w:val="24"/>
              </w:rPr>
              <w:t xml:space="preserve">$189 </w:t>
            </w:r>
          </w:p>
        </w:tc>
        <w:tc>
          <w:tcPr>
            <w:tcW w:w="1046"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b/>
                <w:bCs/>
                <w:kern w:val="24"/>
              </w:rPr>
              <w:t xml:space="preserve">$334 </w:t>
            </w:r>
          </w:p>
        </w:tc>
        <w:tc>
          <w:tcPr>
            <w:tcW w:w="1719"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b/>
                <w:bCs/>
                <w:kern w:val="24"/>
              </w:rPr>
              <w:t xml:space="preserve">$157 </w:t>
            </w:r>
          </w:p>
        </w:tc>
        <w:tc>
          <w:tcPr>
            <w:tcW w:w="1503" w:type="dxa"/>
            <w:hideMark/>
          </w:tcPr>
          <w:p w:rsidR="003B3B17" w:rsidRPr="00B06331" w:rsidRDefault="003B3B17" w:rsidP="003B3B17">
            <w:pPr>
              <w:spacing w:before="100" w:beforeAutospacing="1" w:afterAutospacing="1"/>
              <w:jc w:val="center"/>
              <w:textAlignment w:val="bottom"/>
              <w:cnfStyle w:val="000000100000"/>
              <w:rPr>
                <w:rFonts w:cs="Calibri"/>
              </w:rPr>
            </w:pPr>
            <w:r w:rsidRPr="00B06331">
              <w:rPr>
                <w:rFonts w:cs="Calibri"/>
                <w:b/>
                <w:bCs/>
                <w:kern w:val="24"/>
              </w:rPr>
              <w:t xml:space="preserve">$177 </w:t>
            </w:r>
          </w:p>
        </w:tc>
      </w:tr>
      <w:tr w:rsidR="003B3B17" w:rsidRPr="00B06331" w:rsidTr="003B3B17">
        <w:trPr>
          <w:trHeight w:val="549"/>
        </w:trPr>
        <w:tc>
          <w:tcPr>
            <w:cnfStyle w:val="001000000000"/>
            <w:tcW w:w="9187" w:type="dxa"/>
            <w:gridSpan w:val="6"/>
          </w:tcPr>
          <w:p w:rsidR="003B3B17" w:rsidRPr="00B06331" w:rsidRDefault="003B3B17" w:rsidP="003B3B17">
            <w:pPr>
              <w:spacing w:before="100" w:beforeAutospacing="1" w:afterAutospacing="1"/>
              <w:textAlignment w:val="bottom"/>
              <w:rPr>
                <w:rFonts w:eastAsia="Times New Roman" w:cs="Calibri"/>
                <w:bCs w:val="0"/>
                <w:kern w:val="24"/>
                <w:szCs w:val="18"/>
              </w:rPr>
            </w:pPr>
            <w:r w:rsidRPr="00B06331">
              <w:rPr>
                <w:rFonts w:eastAsia="Times New Roman" w:cs="Calibri"/>
                <w:bCs w:val="0"/>
                <w:kern w:val="24"/>
                <w:szCs w:val="18"/>
              </w:rPr>
              <w:t>* Indicative estimate</w:t>
            </w:r>
          </w:p>
        </w:tc>
      </w:tr>
    </w:tbl>
    <w:p w:rsidR="003B3B17" w:rsidRPr="00B06331" w:rsidRDefault="003B3B17" w:rsidP="003B3B17">
      <w:pPr>
        <w:pStyle w:val="ListParagraph"/>
        <w:spacing w:after="0" w:line="240" w:lineRule="auto"/>
        <w:ind w:left="0"/>
        <w:jc w:val="both"/>
        <w:rPr>
          <w:rFonts w:ascii="Avenir Book" w:eastAsia="Cambria" w:hAnsi="Avenir Book"/>
          <w:b/>
          <w:color w:val="7030A0"/>
          <w:szCs w:val="24"/>
        </w:rPr>
      </w:pPr>
    </w:p>
    <w:p w:rsidR="003B3B17" w:rsidRPr="00B06331" w:rsidRDefault="003B3B17" w:rsidP="003B3B17">
      <w:pPr>
        <w:pStyle w:val="ListParagraph"/>
        <w:spacing w:after="0" w:line="240" w:lineRule="auto"/>
        <w:ind w:left="0"/>
        <w:jc w:val="both"/>
        <w:rPr>
          <w:rFonts w:ascii="Avenir Book" w:eastAsia="Cambria" w:hAnsi="Avenir Book"/>
          <w:b/>
          <w:color w:val="7030A0"/>
          <w:szCs w:val="24"/>
        </w:rPr>
      </w:pPr>
      <w:r w:rsidRPr="00B06331">
        <w:rPr>
          <w:rFonts w:ascii="Avenir Book" w:eastAsia="Cambria" w:hAnsi="Avenir Book"/>
          <w:b/>
          <w:color w:val="7030A0"/>
          <w:szCs w:val="24"/>
        </w:rPr>
        <w:t>Renewable Energy</w:t>
      </w:r>
    </w:p>
    <w:p w:rsidR="003B3B17" w:rsidRPr="00B06331" w:rsidRDefault="003B3B17" w:rsidP="003B3B17">
      <w:pPr>
        <w:spacing w:before="120" w:after="120"/>
        <w:jc w:val="both"/>
        <w:rPr>
          <w:rFonts w:ascii="Avenir Book" w:eastAsia="Cambria" w:hAnsi="Avenir Book"/>
          <w:szCs w:val="24"/>
        </w:rPr>
      </w:pPr>
      <w:r w:rsidRPr="00B06331">
        <w:rPr>
          <w:rFonts w:ascii="Avenir Book" w:eastAsia="Cambria" w:hAnsi="Avenir Book"/>
          <w:szCs w:val="24"/>
        </w:rPr>
        <w:t xml:space="preserve">Renewable energy represents an area of tremendous opportunity for The Gambia. Renewable energy has a long history in The Gambia and solar energy is the predominant source – particularly Solar PV, which was first used for rural lighting and telecommunications facilities in the early 1980s. However, it is for rural water pumping that solar PV has had a major impact. More than 2MW of PV has been installed through various government and donor funded projects to provide water to rural and isolated communities. The results are impressive with more than 90% of these populations having access to clean drinking water. It is also gaining popularity in the tourism industry where many hotels have now installed stand-alone or grid connected solar technologies. Small wind systems are also being successfully implemented along the coastline. </w:t>
      </w:r>
    </w:p>
    <w:p w:rsidR="003B3B17" w:rsidRPr="00B06331" w:rsidRDefault="003B3B17" w:rsidP="003B3B17">
      <w:pPr>
        <w:spacing w:before="120" w:after="120"/>
        <w:jc w:val="both"/>
        <w:rPr>
          <w:rFonts w:ascii="Avenir Book" w:eastAsia="Cambria" w:hAnsi="Avenir Book"/>
          <w:szCs w:val="24"/>
        </w:rPr>
      </w:pPr>
      <w:r w:rsidRPr="00B06331">
        <w:rPr>
          <w:rFonts w:ascii="Avenir Book" w:eastAsia="Cambria" w:hAnsi="Avenir Book"/>
          <w:szCs w:val="24"/>
        </w:rPr>
        <w:t>The resources for generating renewable energy vary by region depending on location or environment. This makes access to renewable energy location site specific. The average annual solar insolation for The Gambia is 4.5-5.3 kWh/m2-day, which represents a high generating potential for the country with moderate wind conditions (below 4.0 m/s at 30 m height) all over the country. In December 2013, the government passed the Renewable Energy (RE) Act whose key policy priority is aimed at providing reasonable incentives and facilitation to promote private sector investment in electricity-generation projects. In the medium to long term, the budding OMVG regional interconnection project is a potential game changer for The Gambia, enabling the import of reliable low cost clean energy (hydro) from Guinea at a cost of less than half the price of current generation costs.</w:t>
      </w:r>
    </w:p>
    <w:p w:rsidR="003B3B17" w:rsidRPr="00B06331" w:rsidRDefault="003B3B17" w:rsidP="003B3B17">
      <w:pPr>
        <w:spacing w:before="120" w:after="120"/>
        <w:jc w:val="both"/>
        <w:rPr>
          <w:rFonts w:ascii="Avenir Book" w:eastAsia="Cambria" w:hAnsi="Avenir Book"/>
          <w:szCs w:val="24"/>
        </w:rPr>
      </w:pPr>
      <w:r w:rsidRPr="00B06331">
        <w:rPr>
          <w:rFonts w:ascii="Avenir Book" w:eastAsia="Cambria" w:hAnsi="Avenir Book"/>
          <w:szCs w:val="24"/>
        </w:rPr>
        <w:t>Like all petroleum products, LPG is imported and is sold in different sized cylinders. It is used by affluent urban households and the tourism industry. Access to LPG continues to be hindered by high cost to obtain cylinders and high refill costs. Foreign exchange fluctuations have also impacted on gas pricing and market contraction.</w:t>
      </w:r>
    </w:p>
    <w:p w:rsidR="003B3B17" w:rsidRPr="00B06331" w:rsidRDefault="003B3B17" w:rsidP="003B3B17">
      <w:pPr>
        <w:spacing w:before="120" w:after="120"/>
        <w:jc w:val="both"/>
        <w:rPr>
          <w:rFonts w:ascii="Avenir Book" w:eastAsia="Cambria" w:hAnsi="Avenir Book"/>
          <w:szCs w:val="24"/>
        </w:rPr>
      </w:pPr>
      <w:r w:rsidRPr="00B06331">
        <w:rPr>
          <w:rFonts w:ascii="Avenir Book" w:eastAsia="Cambria" w:hAnsi="Avenir Book"/>
          <w:szCs w:val="24"/>
        </w:rPr>
        <w:t xml:space="preserve">There is an urgent need to reduce waste and increase energy conservation. Energy Efficiency (EE) combined with Renewable Energy can achieve very desirable results in improving energy access in The Gambia. </w:t>
      </w:r>
    </w:p>
    <w:p w:rsidR="003B3B17" w:rsidRPr="00B06331" w:rsidRDefault="003B3B17" w:rsidP="003B3B17">
      <w:pPr>
        <w:pStyle w:val="ListParagraph"/>
        <w:spacing w:after="0" w:line="240" w:lineRule="auto"/>
        <w:ind w:left="0"/>
        <w:jc w:val="both"/>
        <w:rPr>
          <w:rFonts w:cs="Calibri"/>
          <w:b/>
        </w:rPr>
      </w:pPr>
    </w:p>
    <w:p w:rsidR="003B3B17" w:rsidRPr="00B06331" w:rsidRDefault="003B3B17" w:rsidP="003B3B17">
      <w:pPr>
        <w:pStyle w:val="ListParagraph"/>
        <w:spacing w:after="0" w:line="240" w:lineRule="auto"/>
        <w:ind w:left="0"/>
        <w:jc w:val="both"/>
        <w:rPr>
          <w:rFonts w:ascii="Avenir Book" w:eastAsia="Cambria" w:hAnsi="Avenir Book"/>
          <w:b/>
          <w:color w:val="7030A0"/>
          <w:szCs w:val="24"/>
        </w:rPr>
      </w:pPr>
      <w:r w:rsidRPr="00B06331">
        <w:rPr>
          <w:rFonts w:ascii="Avenir Book" w:eastAsia="Cambria" w:hAnsi="Avenir Book"/>
          <w:b/>
          <w:color w:val="7030A0"/>
          <w:szCs w:val="24"/>
        </w:rPr>
        <w:t xml:space="preserve">Petroleum Products </w:t>
      </w:r>
    </w:p>
    <w:p w:rsidR="003B3B17" w:rsidRPr="00B06331" w:rsidRDefault="003B3B17" w:rsidP="003B3B17">
      <w:pPr>
        <w:pStyle w:val="ListParagraph"/>
        <w:tabs>
          <w:tab w:val="left" w:pos="720"/>
        </w:tabs>
        <w:spacing w:before="120" w:after="120"/>
        <w:ind w:left="0"/>
        <w:jc w:val="both"/>
        <w:rPr>
          <w:rFonts w:ascii="Avenir Book" w:eastAsia="Cambria" w:hAnsi="Avenir Book"/>
          <w:szCs w:val="24"/>
        </w:rPr>
      </w:pPr>
    </w:p>
    <w:p w:rsidR="003B3B17" w:rsidRPr="00B06331" w:rsidRDefault="003B3B17" w:rsidP="003B3B17">
      <w:pPr>
        <w:pStyle w:val="ListParagraph"/>
        <w:tabs>
          <w:tab w:val="left" w:pos="720"/>
        </w:tabs>
        <w:spacing w:before="120" w:after="120"/>
        <w:ind w:left="0"/>
        <w:jc w:val="both"/>
        <w:rPr>
          <w:rFonts w:ascii="Avenir Book" w:eastAsia="Cambria" w:hAnsi="Avenir Book"/>
          <w:szCs w:val="24"/>
        </w:rPr>
      </w:pPr>
      <w:r w:rsidRPr="00B06331">
        <w:rPr>
          <w:rFonts w:ascii="Avenir Book" w:eastAsia="Cambria" w:hAnsi="Avenir Book"/>
          <w:szCs w:val="24"/>
        </w:rPr>
        <w:lastRenderedPageBreak/>
        <w:t xml:space="preserve">Due to pioneering circumstances, the petroleum sector needs a comprehensive policy, institutional and regulatory framework. This must bear in mind the need for local content, competitiveness, environmental sustainability as well as positioning petroleum gains to support the growth of other sectors. Capacity building for the personnel is critical as human engagement bears the greatest responsibility for the success of the energy and petroleum sectors. </w:t>
      </w:r>
    </w:p>
    <w:p w:rsidR="003B3B17" w:rsidRPr="00B06331" w:rsidRDefault="003B3B17" w:rsidP="003B3B17">
      <w:pPr>
        <w:pStyle w:val="ListParagraph"/>
        <w:tabs>
          <w:tab w:val="left" w:pos="720"/>
        </w:tabs>
        <w:spacing w:before="120" w:after="120"/>
        <w:ind w:left="0"/>
        <w:jc w:val="both"/>
        <w:rPr>
          <w:rFonts w:ascii="Avenir Book" w:hAnsi="Avenir Book"/>
          <w:szCs w:val="24"/>
        </w:rPr>
      </w:pPr>
    </w:p>
    <w:p w:rsidR="003B3B17" w:rsidRPr="00B06331" w:rsidRDefault="003B3B17" w:rsidP="004D2867">
      <w:pPr>
        <w:pStyle w:val="Heading3"/>
        <w:rPr>
          <w:rFonts w:asciiTheme="minorHAnsi" w:hAnsiTheme="minorHAnsi" w:cstheme="minorHAnsi"/>
          <w:b/>
          <w:sz w:val="22"/>
          <w:szCs w:val="22"/>
        </w:rPr>
      </w:pPr>
      <w:bookmarkStart w:id="79" w:name="_Toc492364749"/>
      <w:r w:rsidRPr="00B06331">
        <w:rPr>
          <w:rFonts w:asciiTheme="minorHAnsi" w:hAnsiTheme="minorHAnsi" w:cstheme="minorHAnsi"/>
          <w:b/>
          <w:sz w:val="22"/>
          <w:szCs w:val="22"/>
        </w:rPr>
        <w:t>3.8.4 Public Private Partnerships (PPPs) for Infrastructural Development</w:t>
      </w:r>
      <w:bookmarkEnd w:id="79"/>
    </w:p>
    <w:p w:rsidR="003B3B17" w:rsidRPr="00B06331" w:rsidRDefault="003B3B17" w:rsidP="003B3B17">
      <w:pPr>
        <w:autoSpaceDE w:val="0"/>
        <w:autoSpaceDN w:val="0"/>
        <w:adjustRightInd w:val="0"/>
        <w:spacing w:after="0"/>
        <w:jc w:val="both"/>
        <w:rPr>
          <w:rFonts w:ascii="Avenir Book" w:eastAsia="Cambria" w:hAnsi="Avenir Book"/>
          <w:szCs w:val="24"/>
        </w:rPr>
      </w:pPr>
    </w:p>
    <w:p w:rsidR="003B3B17" w:rsidRPr="00B06331" w:rsidRDefault="009A33DB" w:rsidP="003B3B17">
      <w:pPr>
        <w:autoSpaceDE w:val="0"/>
        <w:autoSpaceDN w:val="0"/>
        <w:adjustRightInd w:val="0"/>
        <w:spacing w:after="0"/>
        <w:jc w:val="both"/>
        <w:rPr>
          <w:rFonts w:ascii="Avenir Book" w:eastAsia="Cambria" w:hAnsi="Avenir Book"/>
          <w:szCs w:val="24"/>
        </w:rPr>
      </w:pPr>
      <w:r w:rsidRPr="00B06331">
        <w:rPr>
          <w:rFonts w:ascii="Avenir Book" w:eastAsia="Cambria" w:hAnsi="Avenir Book"/>
          <w:szCs w:val="24"/>
        </w:rPr>
        <w:t>T</w:t>
      </w:r>
      <w:r w:rsidR="003B3B17" w:rsidRPr="00B06331">
        <w:rPr>
          <w:rFonts w:ascii="Avenir Book" w:eastAsia="Cambria" w:hAnsi="Avenir Book"/>
          <w:szCs w:val="24"/>
        </w:rPr>
        <w:t xml:space="preserve">he demand for basic infrastructure services </w:t>
      </w:r>
      <w:r w:rsidRPr="00B06331">
        <w:rPr>
          <w:rFonts w:ascii="Avenir Book" w:eastAsia="Cambria" w:hAnsi="Avenir Book"/>
          <w:szCs w:val="24"/>
        </w:rPr>
        <w:t xml:space="preserve">in the Gambia </w:t>
      </w:r>
      <w:r w:rsidR="003B3B17" w:rsidRPr="00B06331">
        <w:rPr>
          <w:rFonts w:ascii="Avenir Book" w:eastAsia="Cambria" w:hAnsi="Avenir Book"/>
          <w:szCs w:val="24"/>
        </w:rPr>
        <w:t xml:space="preserve">has outstripped the Government’s capacity to supply. Although there have been significant investments in infrastructural development (roads, energy, public works), The Gambia still faces a significant infrastructure deficit that is further aggravated by a poor maintenance culture which in turn holds back the country’s economic growth and development. The financing required to close the infrastructure deficit is huge and ordinarily beyond the means available to government. The participation of the private sector through Public Private Partnerships (PPPs) is therefore required and must be pursued as part of Government’s commitment to employing innovative financing mechanisms for development.  </w:t>
      </w:r>
    </w:p>
    <w:p w:rsidR="003B3B17" w:rsidRPr="00B06331" w:rsidRDefault="003B3B17" w:rsidP="003B3B17">
      <w:pPr>
        <w:autoSpaceDE w:val="0"/>
        <w:autoSpaceDN w:val="0"/>
        <w:adjustRightInd w:val="0"/>
        <w:spacing w:after="0"/>
        <w:jc w:val="both"/>
        <w:rPr>
          <w:rFonts w:ascii="Avenir Book" w:eastAsia="Cambria" w:hAnsi="Avenir Book"/>
          <w:szCs w:val="24"/>
        </w:rPr>
      </w:pPr>
    </w:p>
    <w:p w:rsidR="003B3B17" w:rsidRPr="00B06331" w:rsidRDefault="003B3B17" w:rsidP="003B3B17">
      <w:pPr>
        <w:autoSpaceDE w:val="0"/>
        <w:autoSpaceDN w:val="0"/>
        <w:adjustRightInd w:val="0"/>
        <w:spacing w:after="0"/>
        <w:jc w:val="both"/>
        <w:rPr>
          <w:rFonts w:ascii="Avenir Book" w:eastAsia="Cambria" w:hAnsi="Avenir Book"/>
          <w:szCs w:val="24"/>
        </w:rPr>
      </w:pPr>
      <w:r w:rsidRPr="00B06331">
        <w:rPr>
          <w:rFonts w:ascii="Avenir Book" w:eastAsia="Cambria" w:hAnsi="Avenir Book"/>
          <w:szCs w:val="24"/>
        </w:rPr>
        <w:t xml:space="preserve">The transport sub sector is one area that has significant opportunities for PPP mechanisms (infrastructure or service delivery) that can offer best value for money and timely delivery, while fully protecting the public interest. </w:t>
      </w:r>
    </w:p>
    <w:p w:rsidR="003B3B17" w:rsidRPr="00B06331" w:rsidRDefault="003B3B17" w:rsidP="003B3B17">
      <w:pPr>
        <w:autoSpaceDE w:val="0"/>
        <w:autoSpaceDN w:val="0"/>
        <w:adjustRightInd w:val="0"/>
        <w:spacing w:after="0"/>
        <w:jc w:val="both"/>
        <w:rPr>
          <w:rFonts w:ascii="Avenir Book" w:eastAsia="Cambria" w:hAnsi="Avenir Book"/>
          <w:szCs w:val="24"/>
        </w:rPr>
      </w:pPr>
    </w:p>
    <w:p w:rsidR="003B3B17" w:rsidRPr="00B06331" w:rsidRDefault="003B3B17" w:rsidP="003B3B17">
      <w:pPr>
        <w:autoSpaceDE w:val="0"/>
        <w:autoSpaceDN w:val="0"/>
        <w:adjustRightInd w:val="0"/>
        <w:spacing w:after="0"/>
        <w:jc w:val="both"/>
        <w:rPr>
          <w:rFonts w:ascii="Avenir Book" w:eastAsia="Cambria" w:hAnsi="Avenir Book"/>
          <w:szCs w:val="24"/>
        </w:rPr>
      </w:pPr>
      <w:r w:rsidRPr="00B06331">
        <w:rPr>
          <w:rFonts w:ascii="Avenir Book" w:eastAsia="Cambria" w:hAnsi="Avenir Book"/>
          <w:szCs w:val="24"/>
        </w:rPr>
        <w:t>Like many African countries, The Gambia has been grappling with but has registered significant inroads on key challenges to using PPPs for infrastructural development which includes financial constraints and weak legislative and regulatory (enabling) environment. Whilst the financial constraints revolves around the problems of accessing both domestic and international finance, the enabling environment refers to the constraints in the necessary legislative, regulatory and institutional arrangements required for successful PPPs.</w:t>
      </w:r>
    </w:p>
    <w:p w:rsidR="003B3B17" w:rsidRPr="00B06331" w:rsidRDefault="003B3B17" w:rsidP="003B3B17">
      <w:pPr>
        <w:pStyle w:val="NormalWeb"/>
        <w:spacing w:line="276" w:lineRule="auto"/>
        <w:jc w:val="both"/>
        <w:rPr>
          <w:rFonts w:ascii="Avenir Book" w:hAnsi="Avenir Book"/>
          <w:sz w:val="22"/>
        </w:rPr>
      </w:pPr>
    </w:p>
    <w:p w:rsidR="003B3B17" w:rsidRPr="00B06331" w:rsidRDefault="003B3B17" w:rsidP="003B3B17">
      <w:pPr>
        <w:spacing w:after="0"/>
        <w:rPr>
          <w:rFonts w:ascii="Avenir Book" w:hAnsi="Avenir Book"/>
          <w:sz w:val="24"/>
          <w:szCs w:val="24"/>
        </w:rPr>
        <w:sectPr w:rsidR="003B3B17" w:rsidRPr="00B06331">
          <w:pgSz w:w="12240" w:h="15840"/>
          <w:pgMar w:top="1440" w:right="1440" w:bottom="1440" w:left="1440" w:header="720" w:footer="720" w:gutter="0"/>
          <w:cols w:space="720"/>
        </w:sectPr>
      </w:pPr>
    </w:p>
    <w:p w:rsidR="003B3B17" w:rsidRPr="00B06331" w:rsidRDefault="003F329B" w:rsidP="003B3B17">
      <w:pPr>
        <w:rPr>
          <w:rFonts w:ascii="Avenir Book" w:hAnsi="Avenir Book"/>
          <w:b/>
          <w:sz w:val="20"/>
          <w:szCs w:val="24"/>
        </w:rPr>
      </w:pPr>
      <w:r w:rsidRPr="00B06331">
        <w:rPr>
          <w:rFonts w:ascii="Avenir Book" w:hAnsi="Avenir Book"/>
          <w:b/>
          <w:sz w:val="20"/>
          <w:szCs w:val="24"/>
        </w:rPr>
        <w:lastRenderedPageBreak/>
        <w:t>Table 3.14</w:t>
      </w:r>
      <w:r w:rsidR="003B3B17" w:rsidRPr="00B06331">
        <w:rPr>
          <w:rFonts w:ascii="Avenir Book" w:hAnsi="Avenir Book"/>
          <w:b/>
          <w:sz w:val="20"/>
          <w:szCs w:val="24"/>
        </w:rPr>
        <w:t xml:space="preserve">: Key Issues to address in Economic Management, Agriculture, Fisheries, Tourism and Culture, Private Sector Development, Trade and Regional Integration, Transportation, ICT, and Energy </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918"/>
        <w:gridCol w:w="10610"/>
      </w:tblGrid>
      <w:tr w:rsidR="003B3B17" w:rsidRPr="00B06331" w:rsidTr="003B3B17">
        <w:tc>
          <w:tcPr>
            <w:tcW w:w="1918" w:type="dxa"/>
            <w:tcBorders>
              <w:top w:val="single" w:sz="4" w:space="0" w:color="4472C4"/>
              <w:left w:val="single" w:sz="4" w:space="0" w:color="4472C4"/>
              <w:bottom w:val="single" w:sz="4" w:space="0" w:color="4472C4"/>
              <w:right w:val="nil"/>
            </w:tcBorders>
            <w:shd w:val="clear" w:color="auto" w:fill="4472C4"/>
          </w:tcPr>
          <w:p w:rsidR="003B3B17" w:rsidRPr="00B06331" w:rsidRDefault="003B3B17" w:rsidP="003B3B17">
            <w:pPr>
              <w:spacing w:after="0" w:line="240" w:lineRule="auto"/>
              <w:rPr>
                <w:rFonts w:ascii="Avenir Book" w:hAnsi="Avenir Book"/>
                <w:b/>
                <w:bCs/>
                <w:color w:val="FFFFFF"/>
                <w:szCs w:val="24"/>
              </w:rPr>
            </w:pPr>
            <w:r w:rsidRPr="00B06331">
              <w:rPr>
                <w:rFonts w:ascii="Avenir Book" w:hAnsi="Avenir Book"/>
                <w:b/>
                <w:bCs/>
                <w:color w:val="FFFFFF"/>
                <w:szCs w:val="24"/>
              </w:rPr>
              <w:t>Thematic Area</w:t>
            </w:r>
          </w:p>
        </w:tc>
        <w:tc>
          <w:tcPr>
            <w:tcW w:w="10610" w:type="dxa"/>
            <w:tcBorders>
              <w:top w:val="single" w:sz="4" w:space="0" w:color="4472C4"/>
              <w:left w:val="nil"/>
              <w:bottom w:val="single" w:sz="4" w:space="0" w:color="4472C4"/>
              <w:right w:val="single" w:sz="4" w:space="0" w:color="4472C4"/>
            </w:tcBorders>
            <w:shd w:val="clear" w:color="auto" w:fill="4472C4"/>
          </w:tcPr>
          <w:p w:rsidR="003B3B17" w:rsidRPr="00B06331" w:rsidRDefault="003B3B17" w:rsidP="003B3B17">
            <w:pPr>
              <w:spacing w:after="0" w:line="240" w:lineRule="auto"/>
              <w:rPr>
                <w:rFonts w:ascii="Avenir Book" w:hAnsi="Avenir Book"/>
                <w:b/>
                <w:bCs/>
                <w:color w:val="FFFFFF"/>
                <w:sz w:val="20"/>
                <w:szCs w:val="24"/>
              </w:rPr>
            </w:pPr>
            <w:r w:rsidRPr="00B06331">
              <w:rPr>
                <w:rFonts w:ascii="Avenir Book" w:hAnsi="Avenir Book"/>
                <w:b/>
                <w:bCs/>
                <w:color w:val="FFFFFF"/>
                <w:szCs w:val="24"/>
              </w:rPr>
              <w:t>Key Issues to Address</w:t>
            </w:r>
          </w:p>
        </w:tc>
      </w:tr>
      <w:tr w:rsidR="003B3B17" w:rsidRPr="00B06331" w:rsidTr="003B3B17">
        <w:tc>
          <w:tcPr>
            <w:tcW w:w="1918" w:type="dxa"/>
            <w:shd w:val="clear" w:color="auto" w:fill="D9E2F3"/>
          </w:tcPr>
          <w:p w:rsidR="003B3B17" w:rsidRPr="00B06331" w:rsidRDefault="003B3B17" w:rsidP="003B3B17">
            <w:pPr>
              <w:spacing w:after="0" w:line="240" w:lineRule="auto"/>
              <w:rPr>
                <w:b/>
                <w:bCs/>
                <w:i/>
              </w:rPr>
            </w:pPr>
            <w:r w:rsidRPr="00B06331">
              <w:rPr>
                <w:b/>
                <w:bCs/>
                <w:i/>
              </w:rPr>
              <w:t>Macroeconomics</w:t>
            </w:r>
          </w:p>
        </w:tc>
        <w:tc>
          <w:tcPr>
            <w:tcW w:w="10610" w:type="dxa"/>
            <w:shd w:val="clear" w:color="auto" w:fill="D9E2F3"/>
          </w:tcPr>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High volatility of GDP, which is principally driven by agriculture, climate shocks and the countercyclical ability of tourism</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Increasing inflation mainly driven by high food prices and monetary expansion</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 xml:space="preserve">Elevated interest rates which continue to crowd out private sector access to credit, negatively affecting critical sectors such as agriculture and tourism </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Unsustainable total public debt stock which stood at 120 % of GDP in 2016</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 xml:space="preserve">High refinancing risk as 43.8% of total debt is maturing within one year </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 xml:space="preserve">High interest rate risk with 45.9% of total debt due for re-fixing in one year </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High short-term foreign currency debt to reserve ratio (31.6%, due to external obligations)</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The current account deficit that has persisted over the past 30 years (BoP stands at 8.7% of GDP in 2017)</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 xml:space="preserve">Gross international reserves which have been under pressure since 2013 and currently equivalent to 1.6 months of prospective imports </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Weak economic governance institutions characterized by inadequate PFM reforms and weak policy-planning-budget linkages</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The poor performance of SOEs which pose a major risk to the Gambia’s fiscal and debt sustainability</w:t>
            </w:r>
          </w:p>
          <w:p w:rsidR="003B3B17" w:rsidRPr="00B06331" w:rsidRDefault="003B3B17" w:rsidP="004143E3">
            <w:pPr>
              <w:numPr>
                <w:ilvl w:val="0"/>
                <w:numId w:val="95"/>
              </w:numPr>
              <w:spacing w:after="0" w:line="240" w:lineRule="auto"/>
              <w:jc w:val="both"/>
              <w:rPr>
                <w:rFonts w:ascii="Avenir Book" w:hAnsi="Avenir Book"/>
                <w:sz w:val="20"/>
                <w:szCs w:val="20"/>
              </w:rPr>
            </w:pPr>
            <w:r w:rsidRPr="00B06331">
              <w:rPr>
                <w:rFonts w:ascii="Avenir Book" w:hAnsi="Avenir Book"/>
                <w:sz w:val="20"/>
                <w:szCs w:val="20"/>
              </w:rPr>
              <w:t>Commercial banks’ exposure to government debt poses significant risks.</w:t>
            </w:r>
          </w:p>
          <w:p w:rsidR="003B3B17" w:rsidRPr="00B06331" w:rsidRDefault="003B3B17" w:rsidP="004143E3">
            <w:pPr>
              <w:numPr>
                <w:ilvl w:val="0"/>
                <w:numId w:val="95"/>
              </w:numPr>
              <w:spacing w:after="0" w:line="240" w:lineRule="auto"/>
              <w:rPr>
                <w:sz w:val="20"/>
              </w:rPr>
            </w:pPr>
            <w:r w:rsidRPr="00B06331">
              <w:rPr>
                <w:rFonts w:ascii="Avenir Book" w:hAnsi="Avenir Book"/>
                <w:sz w:val="20"/>
                <w:szCs w:val="20"/>
              </w:rPr>
              <w:t>The Gambia lacks a capital market which limits private sector non-ideal short-term financing</w:t>
            </w:r>
          </w:p>
        </w:tc>
      </w:tr>
      <w:tr w:rsidR="003B3B17" w:rsidRPr="00B06331" w:rsidTr="003B3B17">
        <w:tc>
          <w:tcPr>
            <w:tcW w:w="1918" w:type="dxa"/>
            <w:shd w:val="clear" w:color="auto" w:fill="auto"/>
          </w:tcPr>
          <w:p w:rsidR="003B3B17" w:rsidRPr="00B06331" w:rsidRDefault="003B3B17" w:rsidP="003B3B17">
            <w:pPr>
              <w:spacing w:after="0" w:line="240" w:lineRule="auto"/>
              <w:rPr>
                <w:b/>
                <w:bCs/>
                <w:i/>
              </w:rPr>
            </w:pPr>
            <w:r w:rsidRPr="00B06331">
              <w:rPr>
                <w:b/>
                <w:bCs/>
                <w:i/>
              </w:rPr>
              <w:t xml:space="preserve">Agriculture and Fisheries  </w:t>
            </w:r>
          </w:p>
        </w:tc>
        <w:tc>
          <w:tcPr>
            <w:tcW w:w="10610" w:type="dxa"/>
            <w:shd w:val="clear" w:color="auto" w:fill="auto"/>
          </w:tcPr>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Agriculture has not significantly contributed to poverty reduction as 91% of the rural poor work as farmers while the sector continues to be relatively undiversified, mainly small-holder based and characterized by rain-fed subsistence crops</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Except for groundnuts, agricultural yields are lower than the West African average and there is relatively wide yield gap across major crops.</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55.1% of the population is food insecure, and 35.9% of the population would not meet their daily food requirements of 2400 calories even if they allocated all their consumption to food (extreme poor).</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There is a mismatch between the envisaged annual growth rate of 8% and the budget allocations whic</w:t>
            </w:r>
            <w:r w:rsidR="00C97D8B" w:rsidRPr="00B06331">
              <w:rPr>
                <w:rFonts w:ascii="Avenir Book" w:hAnsi="Avenir Book"/>
                <w:sz w:val="20"/>
                <w:szCs w:val="24"/>
              </w:rPr>
              <w:t xml:space="preserve">h only reached 6% once in 2011 </w:t>
            </w:r>
            <w:r w:rsidRPr="00B06331">
              <w:rPr>
                <w:rFonts w:ascii="Avenir Book" w:hAnsi="Avenir Book"/>
                <w:sz w:val="20"/>
                <w:szCs w:val="24"/>
              </w:rPr>
              <w:t xml:space="preserve">with expenditures, heavily skewed towards operations accounting for slightly over 40% of the budget. </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Agriculture has been a victim to parallel and erratic decision-making and deteriorated institutional framework that was dictated by the former executive.</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Presently only 4.8% of commercial bank loans are allocated to agriculture and this limits smallholders’ ability to invest in productivity-enhancing technologies.</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 xml:space="preserve">The use of modern technology is weak in some cases and nonexistent in others.  </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There is a national overdependence on rainfall for agricultural production with low use of irrigation systems -only 6% of the arable land is irrigated</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 xml:space="preserve">Poor land and water management has put farmers on a collision path with pastoralists, ecologist, industrialists, and </w:t>
            </w:r>
            <w:r w:rsidRPr="00B06331">
              <w:rPr>
                <w:rFonts w:ascii="Avenir Book" w:hAnsi="Avenir Book"/>
                <w:sz w:val="20"/>
                <w:szCs w:val="24"/>
              </w:rPr>
              <w:lastRenderedPageBreak/>
              <w:t xml:space="preserve">urbanization </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 xml:space="preserve">Farmers continue to be challenged by poor access to timely, adequate and high-quality inputs </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The Fisheries is constrained by both the poor management of fisheries (involving fish resources, fishing activities including illegal fisheries) and the inadequate post-harvest handling of catches.</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Increased frequency and severity of climate-related hazards are having a noticeable impact on the performance of the Gambian agriculture</w:t>
            </w:r>
          </w:p>
          <w:p w:rsidR="003B3B17" w:rsidRPr="00B06331" w:rsidRDefault="003B3B17" w:rsidP="004143E3">
            <w:pPr>
              <w:numPr>
                <w:ilvl w:val="0"/>
                <w:numId w:val="96"/>
              </w:numPr>
              <w:spacing w:after="0" w:line="240" w:lineRule="auto"/>
              <w:jc w:val="both"/>
              <w:rPr>
                <w:rFonts w:ascii="Avenir Book" w:hAnsi="Avenir Book"/>
                <w:sz w:val="20"/>
                <w:szCs w:val="24"/>
              </w:rPr>
            </w:pPr>
            <w:r w:rsidRPr="00B06331">
              <w:rPr>
                <w:rFonts w:ascii="Avenir Book" w:hAnsi="Avenir Book"/>
                <w:sz w:val="20"/>
                <w:szCs w:val="24"/>
              </w:rPr>
              <w:t xml:space="preserve">Livestock continues to grapple </w:t>
            </w:r>
            <w:r w:rsidR="00951A09" w:rsidRPr="00B06331">
              <w:rPr>
                <w:rFonts w:ascii="Avenir Book" w:hAnsi="Avenir Book"/>
                <w:sz w:val="20"/>
                <w:szCs w:val="24"/>
              </w:rPr>
              <w:t xml:space="preserve">with declining quality of grazing </w:t>
            </w:r>
            <w:r w:rsidRPr="00B06331">
              <w:rPr>
                <w:rFonts w:ascii="Avenir Book" w:hAnsi="Avenir Book"/>
                <w:sz w:val="20"/>
                <w:szCs w:val="24"/>
              </w:rPr>
              <w:t xml:space="preserve">land as well as loss of biological diversity </w:t>
            </w:r>
          </w:p>
          <w:p w:rsidR="003B3B17" w:rsidRPr="00B06331" w:rsidRDefault="003B3B17" w:rsidP="003B3B17">
            <w:pPr>
              <w:spacing w:after="0" w:line="240" w:lineRule="auto"/>
              <w:rPr>
                <w:sz w:val="20"/>
              </w:rPr>
            </w:pPr>
          </w:p>
        </w:tc>
      </w:tr>
      <w:tr w:rsidR="003B3B17" w:rsidRPr="00B06331" w:rsidTr="003B3B17">
        <w:tc>
          <w:tcPr>
            <w:tcW w:w="1918" w:type="dxa"/>
            <w:shd w:val="clear" w:color="auto" w:fill="D9E2F3"/>
          </w:tcPr>
          <w:p w:rsidR="003B3B17" w:rsidRPr="00B06331" w:rsidRDefault="003B3B17" w:rsidP="003B3B17">
            <w:pPr>
              <w:spacing w:after="0" w:line="240" w:lineRule="auto"/>
              <w:rPr>
                <w:b/>
                <w:bCs/>
                <w:i/>
              </w:rPr>
            </w:pPr>
            <w:r w:rsidRPr="00B06331">
              <w:rPr>
                <w:b/>
                <w:bCs/>
                <w:i/>
              </w:rPr>
              <w:lastRenderedPageBreak/>
              <w:t xml:space="preserve">Tourism and Culture </w:t>
            </w:r>
          </w:p>
        </w:tc>
        <w:tc>
          <w:tcPr>
            <w:tcW w:w="10610" w:type="dxa"/>
            <w:shd w:val="clear" w:color="auto" w:fill="D9E2F3"/>
          </w:tcPr>
          <w:p w:rsidR="003B3B17"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 xml:space="preserve">Tourisms must address the supply side constraints that continue to stifle its growth </w:t>
            </w:r>
          </w:p>
          <w:p w:rsidR="009A33DB"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The Gambia’s Tourism sector faces competition from other destinations offering higher quality infrastructure, more diversified product mix and lower prices</w:t>
            </w:r>
          </w:p>
          <w:p w:rsidR="009A33DB" w:rsidRPr="00B06331" w:rsidRDefault="009A33DB"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The ad hoc approach to marketing is a serious obstacle to destination recognition and attractiveness</w:t>
            </w:r>
          </w:p>
          <w:p w:rsidR="009A33DB" w:rsidRPr="00B06331" w:rsidRDefault="009A33DB"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Environmental factors such as coastal erosion and waste management undermine key tourism assets of the country – sea and sand</w:t>
            </w:r>
          </w:p>
          <w:p w:rsidR="009A33DB" w:rsidRPr="00B06331" w:rsidRDefault="009A33DB"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Poor and inconsistent internet connectivity is a serious to achieving customer satisfaction</w:t>
            </w:r>
          </w:p>
          <w:p w:rsidR="003B3B17" w:rsidRPr="00B06331" w:rsidRDefault="009A33DB"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 xml:space="preserve">Inadequate transport infrastructure (ferry services, </w:t>
            </w:r>
            <w:r w:rsidR="00C97D8B" w:rsidRPr="00B06331">
              <w:rPr>
                <w:rFonts w:ascii="Avenir Book" w:hAnsi="Avenir Book"/>
                <w:sz w:val="20"/>
                <w:szCs w:val="24"/>
              </w:rPr>
              <w:t>etc.</w:t>
            </w:r>
            <w:r w:rsidRPr="00B06331">
              <w:rPr>
                <w:rFonts w:ascii="Avenir Book" w:hAnsi="Avenir Book"/>
                <w:sz w:val="20"/>
                <w:szCs w:val="24"/>
              </w:rPr>
              <w:t>) and poor social a</w:t>
            </w:r>
            <w:r w:rsidR="00EC7102" w:rsidRPr="00B06331">
              <w:rPr>
                <w:rFonts w:ascii="Avenir Book" w:hAnsi="Avenir Book"/>
                <w:sz w:val="20"/>
                <w:szCs w:val="24"/>
              </w:rPr>
              <w:t>m</w:t>
            </w:r>
            <w:r w:rsidRPr="00B06331">
              <w:rPr>
                <w:rFonts w:ascii="Avenir Book" w:hAnsi="Avenir Book"/>
                <w:sz w:val="20"/>
                <w:szCs w:val="24"/>
              </w:rPr>
              <w:t>e</w:t>
            </w:r>
            <w:r w:rsidR="00EC7102" w:rsidRPr="00B06331">
              <w:rPr>
                <w:rFonts w:ascii="Avenir Book" w:hAnsi="Avenir Book"/>
                <w:sz w:val="20"/>
                <w:szCs w:val="24"/>
              </w:rPr>
              <w:t>n</w:t>
            </w:r>
            <w:r w:rsidRPr="00B06331">
              <w:rPr>
                <w:rFonts w:ascii="Avenir Book" w:hAnsi="Avenir Book"/>
                <w:sz w:val="20"/>
                <w:szCs w:val="24"/>
              </w:rPr>
              <w:t xml:space="preserve">ities limits tourism to urban areas of the country and denies access to rural Gambia and its rich cultural heritage and bio-diversity  </w:t>
            </w:r>
          </w:p>
          <w:p w:rsidR="003B3B17"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Product quality is weak because of the vicious cycle (where low profit means low investments in facilities which translates into low quality service delivery which in turn manifests as an uncompetitive tourism product)in which the sector is trapped with little investments in 5-star hotels in the past decade</w:t>
            </w:r>
          </w:p>
          <w:p w:rsidR="003B3B17"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Lack of diversity in the number of activities available to tourist in The Gambia is a major drawback limiting growth in the sector</w:t>
            </w:r>
          </w:p>
          <w:p w:rsidR="003B3B17"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The sector lacks the wherewithal to undertake an effective promotion that will attract more tourists with increased spending power, as the Gambia is relatively unknown beyond its first-tier market</w:t>
            </w:r>
          </w:p>
          <w:p w:rsidR="003B3B17"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Limited air access and reliance on tour operators is not helping to make the Gambia competitive and contributes to low room occupancy rates</w:t>
            </w:r>
          </w:p>
          <w:p w:rsidR="003B3B17"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 xml:space="preserve">Moreover, unmet demand in the Hotels for agricultural produce is high, signaling the viability of such a venture and the immense potential benefits of strengthening the linkages between agriculture and tourism </w:t>
            </w:r>
          </w:p>
          <w:p w:rsidR="009A33DB" w:rsidRPr="00B06331" w:rsidRDefault="003B3B17" w:rsidP="004143E3">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The Gambia’s annual occupancy rate of between 50-60%, is way less than industry standard which pegs 60 % for profitability</w:t>
            </w:r>
          </w:p>
          <w:p w:rsidR="00EC7102" w:rsidRPr="00B06331" w:rsidRDefault="009A33DB" w:rsidP="00EC7102">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Improving tourism security through elimination of nuisance checkpoints and loitering at the airport.</w:t>
            </w:r>
          </w:p>
          <w:p w:rsidR="003B3B17" w:rsidRPr="00B06331" w:rsidRDefault="00EC7102" w:rsidP="00EC7102">
            <w:pPr>
              <w:numPr>
                <w:ilvl w:val="0"/>
                <w:numId w:val="97"/>
              </w:numPr>
              <w:spacing w:after="0" w:line="240" w:lineRule="auto"/>
              <w:jc w:val="both"/>
              <w:rPr>
                <w:rFonts w:ascii="Avenir Book" w:hAnsi="Avenir Book"/>
                <w:sz w:val="20"/>
                <w:szCs w:val="24"/>
              </w:rPr>
            </w:pPr>
            <w:r w:rsidRPr="00B06331">
              <w:rPr>
                <w:rFonts w:ascii="Avenir Book" w:hAnsi="Avenir Book"/>
                <w:sz w:val="20"/>
                <w:szCs w:val="24"/>
              </w:rPr>
              <w:t>The weak inter-sectoral collaboration for the provision of supportive infrastructure and other services that lie outside the mandate of the tourism sector</w:t>
            </w:r>
          </w:p>
        </w:tc>
      </w:tr>
      <w:tr w:rsidR="003B3B17" w:rsidRPr="00B06331" w:rsidTr="003B3B17">
        <w:tc>
          <w:tcPr>
            <w:tcW w:w="1918" w:type="dxa"/>
            <w:shd w:val="clear" w:color="auto" w:fill="auto"/>
          </w:tcPr>
          <w:p w:rsidR="003B3B17" w:rsidRPr="00B06331" w:rsidRDefault="003B3B17" w:rsidP="003B3B17">
            <w:pPr>
              <w:spacing w:after="0" w:line="240" w:lineRule="auto"/>
              <w:rPr>
                <w:b/>
                <w:bCs/>
                <w:i/>
              </w:rPr>
            </w:pPr>
            <w:r w:rsidRPr="00B06331">
              <w:rPr>
                <w:b/>
                <w:bCs/>
                <w:i/>
              </w:rPr>
              <w:t xml:space="preserve">Private Sector Development </w:t>
            </w:r>
          </w:p>
        </w:tc>
        <w:tc>
          <w:tcPr>
            <w:tcW w:w="10610" w:type="dxa"/>
            <w:shd w:val="clear" w:color="auto" w:fill="auto"/>
          </w:tcPr>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Although the Gambia’s desire to move towards a private sector led economy is without doubt, three significant challenges faced are inadequate, unreliable, and expensive electricity; high cost of credit due to high government domestic borrowing; and un-simplified, nuisance tax code</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lastRenderedPageBreak/>
              <w:t>Micro, Small and Medium Enterprises dominates the Gambia’s private sector, with 97% of businesses categorized as micro which is indicative of poor access to finance and high cost for expansion</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80% of micro enterprises are not registered and thus unable to benefit from most Government led support such as business development services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61% of businesses operate in distributive trade, 16% in manufacturing, 4% in repair and 19% spread across 13 sectors which does not augur well for a productivity and poverty reduction</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Reforms of the legal and regulatory framework and building the skills of actors in the sector should be addressed</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Manufacturing subsector contributes 5.5% to GDP, employs 4,500 people, and has stagnated since 1995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The level of industrialization is low. The Manufacturing Value Added(MVA) per capita has stagnated at US$16 since 1995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Lack of technological innovation and outdated industrial policies are major challenges to industrialization</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Industrialization is not well linked to the agriculture as there is limited agro-processing </w:t>
            </w:r>
          </w:p>
          <w:p w:rsidR="003B3B17" w:rsidRPr="00B06331" w:rsidRDefault="003B3B17" w:rsidP="003B3B17">
            <w:pPr>
              <w:spacing w:after="0" w:line="240" w:lineRule="auto"/>
              <w:jc w:val="both"/>
              <w:rPr>
                <w:rFonts w:ascii="Avenir Book" w:hAnsi="Avenir Book"/>
                <w:sz w:val="20"/>
                <w:szCs w:val="24"/>
              </w:rPr>
            </w:pPr>
          </w:p>
        </w:tc>
      </w:tr>
      <w:tr w:rsidR="003B3B17" w:rsidRPr="00B06331" w:rsidTr="003B3B17">
        <w:tc>
          <w:tcPr>
            <w:tcW w:w="1918" w:type="dxa"/>
            <w:shd w:val="clear" w:color="auto" w:fill="D9E2F3"/>
          </w:tcPr>
          <w:p w:rsidR="003B3B17" w:rsidRPr="00B06331" w:rsidRDefault="003B3B17" w:rsidP="003B3B17">
            <w:pPr>
              <w:spacing w:after="0" w:line="240" w:lineRule="auto"/>
              <w:rPr>
                <w:b/>
                <w:bCs/>
                <w:i/>
              </w:rPr>
            </w:pPr>
            <w:r w:rsidRPr="00B06331">
              <w:rPr>
                <w:b/>
                <w:bCs/>
                <w:i/>
              </w:rPr>
              <w:lastRenderedPageBreak/>
              <w:t>Trade and Regional Integration</w:t>
            </w:r>
          </w:p>
        </w:tc>
        <w:tc>
          <w:tcPr>
            <w:tcW w:w="10610" w:type="dxa"/>
            <w:shd w:val="clear" w:color="auto" w:fill="D9E2F3"/>
          </w:tcPr>
          <w:p w:rsidR="003B3B17" w:rsidRPr="00B06331" w:rsidRDefault="003B3B17" w:rsidP="004143E3">
            <w:pPr>
              <w:numPr>
                <w:ilvl w:val="0"/>
                <w:numId w:val="99"/>
              </w:numPr>
              <w:spacing w:after="0" w:line="240" w:lineRule="auto"/>
              <w:jc w:val="both"/>
              <w:rPr>
                <w:rFonts w:ascii="Avenir Book" w:eastAsia="MS ??" w:hAnsi="Avenir Book"/>
                <w:sz w:val="20"/>
                <w:szCs w:val="24"/>
              </w:rPr>
            </w:pPr>
            <w:r w:rsidRPr="00B06331">
              <w:rPr>
                <w:rFonts w:ascii="Avenir Book" w:eastAsia="MS ??" w:hAnsi="Avenir Book"/>
                <w:sz w:val="20"/>
                <w:szCs w:val="24"/>
              </w:rPr>
              <w:t>The trading base in The Gambia is narrow, with heavy reliance on two sectors (agriculture and tourism) for foreign exchange earnings over the past 5 decades.</w:t>
            </w:r>
          </w:p>
          <w:p w:rsidR="003B3B17" w:rsidRPr="00B06331" w:rsidRDefault="003B3B17" w:rsidP="004143E3">
            <w:pPr>
              <w:numPr>
                <w:ilvl w:val="0"/>
                <w:numId w:val="99"/>
              </w:numPr>
              <w:spacing w:after="0" w:line="240" w:lineRule="auto"/>
              <w:jc w:val="both"/>
              <w:rPr>
                <w:rFonts w:ascii="Avenir Book" w:eastAsia="MS ??" w:hAnsi="Avenir Book"/>
                <w:sz w:val="20"/>
                <w:szCs w:val="24"/>
              </w:rPr>
            </w:pPr>
            <w:r w:rsidRPr="00B06331">
              <w:rPr>
                <w:rFonts w:ascii="Avenir Book" w:eastAsia="MS ??" w:hAnsi="Avenir Book"/>
                <w:sz w:val="20"/>
                <w:szCs w:val="24"/>
              </w:rPr>
              <w:t>The Gambia’s trading landscape is characterized by declining and stagnant domestic exports and an increasing growth in imports which has led to a 30-year continuous current account deficit (except 2003, 2007) which by 2015, stood at 13.3% of GDP</w:t>
            </w:r>
          </w:p>
          <w:p w:rsidR="003B3B17" w:rsidRPr="00B06331" w:rsidRDefault="003B3B17" w:rsidP="004143E3">
            <w:pPr>
              <w:numPr>
                <w:ilvl w:val="0"/>
                <w:numId w:val="99"/>
              </w:numPr>
              <w:spacing w:after="0" w:line="240" w:lineRule="auto"/>
              <w:jc w:val="both"/>
              <w:rPr>
                <w:rFonts w:ascii="Avenir Book" w:hAnsi="Avenir Book"/>
                <w:sz w:val="20"/>
                <w:szCs w:val="24"/>
              </w:rPr>
            </w:pPr>
            <w:r w:rsidRPr="00B06331">
              <w:rPr>
                <w:rFonts w:ascii="Avenir Book" w:hAnsi="Avenir Book"/>
                <w:sz w:val="20"/>
                <w:szCs w:val="24"/>
              </w:rPr>
              <w:t xml:space="preserve">The Gambia’ main agricultural export still in the form of raw primary commodities which has less value. This signals the need for value addition for Gambian agricultural produce </w:t>
            </w:r>
          </w:p>
          <w:p w:rsidR="003B3B17" w:rsidRPr="00B06331" w:rsidRDefault="003B3B17" w:rsidP="004143E3">
            <w:pPr>
              <w:numPr>
                <w:ilvl w:val="0"/>
                <w:numId w:val="99"/>
              </w:numPr>
              <w:spacing w:after="0" w:line="240" w:lineRule="auto"/>
              <w:jc w:val="both"/>
              <w:rPr>
                <w:rFonts w:ascii="Avenir Book" w:hAnsi="Avenir Book"/>
                <w:sz w:val="20"/>
                <w:szCs w:val="24"/>
              </w:rPr>
            </w:pPr>
            <w:r w:rsidRPr="00B06331">
              <w:rPr>
                <w:rFonts w:ascii="Avenir Book" w:hAnsi="Avenir Book"/>
                <w:sz w:val="20"/>
                <w:szCs w:val="24"/>
              </w:rPr>
              <w:t>Although the Gambia still serves as the port to many countries within the sub region, this has since declined due to lost competitiveness resulting from trade related policy decisions</w:t>
            </w:r>
          </w:p>
          <w:p w:rsidR="003B3B17" w:rsidRPr="00B06331" w:rsidRDefault="003B3B17" w:rsidP="004143E3">
            <w:pPr>
              <w:numPr>
                <w:ilvl w:val="0"/>
                <w:numId w:val="99"/>
              </w:numPr>
              <w:spacing w:after="0" w:line="240" w:lineRule="auto"/>
              <w:jc w:val="both"/>
              <w:rPr>
                <w:rFonts w:ascii="Avenir Book" w:eastAsia="MS ??" w:hAnsi="Avenir Book"/>
                <w:sz w:val="20"/>
                <w:szCs w:val="24"/>
              </w:rPr>
            </w:pPr>
            <w:r w:rsidRPr="00B06331">
              <w:rPr>
                <w:rFonts w:ascii="Avenir Book" w:eastAsia="MS ??" w:hAnsi="Avenir Book"/>
                <w:sz w:val="20"/>
                <w:szCs w:val="24"/>
              </w:rPr>
              <w:t xml:space="preserve">The Gambia has not been able to take full advantage of export market opportunities due to many inherent supply side constraints (e.g., WTO Sanitary, and Phyto-Sanitary (SBS) requirements, Technical Barriers to Trade (TBT) Agreements) </w:t>
            </w:r>
          </w:p>
          <w:p w:rsidR="003B3B17" w:rsidRPr="00B06331" w:rsidRDefault="003B3B17" w:rsidP="004143E3">
            <w:pPr>
              <w:numPr>
                <w:ilvl w:val="0"/>
                <w:numId w:val="99"/>
              </w:numPr>
              <w:spacing w:after="0" w:line="240" w:lineRule="auto"/>
              <w:jc w:val="both"/>
              <w:rPr>
                <w:rFonts w:ascii="Avenir Book" w:hAnsi="Avenir Book"/>
                <w:sz w:val="20"/>
                <w:szCs w:val="24"/>
              </w:rPr>
            </w:pPr>
            <w:r w:rsidRPr="00B06331">
              <w:rPr>
                <w:rFonts w:ascii="Avenir Book" w:eastAsia="Cambria" w:hAnsi="Avenir Book"/>
                <w:sz w:val="20"/>
                <w:szCs w:val="24"/>
              </w:rPr>
              <w:t xml:space="preserve">The trade facilitation environment is challenged by the limited size and inefficiencies at the Banjul Sea Port, lack of automation, inadequate customs system, </w:t>
            </w:r>
            <w:r w:rsidRPr="00B06331">
              <w:rPr>
                <w:rFonts w:ascii="Avenir Book" w:eastAsia="MS ??" w:hAnsi="Avenir Book"/>
                <w:sz w:val="20"/>
                <w:szCs w:val="24"/>
              </w:rPr>
              <w:t>lack of consistency in the application of the ISRT scheme within the neighboring countries</w:t>
            </w:r>
          </w:p>
          <w:p w:rsidR="003B3B17" w:rsidRPr="00B06331" w:rsidRDefault="003B3B17" w:rsidP="004143E3">
            <w:pPr>
              <w:numPr>
                <w:ilvl w:val="0"/>
                <w:numId w:val="99"/>
              </w:numPr>
              <w:spacing w:after="0" w:line="240" w:lineRule="auto"/>
              <w:jc w:val="both"/>
              <w:rPr>
                <w:rFonts w:ascii="Avenir Book" w:hAnsi="Avenir Book"/>
                <w:sz w:val="20"/>
                <w:szCs w:val="24"/>
              </w:rPr>
            </w:pPr>
            <w:r w:rsidRPr="00B06331">
              <w:rPr>
                <w:rFonts w:ascii="Avenir Book" w:eastAsia="Cambria" w:hAnsi="Avenir Book"/>
                <w:sz w:val="20"/>
                <w:szCs w:val="24"/>
              </w:rPr>
              <w:t>The intermediation role of the financial sector is skeletal and is provided mainly by commercial banks</w:t>
            </w:r>
          </w:p>
          <w:p w:rsidR="003B3B17" w:rsidRPr="00B06331" w:rsidRDefault="003B3B17" w:rsidP="003B3B17">
            <w:pPr>
              <w:spacing w:after="0" w:line="240" w:lineRule="auto"/>
              <w:jc w:val="both"/>
              <w:rPr>
                <w:rFonts w:ascii="Avenir Book" w:hAnsi="Avenir Book"/>
                <w:sz w:val="20"/>
                <w:szCs w:val="24"/>
              </w:rPr>
            </w:pPr>
          </w:p>
        </w:tc>
      </w:tr>
      <w:tr w:rsidR="003B3B17" w:rsidRPr="00B06331" w:rsidTr="003B3B17">
        <w:tc>
          <w:tcPr>
            <w:tcW w:w="1918" w:type="dxa"/>
            <w:shd w:val="clear" w:color="auto" w:fill="auto"/>
          </w:tcPr>
          <w:p w:rsidR="003B3B17" w:rsidRPr="00B06331" w:rsidRDefault="003B3B17" w:rsidP="003B3B17">
            <w:pPr>
              <w:spacing w:after="0" w:line="240" w:lineRule="auto"/>
              <w:rPr>
                <w:b/>
                <w:bCs/>
                <w:i/>
              </w:rPr>
            </w:pPr>
            <w:r w:rsidRPr="00B06331">
              <w:rPr>
                <w:b/>
                <w:bCs/>
                <w:i/>
              </w:rPr>
              <w:t xml:space="preserve">Transport </w:t>
            </w:r>
          </w:p>
        </w:tc>
        <w:tc>
          <w:tcPr>
            <w:tcW w:w="10610" w:type="dxa"/>
            <w:shd w:val="clear" w:color="auto" w:fill="auto"/>
          </w:tcPr>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Growth in other sectors will impose corresponding quality and quantity demands on the transport sector</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Many of the policy directives on ‘institutional mechanisms for coordinated planning and sector regulation’ whose objective was application of commercial principles in management have not been implemented. Inter sector collaboration is critical</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The Banjul Port accounts for over 80% of international trade. However, its medium size, absence of mobile cranes, Small container terminal, manual terminal operating system, and absence of an external dry port all constrain the efficiency of the Port operations.</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The institutional, policy and regulatory environment must be updated to cater for realities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lastRenderedPageBreak/>
              <w:t xml:space="preserve">The absence of a transport sector-wide Master Plan is a challenge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The quality of infrastructure is poor due to maintenance neglect -  82% is classified as poor</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Rapid urbanization is creating a transport crisis in the Greater Banjul Metropolis</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The Banjul International Airport is only optimally utilized during the tourist season of November – April each year</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The non-implementation of the 2008 Ports Master Plan has rendered the Banjul Port uncompetitive as it is still been operated as a public service port model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River transport and its associated infrastructure has all but collapsed</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The absence of a national building code to guide the construction, operation, provision and maintenance of government buildings and other public works infrastructure</w:t>
            </w:r>
          </w:p>
        </w:tc>
      </w:tr>
      <w:tr w:rsidR="003B3B17" w:rsidRPr="00B06331" w:rsidTr="003B3B17">
        <w:tc>
          <w:tcPr>
            <w:tcW w:w="1918" w:type="dxa"/>
            <w:shd w:val="clear" w:color="auto" w:fill="D9E2F3"/>
          </w:tcPr>
          <w:p w:rsidR="003B3B17" w:rsidRPr="00B06331" w:rsidRDefault="003B3B17" w:rsidP="003B3B17">
            <w:pPr>
              <w:spacing w:after="0" w:line="240" w:lineRule="auto"/>
              <w:rPr>
                <w:b/>
                <w:bCs/>
                <w:i/>
              </w:rPr>
            </w:pPr>
            <w:r w:rsidRPr="00B06331">
              <w:rPr>
                <w:b/>
                <w:bCs/>
                <w:i/>
              </w:rPr>
              <w:lastRenderedPageBreak/>
              <w:t xml:space="preserve">ICT </w:t>
            </w:r>
          </w:p>
        </w:tc>
        <w:tc>
          <w:tcPr>
            <w:tcW w:w="10610" w:type="dxa"/>
            <w:shd w:val="clear" w:color="auto" w:fill="D9E2F3"/>
          </w:tcPr>
          <w:p w:rsidR="003B3B17" w:rsidRPr="00B06331" w:rsidRDefault="003B3B17" w:rsidP="004143E3">
            <w:pPr>
              <w:numPr>
                <w:ilvl w:val="0"/>
                <w:numId w:val="100"/>
              </w:numPr>
              <w:spacing w:after="0" w:line="240" w:lineRule="auto"/>
              <w:rPr>
                <w:rFonts w:ascii="Avenir Book" w:hAnsi="Avenir Book"/>
                <w:sz w:val="20"/>
                <w:szCs w:val="20"/>
              </w:rPr>
            </w:pPr>
            <w:r w:rsidRPr="00B06331">
              <w:rPr>
                <w:rFonts w:ascii="Avenir Book" w:hAnsi="Avenir Book"/>
                <w:sz w:val="20"/>
                <w:szCs w:val="20"/>
              </w:rPr>
              <w:t>The greatest challenge to the development of the ICT sector is still the continued monopoly of the international voice gateway.  The failure to liberalize the gateway is not in-line with the Information and Communication Act of 2009, and has resulted in exorbitantly high international call rates, inefficiency and degrading quality of service.</w:t>
            </w:r>
          </w:p>
          <w:p w:rsidR="003B3B17" w:rsidRPr="00B06331" w:rsidRDefault="003B3B17" w:rsidP="004143E3">
            <w:pPr>
              <w:numPr>
                <w:ilvl w:val="0"/>
                <w:numId w:val="100"/>
              </w:numPr>
              <w:spacing w:after="0" w:line="240" w:lineRule="auto"/>
              <w:rPr>
                <w:rFonts w:ascii="Avenir Book" w:hAnsi="Avenir Book"/>
                <w:sz w:val="20"/>
                <w:szCs w:val="20"/>
              </w:rPr>
            </w:pPr>
            <w:r w:rsidRPr="00B06331">
              <w:rPr>
                <w:rFonts w:ascii="Avenir Book" w:hAnsi="Avenir Book"/>
                <w:sz w:val="20"/>
                <w:szCs w:val="20"/>
              </w:rPr>
              <w:t>Affordability and lack of perceived benefits (network effects and local content) are still major barriers to mobile phone ownership and usage for low-income populations</w:t>
            </w:r>
          </w:p>
          <w:p w:rsidR="003B3B17" w:rsidRPr="00B06331" w:rsidRDefault="003B3B17" w:rsidP="004143E3">
            <w:pPr>
              <w:pStyle w:val="ListParagraph"/>
              <w:numPr>
                <w:ilvl w:val="0"/>
                <w:numId w:val="100"/>
              </w:numPr>
              <w:spacing w:after="0" w:line="240" w:lineRule="auto"/>
              <w:rPr>
                <w:rFonts w:ascii="Avenir Book" w:hAnsi="Avenir Book"/>
              </w:rPr>
            </w:pPr>
            <w:r w:rsidRPr="00B06331">
              <w:rPr>
                <w:rFonts w:ascii="Avenir Book" w:hAnsi="Avenir Book"/>
              </w:rPr>
              <w:t>PURA proposes a 35% reduction of incoming international termination rates fromUS$0.53 to US$0.36 to enable The Gambia realize benefit from global trends where in the immediate aftermath of liberalization, international incoming termination rates fall by at least 31% with an increase in call volumes by at least 65%</w:t>
            </w:r>
            <w:r w:rsidRPr="00B06331">
              <w:rPr>
                <w:rFonts w:ascii="Avenir Book" w:hAnsi="Avenir Book"/>
              </w:rPr>
              <w:footnoteReference w:id="15"/>
            </w:r>
            <w:r w:rsidRPr="00B06331">
              <w:rPr>
                <w:rFonts w:ascii="Avenir Book" w:hAnsi="Avenir Book"/>
              </w:rPr>
              <w:t xml:space="preserve">.  </w:t>
            </w:r>
          </w:p>
          <w:p w:rsidR="003B3B17" w:rsidRPr="00B06331" w:rsidRDefault="003B3B17" w:rsidP="004143E3">
            <w:pPr>
              <w:pStyle w:val="ListParagraph"/>
              <w:numPr>
                <w:ilvl w:val="0"/>
                <w:numId w:val="100"/>
              </w:numPr>
              <w:spacing w:after="0" w:line="240" w:lineRule="auto"/>
              <w:rPr>
                <w:rFonts w:ascii="Avenir Book" w:hAnsi="Avenir Book"/>
              </w:rPr>
            </w:pPr>
            <w:r w:rsidRPr="00B06331">
              <w:rPr>
                <w:rFonts w:ascii="Avenir Book" w:hAnsi="Avenir Book"/>
              </w:rPr>
              <w:t xml:space="preserve">The reform of the telecoms sector requires effective and efficient regulation, therefore PURA’s continued capacity building to oversee the sector and to ensure enforcement is critical. </w:t>
            </w:r>
          </w:p>
          <w:p w:rsidR="003B3B17" w:rsidRPr="00B06331" w:rsidRDefault="003B3B17" w:rsidP="004143E3">
            <w:pPr>
              <w:numPr>
                <w:ilvl w:val="0"/>
                <w:numId w:val="100"/>
              </w:numPr>
              <w:spacing w:after="0" w:line="240" w:lineRule="auto"/>
              <w:rPr>
                <w:rFonts w:ascii="Avenir Book" w:hAnsi="Avenir Book"/>
                <w:sz w:val="20"/>
                <w:szCs w:val="20"/>
              </w:rPr>
            </w:pPr>
            <w:r w:rsidRPr="00B06331">
              <w:rPr>
                <w:rFonts w:ascii="Avenir Book" w:hAnsi="Avenir Book"/>
                <w:sz w:val="20"/>
                <w:szCs w:val="20"/>
              </w:rPr>
              <w:t>The cost of ICT equipment and the cost of accessing the internet is high and a barrier to effective utilization of ICT in The Gambia</w:t>
            </w:r>
          </w:p>
          <w:p w:rsidR="003B3B17" w:rsidRPr="00B06331" w:rsidRDefault="003B3B17" w:rsidP="004143E3">
            <w:pPr>
              <w:numPr>
                <w:ilvl w:val="0"/>
                <w:numId w:val="100"/>
              </w:numPr>
              <w:spacing w:after="0" w:line="240" w:lineRule="auto"/>
              <w:rPr>
                <w:rFonts w:ascii="Avenir Book" w:hAnsi="Avenir Book"/>
                <w:sz w:val="20"/>
                <w:szCs w:val="20"/>
              </w:rPr>
            </w:pPr>
            <w:r w:rsidRPr="00B06331">
              <w:rPr>
                <w:rFonts w:ascii="Avenir Book" w:hAnsi="Avenir Book"/>
                <w:sz w:val="20"/>
                <w:szCs w:val="20"/>
              </w:rPr>
              <w:t xml:space="preserve">Insufficient human capacities and funding has led to the slow development of local software application to address pertinent issues </w:t>
            </w:r>
          </w:p>
          <w:p w:rsidR="003B3B17" w:rsidRPr="00B06331" w:rsidRDefault="003B3B17" w:rsidP="004143E3">
            <w:pPr>
              <w:numPr>
                <w:ilvl w:val="0"/>
                <w:numId w:val="100"/>
              </w:numPr>
              <w:spacing w:after="0" w:line="240" w:lineRule="auto"/>
              <w:rPr>
                <w:rFonts w:ascii="Avenir Book" w:hAnsi="Avenir Book"/>
                <w:sz w:val="20"/>
                <w:szCs w:val="20"/>
              </w:rPr>
            </w:pPr>
            <w:r w:rsidRPr="00B06331">
              <w:rPr>
                <w:rFonts w:ascii="Avenir Book" w:hAnsi="Avenir Book"/>
                <w:sz w:val="20"/>
                <w:szCs w:val="20"/>
              </w:rPr>
              <w:t xml:space="preserve">High cost of equipment and inadequate technical capacity has slowed the transition from analogue to digital broadcasting </w:t>
            </w:r>
          </w:p>
        </w:tc>
      </w:tr>
      <w:tr w:rsidR="003B3B17" w:rsidRPr="00B06331" w:rsidTr="003B3B17">
        <w:tc>
          <w:tcPr>
            <w:tcW w:w="1918" w:type="dxa"/>
            <w:shd w:val="clear" w:color="auto" w:fill="auto"/>
          </w:tcPr>
          <w:p w:rsidR="003B3B17" w:rsidRPr="00B06331" w:rsidRDefault="003B3B17" w:rsidP="003B3B17">
            <w:pPr>
              <w:spacing w:after="0" w:line="240" w:lineRule="auto"/>
              <w:rPr>
                <w:b/>
                <w:bCs/>
                <w:i/>
              </w:rPr>
            </w:pPr>
            <w:r w:rsidRPr="00B06331">
              <w:rPr>
                <w:b/>
                <w:bCs/>
                <w:i/>
              </w:rPr>
              <w:t>Energy</w:t>
            </w:r>
          </w:p>
        </w:tc>
        <w:tc>
          <w:tcPr>
            <w:tcW w:w="10610" w:type="dxa"/>
            <w:shd w:val="clear" w:color="auto" w:fill="auto"/>
          </w:tcPr>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Energy service requirements are met from imported fuel-based energy sources which makes the country vulnerable to fluctuations in world oil prices and eats up a significant share of the foreign exchange earnings</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Renewable energy represents an area of tremendous opportunity but it is currently underexploited</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The Gambia’s power sector is in a precarious situation -only 45MW of generation capacity is available in the Greater Banjul Area (GBA) compared to at least 70 MW demand; and NAWEC’s debt has mushroomed to 9 billion Dalasi (approximately US$200 million), making the sector financially untenable for private investment</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Additional investment in sustainable, low-cost generation is required for recent forecasts suggest that electricity demand will grow to 150 MW in 2020 and 200 MW in 2025</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Low access to electricity as only 35 percent of the population: have access. While 60 percent of the population in the GBA is served, only 6 percent of the population in the outlying provinces has access.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lastRenderedPageBreak/>
              <w:t xml:space="preserve">High transmission and distribution losses were approximately 24 percent in 2016, increasing the cost of supply on a per kWh basis.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 xml:space="preserve">The Electricity tariff structure leaves NAWEC exposed to external shocks beyond its control </w:t>
            </w:r>
          </w:p>
          <w:p w:rsidR="003B3B17" w:rsidRPr="00B06331" w:rsidRDefault="003B3B17" w:rsidP="004143E3">
            <w:pPr>
              <w:numPr>
                <w:ilvl w:val="0"/>
                <w:numId w:val="98"/>
              </w:numPr>
              <w:spacing w:after="0" w:line="240" w:lineRule="auto"/>
              <w:jc w:val="both"/>
              <w:rPr>
                <w:rFonts w:ascii="Avenir Book" w:hAnsi="Avenir Book"/>
                <w:sz w:val="20"/>
                <w:szCs w:val="24"/>
              </w:rPr>
            </w:pPr>
            <w:r w:rsidRPr="00B06331">
              <w:rPr>
                <w:rFonts w:ascii="Avenir Book" w:hAnsi="Avenir Book"/>
                <w:sz w:val="20"/>
                <w:szCs w:val="24"/>
              </w:rPr>
              <w:t>Due to pioneering circumstances, the petroleum sector needs a comprehensive policy, institutional and regulatory framework.</w:t>
            </w:r>
          </w:p>
          <w:p w:rsidR="003B3B17" w:rsidRPr="00B06331" w:rsidRDefault="003B3B17" w:rsidP="004143E3">
            <w:pPr>
              <w:numPr>
                <w:ilvl w:val="0"/>
                <w:numId w:val="98"/>
              </w:numPr>
              <w:spacing w:after="0" w:line="240" w:lineRule="auto"/>
              <w:jc w:val="both"/>
              <w:rPr>
                <w:rFonts w:ascii="Avenir Book" w:hAnsi="Avenir Book"/>
                <w:sz w:val="20"/>
                <w:szCs w:val="20"/>
              </w:rPr>
            </w:pPr>
            <w:r w:rsidRPr="00B06331">
              <w:rPr>
                <w:rFonts w:ascii="Avenir Book" w:hAnsi="Avenir Book"/>
                <w:sz w:val="20"/>
                <w:szCs w:val="24"/>
              </w:rPr>
              <w:t>The demand for basic infrastructure services has outstripped the Government’s capacity to supply and must be supplemented by PPPs which is however challenged by financial constraints and weak legislative and regulatory (enabling) environment</w:t>
            </w:r>
          </w:p>
        </w:tc>
      </w:tr>
    </w:tbl>
    <w:p w:rsidR="003B3B17" w:rsidRPr="00B06331" w:rsidRDefault="003B3B17" w:rsidP="003B3B17"/>
    <w:p w:rsidR="003B3B17" w:rsidRPr="00B06331" w:rsidRDefault="003B3B17" w:rsidP="003B3B17">
      <w:pPr>
        <w:spacing w:after="0"/>
        <w:rPr>
          <w:rFonts w:ascii="Avenir Book" w:hAnsi="Avenir Book"/>
          <w:sz w:val="24"/>
          <w:szCs w:val="24"/>
        </w:rPr>
        <w:sectPr w:rsidR="003B3B17" w:rsidRPr="00B06331" w:rsidSect="003B3B17">
          <w:pgSz w:w="15840" w:h="12240" w:orient="landscape"/>
          <w:pgMar w:top="1440" w:right="1440" w:bottom="1440" w:left="1440" w:header="720" w:footer="720" w:gutter="0"/>
          <w:cols w:space="720"/>
          <w:docGrid w:linePitch="299"/>
        </w:sectPr>
      </w:pPr>
    </w:p>
    <w:p w:rsidR="003B3B17" w:rsidRPr="00B06331" w:rsidRDefault="003B3B17" w:rsidP="004D2867">
      <w:pPr>
        <w:pStyle w:val="Heading1"/>
        <w:rPr>
          <w:rFonts w:asciiTheme="minorHAnsi" w:hAnsiTheme="minorHAnsi" w:cstheme="minorHAnsi"/>
          <w:b/>
          <w:sz w:val="22"/>
          <w:szCs w:val="22"/>
        </w:rPr>
      </w:pPr>
      <w:bookmarkStart w:id="80" w:name="_Toc488689306"/>
      <w:bookmarkStart w:id="81" w:name="_Toc492364750"/>
      <w:r w:rsidRPr="00B06331">
        <w:rPr>
          <w:rFonts w:asciiTheme="minorHAnsi" w:hAnsiTheme="minorHAnsi" w:cstheme="minorHAnsi"/>
          <w:b/>
          <w:sz w:val="22"/>
          <w:szCs w:val="22"/>
        </w:rPr>
        <w:lastRenderedPageBreak/>
        <w:t>Chapter 4: Social</w:t>
      </w:r>
      <w:bookmarkEnd w:id="80"/>
      <w:r w:rsidRPr="00B06331">
        <w:rPr>
          <w:rFonts w:asciiTheme="minorHAnsi" w:hAnsiTheme="minorHAnsi" w:cstheme="minorHAnsi"/>
          <w:b/>
          <w:sz w:val="22"/>
          <w:szCs w:val="22"/>
        </w:rPr>
        <w:t xml:space="preserve"> Development</w:t>
      </w:r>
      <w:bookmarkStart w:id="82" w:name="_Toc488689307"/>
      <w:bookmarkEnd w:id="81"/>
    </w:p>
    <w:p w:rsidR="003B3B17" w:rsidRPr="00B06331" w:rsidRDefault="003B3B17" w:rsidP="004D2867">
      <w:pPr>
        <w:pStyle w:val="Heading2"/>
        <w:rPr>
          <w:rFonts w:asciiTheme="minorHAnsi" w:hAnsiTheme="minorHAnsi" w:cstheme="minorHAnsi"/>
          <w:sz w:val="22"/>
          <w:szCs w:val="22"/>
        </w:rPr>
      </w:pPr>
      <w:bookmarkStart w:id="83" w:name="_Toc492364751"/>
      <w:r w:rsidRPr="00B06331">
        <w:rPr>
          <w:rFonts w:asciiTheme="minorHAnsi" w:hAnsiTheme="minorHAnsi" w:cstheme="minorHAnsi"/>
          <w:sz w:val="22"/>
          <w:szCs w:val="22"/>
        </w:rPr>
        <w:t>4.1 Introduction</w:t>
      </w:r>
      <w:bookmarkEnd w:id="83"/>
    </w:p>
    <w:p w:rsidR="003B3B17" w:rsidRPr="00B06331" w:rsidRDefault="003B3B17" w:rsidP="003B3B17">
      <w:pPr>
        <w:pStyle w:val="ListParagraph"/>
        <w:ind w:left="0"/>
        <w:jc w:val="both"/>
        <w:rPr>
          <w:rFonts w:ascii="Avenir Book" w:hAnsi="Avenir Book"/>
          <w:szCs w:val="24"/>
        </w:rPr>
      </w:pPr>
      <w:r w:rsidRPr="00B06331">
        <w:rPr>
          <w:rFonts w:ascii="Avenir Book" w:hAnsi="Avenir Book"/>
          <w:szCs w:val="24"/>
        </w:rPr>
        <w:t>This chapter reviews progress made in building the country’s human capital through provision of services in education, health, nutrition, water and sanitation, as well as social protection and identifies t</w:t>
      </w:r>
      <w:r w:rsidR="00890E95" w:rsidRPr="00B06331">
        <w:rPr>
          <w:rFonts w:ascii="Avenir Book" w:hAnsi="Avenir Book"/>
          <w:szCs w:val="24"/>
        </w:rPr>
        <w:t>he key issues to be addressed during the plan</w:t>
      </w:r>
      <w:r w:rsidRPr="00B06331">
        <w:rPr>
          <w:rFonts w:ascii="Avenir Book" w:hAnsi="Avenir Book"/>
          <w:szCs w:val="24"/>
        </w:rPr>
        <w:t xml:space="preserve"> perio</w:t>
      </w:r>
      <w:r w:rsidR="003F329B" w:rsidRPr="00B06331">
        <w:rPr>
          <w:rFonts w:ascii="Avenir Book" w:hAnsi="Avenir Book"/>
          <w:szCs w:val="24"/>
        </w:rPr>
        <w:t>d 2018-2021. The chapter also reviews the situation with regards to</w:t>
      </w:r>
      <w:r w:rsidRPr="00B06331">
        <w:rPr>
          <w:rFonts w:ascii="Avenir Book" w:hAnsi="Avenir Book"/>
          <w:szCs w:val="24"/>
        </w:rPr>
        <w:t xml:space="preserve"> women a</w:t>
      </w:r>
      <w:r w:rsidR="003F329B" w:rsidRPr="00B06331">
        <w:rPr>
          <w:rFonts w:ascii="Avenir Book" w:hAnsi="Avenir Book"/>
          <w:szCs w:val="24"/>
        </w:rPr>
        <w:t>nd youth</w:t>
      </w:r>
      <w:r w:rsidRPr="00B06331">
        <w:rPr>
          <w:rFonts w:ascii="Avenir Book" w:hAnsi="Avenir Book"/>
          <w:szCs w:val="24"/>
        </w:rPr>
        <w:t>.</w:t>
      </w:r>
    </w:p>
    <w:p w:rsidR="003B3B17" w:rsidRPr="00B06331" w:rsidRDefault="003B3B17" w:rsidP="004D2867">
      <w:pPr>
        <w:pStyle w:val="Heading2"/>
        <w:rPr>
          <w:rFonts w:asciiTheme="minorHAnsi" w:hAnsiTheme="minorHAnsi" w:cstheme="minorHAnsi"/>
          <w:sz w:val="22"/>
          <w:szCs w:val="22"/>
        </w:rPr>
      </w:pPr>
      <w:bookmarkStart w:id="84" w:name="_Toc492364752"/>
      <w:r w:rsidRPr="00B06331">
        <w:rPr>
          <w:rFonts w:asciiTheme="minorHAnsi" w:hAnsiTheme="minorHAnsi" w:cstheme="minorHAnsi"/>
          <w:sz w:val="22"/>
          <w:szCs w:val="22"/>
        </w:rPr>
        <w:t>4.2 Human Capital – Education, Health, and Social Protection</w:t>
      </w:r>
      <w:bookmarkEnd w:id="82"/>
      <w:bookmarkEnd w:id="84"/>
    </w:p>
    <w:p w:rsidR="003B3B17" w:rsidRPr="00B06331" w:rsidRDefault="003B3B17" w:rsidP="004D2867">
      <w:pPr>
        <w:pStyle w:val="ListParagraph"/>
        <w:ind w:left="0"/>
        <w:jc w:val="both"/>
        <w:rPr>
          <w:rFonts w:ascii="Avenir Book" w:hAnsi="Avenir Book"/>
          <w:szCs w:val="24"/>
        </w:rPr>
      </w:pPr>
      <w:r w:rsidRPr="00B06331">
        <w:rPr>
          <w:rFonts w:ascii="Avenir Book" w:hAnsi="Avenir Book"/>
          <w:szCs w:val="24"/>
        </w:rPr>
        <w:t>Human capital formation is critical to the sustainable socio-economic growth of The Gambia</w:t>
      </w:r>
      <w:r w:rsidR="003F329B" w:rsidRPr="00B06331">
        <w:rPr>
          <w:rFonts w:ascii="Avenir Book" w:hAnsi="Avenir Book"/>
          <w:szCs w:val="24"/>
        </w:rPr>
        <w:t xml:space="preserve"> and wellbeing</w:t>
      </w:r>
      <w:r w:rsidRPr="00B06331">
        <w:rPr>
          <w:rFonts w:ascii="Avenir Book" w:hAnsi="Avenir Book"/>
          <w:szCs w:val="24"/>
        </w:rPr>
        <w:t>. Anchored on a well-educated and healthy citizenry, it involves empowering citizens to produce quality goods and services, promotion of good governance and accountability while exploiting the benefits of science, technology, and innovation to improve the country’s competitiveness.</w:t>
      </w:r>
    </w:p>
    <w:p w:rsidR="003B3B17" w:rsidRPr="00B06331" w:rsidRDefault="003B3B17" w:rsidP="004D2867">
      <w:pPr>
        <w:pStyle w:val="Heading3"/>
        <w:rPr>
          <w:rFonts w:asciiTheme="minorHAnsi" w:hAnsiTheme="minorHAnsi" w:cstheme="minorHAnsi"/>
          <w:b/>
          <w:sz w:val="22"/>
          <w:szCs w:val="22"/>
        </w:rPr>
      </w:pPr>
      <w:bookmarkStart w:id="85" w:name="_Toc492364753"/>
      <w:r w:rsidRPr="00B06331">
        <w:rPr>
          <w:rFonts w:asciiTheme="minorHAnsi" w:hAnsiTheme="minorHAnsi" w:cstheme="minorHAnsi"/>
          <w:b/>
          <w:sz w:val="22"/>
          <w:szCs w:val="22"/>
        </w:rPr>
        <w:t>4.2.1 Education</w:t>
      </w:r>
      <w:bookmarkEnd w:id="85"/>
    </w:p>
    <w:p w:rsidR="003B3B17" w:rsidRPr="00B06331" w:rsidRDefault="003B3B17" w:rsidP="003B3B17">
      <w:pPr>
        <w:tabs>
          <w:tab w:val="left" w:pos="8730"/>
        </w:tabs>
        <w:spacing w:after="0"/>
        <w:jc w:val="both"/>
        <w:rPr>
          <w:rFonts w:ascii="Avenir Book" w:hAnsi="Avenir Book"/>
          <w:szCs w:val="24"/>
        </w:rPr>
      </w:pPr>
    </w:p>
    <w:p w:rsidR="003B3B17" w:rsidRPr="00B06331" w:rsidRDefault="003B3B17" w:rsidP="003B3B17">
      <w:pPr>
        <w:tabs>
          <w:tab w:val="left" w:pos="8730"/>
        </w:tabs>
        <w:spacing w:after="0"/>
        <w:jc w:val="both"/>
        <w:rPr>
          <w:rFonts w:ascii="Avenir Book" w:hAnsi="Avenir Book"/>
          <w:szCs w:val="24"/>
        </w:rPr>
      </w:pPr>
      <w:r w:rsidRPr="00B06331">
        <w:rPr>
          <w:rFonts w:ascii="Avenir Book" w:hAnsi="Avenir Book"/>
          <w:szCs w:val="24"/>
        </w:rPr>
        <w:t>Government commitment to education in The Gambia has historically been strong. Since 2010, government e</w:t>
      </w:r>
      <w:r w:rsidR="004D7E95" w:rsidRPr="00B06331">
        <w:rPr>
          <w:rFonts w:ascii="Avenir Book" w:hAnsi="Avenir Book"/>
          <w:szCs w:val="24"/>
        </w:rPr>
        <w:t>xpenditure on education has averaged</w:t>
      </w:r>
      <w:r w:rsidRPr="00B06331">
        <w:rPr>
          <w:rFonts w:ascii="Avenir Book" w:hAnsi="Avenir Book"/>
          <w:szCs w:val="24"/>
        </w:rPr>
        <w:t xml:space="preserve"> between 16% and 19%.  The Ministry of Basic and Secondary Education (MoBSE) and the Ministry of Higher Education, Research, Science and Technology (MoHERST) are revising the Education Sector Strategic Policy (ESSP) to align it with the recently ratified Education Policy (2017-2030) which is expected to be completed by August 2017.</w:t>
      </w:r>
    </w:p>
    <w:p w:rsidR="003B3B17" w:rsidRPr="00B06331" w:rsidRDefault="003B3B17" w:rsidP="003B3B17">
      <w:pPr>
        <w:tabs>
          <w:tab w:val="left" w:pos="8730"/>
        </w:tabs>
        <w:spacing w:after="0"/>
        <w:jc w:val="both"/>
        <w:rPr>
          <w:rFonts w:ascii="Avenir Book" w:hAnsi="Avenir Book"/>
          <w:szCs w:val="24"/>
        </w:rPr>
      </w:pPr>
    </w:p>
    <w:p w:rsidR="003B3B17" w:rsidRPr="00B06331" w:rsidRDefault="003B3B17" w:rsidP="003B3B17">
      <w:pPr>
        <w:tabs>
          <w:tab w:val="left" w:pos="8730"/>
        </w:tabs>
        <w:spacing w:after="0"/>
        <w:jc w:val="both"/>
        <w:rPr>
          <w:rFonts w:ascii="Avenir Book" w:hAnsi="Avenir Book"/>
          <w:szCs w:val="24"/>
        </w:rPr>
      </w:pPr>
      <w:r w:rsidRPr="00B06331">
        <w:rPr>
          <w:rFonts w:ascii="Avenir Book" w:hAnsi="Avenir Book"/>
          <w:szCs w:val="24"/>
        </w:rPr>
        <w:t>The Gambia has four levels of education: (i) Basic Education (nine years of uninterrupted learning – made up of l</w:t>
      </w:r>
      <w:r w:rsidR="00C97D8B" w:rsidRPr="00B06331">
        <w:rPr>
          <w:rFonts w:ascii="Avenir Book" w:hAnsi="Avenir Book"/>
          <w:szCs w:val="24"/>
        </w:rPr>
        <w:t>ower and upper basic education)</w:t>
      </w:r>
      <w:r w:rsidRPr="00B06331">
        <w:rPr>
          <w:rFonts w:ascii="Avenir Book" w:hAnsi="Avenir Book"/>
          <w:szCs w:val="24"/>
        </w:rPr>
        <w:t xml:space="preserve"> (ii) senior secondary education, (iii) tertiary education (non-degree post-secondary)</w:t>
      </w:r>
      <w:r w:rsidR="00FB254A" w:rsidRPr="00B06331">
        <w:rPr>
          <w:rFonts w:ascii="Avenir Book" w:hAnsi="Avenir Book"/>
          <w:szCs w:val="24"/>
        </w:rPr>
        <w:t>, and (iv) higher e</w:t>
      </w:r>
      <w:r w:rsidRPr="00B06331">
        <w:rPr>
          <w:rFonts w:ascii="Avenir Book" w:hAnsi="Avenir Book"/>
          <w:szCs w:val="24"/>
        </w:rPr>
        <w:t>ducation (degree level). Ongoing amendments to this structure will incorporate a technical vocational education and training (TVET) component as an alternative pathway within the senior secondary and tertiary and higher education levels. Striking the right balance between TVET and mainstream subjects will drive the national quest for relevant</w:t>
      </w:r>
      <w:r w:rsidR="003F329B" w:rsidRPr="00B06331">
        <w:rPr>
          <w:rFonts w:ascii="Avenir Book" w:hAnsi="Avenir Book"/>
          <w:szCs w:val="24"/>
        </w:rPr>
        <w:t xml:space="preserve"> education that meets the country’s</w:t>
      </w:r>
      <w:r w:rsidRPr="00B06331">
        <w:rPr>
          <w:rFonts w:ascii="Avenir Book" w:hAnsi="Avenir Book"/>
          <w:szCs w:val="24"/>
        </w:rPr>
        <w:t xml:space="preserve"> development aspirations and population dynamics/context. </w:t>
      </w:r>
    </w:p>
    <w:p w:rsidR="003B3B17" w:rsidRPr="00B06331" w:rsidRDefault="003B3B17" w:rsidP="003B3B17">
      <w:pPr>
        <w:pStyle w:val="NormalWeb"/>
        <w:spacing w:line="276" w:lineRule="auto"/>
        <w:jc w:val="both"/>
        <w:rPr>
          <w:rFonts w:ascii="Avenir Book" w:hAnsi="Avenir Book"/>
          <w:sz w:val="22"/>
          <w:szCs w:val="24"/>
        </w:rPr>
      </w:pPr>
      <w:r w:rsidRPr="00B06331">
        <w:rPr>
          <w:rFonts w:ascii="Avenir Book" w:hAnsi="Avenir Book"/>
          <w:sz w:val="22"/>
          <w:szCs w:val="24"/>
        </w:rPr>
        <w:t xml:space="preserve">Key achievements over the past years have included gender parity, fee free primary education policy, teacher training and management, and the education </w:t>
      </w:r>
      <w:r w:rsidR="00890E95" w:rsidRPr="00B06331">
        <w:rPr>
          <w:rFonts w:ascii="Avenir Book" w:hAnsi="Avenir Book"/>
          <w:sz w:val="22"/>
          <w:szCs w:val="24"/>
        </w:rPr>
        <w:t xml:space="preserve">management information system. </w:t>
      </w:r>
      <w:r w:rsidRPr="00B06331">
        <w:rPr>
          <w:rFonts w:ascii="Avenir Book" w:hAnsi="Avenir Book"/>
          <w:sz w:val="22"/>
          <w:szCs w:val="24"/>
        </w:rPr>
        <w:t xml:space="preserve">The Gambia has made commendable progress in achieving near gender balance in </w:t>
      </w:r>
      <w:r w:rsidR="003F329B" w:rsidRPr="00B06331">
        <w:rPr>
          <w:rFonts w:ascii="Avenir Book" w:hAnsi="Avenir Book"/>
          <w:sz w:val="22"/>
          <w:szCs w:val="24"/>
        </w:rPr>
        <w:t>enrolment</w:t>
      </w:r>
      <w:r w:rsidRPr="00B06331">
        <w:rPr>
          <w:rFonts w:ascii="Avenir Book" w:hAnsi="Avenir Book"/>
          <w:sz w:val="22"/>
          <w:szCs w:val="24"/>
        </w:rPr>
        <w:t xml:space="preserve"> in lower basic schools and upper basic schools. In 2016, female students accounted for 51 percent of all </w:t>
      </w:r>
      <w:r w:rsidR="003F329B" w:rsidRPr="00B06331">
        <w:rPr>
          <w:rFonts w:ascii="Avenir Book" w:hAnsi="Avenir Book"/>
          <w:sz w:val="22"/>
          <w:szCs w:val="24"/>
        </w:rPr>
        <w:t>enrolments</w:t>
      </w:r>
      <w:r w:rsidRPr="00B06331">
        <w:rPr>
          <w:rFonts w:ascii="Avenir Book" w:hAnsi="Avenir Book"/>
          <w:sz w:val="22"/>
          <w:szCs w:val="24"/>
        </w:rPr>
        <w:t xml:space="preserve"> and accounted for over 50 percent of </w:t>
      </w:r>
      <w:r w:rsidR="003F329B" w:rsidRPr="00B06331">
        <w:rPr>
          <w:rFonts w:ascii="Avenir Book" w:hAnsi="Avenir Book"/>
          <w:sz w:val="22"/>
          <w:szCs w:val="24"/>
        </w:rPr>
        <w:t>enrolments</w:t>
      </w:r>
      <w:r w:rsidRPr="00B06331">
        <w:rPr>
          <w:rFonts w:ascii="Avenir Book" w:hAnsi="Avenir Book"/>
          <w:sz w:val="22"/>
          <w:szCs w:val="24"/>
        </w:rPr>
        <w:t xml:space="preserve"> in each grade. Data confirms that girls complete at similar rates to boys as well (36.1 percent at senior level against 37.1 percent of boys). </w:t>
      </w:r>
    </w:p>
    <w:p w:rsidR="003B3B17" w:rsidRPr="00B06331" w:rsidRDefault="003B3B17" w:rsidP="003B3B17">
      <w:pPr>
        <w:pStyle w:val="ListParagraph"/>
        <w:spacing w:before="60" w:after="60"/>
        <w:ind w:left="0"/>
        <w:jc w:val="both"/>
        <w:rPr>
          <w:rFonts w:ascii="Avenir Book" w:hAnsi="Avenir Book"/>
          <w:szCs w:val="24"/>
        </w:rPr>
      </w:pPr>
      <w:r w:rsidRPr="00B06331">
        <w:rPr>
          <w:rFonts w:ascii="Avenir Book" w:hAnsi="Avenir Book"/>
          <w:szCs w:val="24"/>
        </w:rPr>
        <w:t>The Gambia has successfully begun implementing a fee-f</w:t>
      </w:r>
      <w:r w:rsidR="003F329B" w:rsidRPr="00B06331">
        <w:rPr>
          <w:rFonts w:ascii="Avenir Book" w:hAnsi="Avenir Book"/>
          <w:szCs w:val="24"/>
        </w:rPr>
        <w:t>ree education policy in public l</w:t>
      </w:r>
      <w:r w:rsidRPr="00B06331">
        <w:rPr>
          <w:rFonts w:ascii="Avenir Book" w:hAnsi="Avenir Book"/>
          <w:szCs w:val="24"/>
        </w:rPr>
        <w:t xml:space="preserve">ower basic, upper basic and senior secondary schools by providing sub-grants to schools, with the objective of </w:t>
      </w:r>
      <w:r w:rsidRPr="00B06331">
        <w:rPr>
          <w:rFonts w:ascii="Avenir Book" w:hAnsi="Avenir Book"/>
          <w:szCs w:val="24"/>
        </w:rPr>
        <w:lastRenderedPageBreak/>
        <w:t xml:space="preserve">increasing access, as school costs were prohibitive for disadvantaged families. Despite government proactive stance, large numbers of out of school youth remain. </w:t>
      </w:r>
    </w:p>
    <w:p w:rsidR="003B3B17" w:rsidRPr="00B06331" w:rsidRDefault="003B3B17" w:rsidP="003B3B17">
      <w:pPr>
        <w:pStyle w:val="ListParagraph"/>
        <w:spacing w:before="60" w:after="60"/>
        <w:ind w:left="0"/>
        <w:jc w:val="both"/>
        <w:rPr>
          <w:rFonts w:ascii="Avenir Book" w:hAnsi="Avenir Book"/>
          <w:szCs w:val="24"/>
        </w:rPr>
      </w:pPr>
    </w:p>
    <w:p w:rsidR="003B3B17" w:rsidRPr="00B06331" w:rsidRDefault="003B3B17" w:rsidP="003B3B17">
      <w:pPr>
        <w:pStyle w:val="ListParagraph"/>
        <w:spacing w:before="60" w:after="60"/>
        <w:ind w:left="0"/>
        <w:jc w:val="both"/>
        <w:rPr>
          <w:rFonts w:ascii="Avenir Book" w:hAnsi="Avenir Book"/>
          <w:szCs w:val="24"/>
        </w:rPr>
      </w:pPr>
      <w:r w:rsidRPr="00B06331">
        <w:rPr>
          <w:rFonts w:ascii="Avenir Book" w:hAnsi="Avenir Book"/>
          <w:szCs w:val="24"/>
        </w:rPr>
        <w:t>The number of teachers has grown rapidly in the last five years through sustained intervention from the Government to address shortages and increasing enrollment of students – a critical step in expanding access.  The increase has reduced the pupil to teacher ratio substantially. Further</w:t>
      </w:r>
      <w:r w:rsidR="003F329B" w:rsidRPr="00B06331">
        <w:rPr>
          <w:rFonts w:ascii="Avenir Book" w:hAnsi="Avenir Book"/>
          <w:szCs w:val="24"/>
        </w:rPr>
        <w:t>more</w:t>
      </w:r>
      <w:r w:rsidRPr="00B06331">
        <w:rPr>
          <w:rFonts w:ascii="Avenir Book" w:hAnsi="Avenir Book"/>
          <w:szCs w:val="24"/>
        </w:rPr>
        <w:t xml:space="preserve">, a combination of strategic stipends to teacher </w:t>
      </w:r>
      <w:r w:rsidR="00C97D8B" w:rsidRPr="00B06331">
        <w:rPr>
          <w:rFonts w:ascii="Avenir Book" w:hAnsi="Avenir Book"/>
          <w:szCs w:val="24"/>
        </w:rPr>
        <w:t>trainees</w:t>
      </w:r>
      <w:r w:rsidRPr="00B06331">
        <w:rPr>
          <w:rFonts w:ascii="Avenir Book" w:hAnsi="Avenir Book"/>
          <w:szCs w:val="24"/>
        </w:rPr>
        <w:t xml:space="preserve"> and hardship allowances to teachers who teach in designated hardship areas in regions 3-6 has equalized the deployment of qualified teachers throughout the country. </w:t>
      </w:r>
    </w:p>
    <w:p w:rsidR="003B3B17" w:rsidRPr="00B06331" w:rsidRDefault="003B3B17" w:rsidP="003B3B17">
      <w:pPr>
        <w:pStyle w:val="ListParagraph"/>
        <w:spacing w:before="60" w:after="60"/>
        <w:ind w:left="0"/>
        <w:jc w:val="both"/>
        <w:rPr>
          <w:rFonts w:ascii="Avenir Book" w:hAnsi="Avenir Book"/>
          <w:szCs w:val="24"/>
        </w:rPr>
      </w:pPr>
    </w:p>
    <w:p w:rsidR="003B3B17" w:rsidRPr="00B06331" w:rsidRDefault="003B3B17" w:rsidP="003B3B17">
      <w:pPr>
        <w:pStyle w:val="ListParagraph"/>
        <w:spacing w:before="60" w:after="60"/>
        <w:ind w:left="0"/>
        <w:jc w:val="both"/>
        <w:rPr>
          <w:rFonts w:ascii="Avenir Book" w:hAnsi="Avenir Book"/>
          <w:szCs w:val="24"/>
        </w:rPr>
      </w:pPr>
      <w:r w:rsidRPr="00B06331">
        <w:rPr>
          <w:rFonts w:ascii="Avenir Book" w:hAnsi="Avenir Book"/>
          <w:szCs w:val="24"/>
        </w:rPr>
        <w:t xml:space="preserve">There has been steady progress in the development of an integrated EMIS in the sector. The data is collected annually and utilized for policy choices about key initiatives in the sector, e.g. where to focus school construction, enrollment targeting, teacher hardship allowances, etc.  </w:t>
      </w:r>
    </w:p>
    <w:p w:rsidR="003B3B17" w:rsidRPr="00B06331" w:rsidRDefault="003F329B" w:rsidP="003B3B17">
      <w:pPr>
        <w:tabs>
          <w:tab w:val="left" w:pos="8730"/>
        </w:tabs>
        <w:jc w:val="both"/>
        <w:rPr>
          <w:rFonts w:ascii="Avenir Book" w:hAnsi="Avenir Book"/>
          <w:szCs w:val="24"/>
        </w:rPr>
      </w:pPr>
      <w:r w:rsidRPr="00B06331">
        <w:rPr>
          <w:rFonts w:ascii="Avenir Book" w:hAnsi="Avenir Book"/>
          <w:szCs w:val="24"/>
        </w:rPr>
        <w:t xml:space="preserve">In Table 4.1 below, key educational outcomes at different levels and their policy implications are presented. </w:t>
      </w:r>
      <w:r w:rsidR="003B3B17" w:rsidRPr="00B06331">
        <w:rPr>
          <w:rFonts w:ascii="Avenir Book" w:hAnsi="Avenir Book"/>
          <w:szCs w:val="24"/>
        </w:rPr>
        <w:t xml:space="preserve">Generally, educational outcomes are reviewed </w:t>
      </w:r>
      <w:r w:rsidRPr="00B06331">
        <w:rPr>
          <w:rFonts w:ascii="Avenir Book" w:hAnsi="Avenir Book"/>
          <w:szCs w:val="24"/>
        </w:rPr>
        <w:t>based on</w:t>
      </w:r>
      <w:r w:rsidR="003B3B17" w:rsidRPr="00B06331">
        <w:rPr>
          <w:rFonts w:ascii="Avenir Book" w:hAnsi="Avenir Book"/>
          <w:szCs w:val="24"/>
        </w:rPr>
        <w:t xml:space="preserve"> access, equity, quality and relevance. These four criteria will thus form the framework for this</w:t>
      </w:r>
      <w:r w:rsidRPr="00B06331">
        <w:rPr>
          <w:rFonts w:ascii="Avenir Book" w:hAnsi="Avenir Book"/>
          <w:szCs w:val="24"/>
        </w:rPr>
        <w:t xml:space="preserve"> assessment of the sector.</w:t>
      </w:r>
    </w:p>
    <w:p w:rsidR="003B3B17" w:rsidRPr="00B06331" w:rsidRDefault="004D2867" w:rsidP="003B3B17">
      <w:pPr>
        <w:tabs>
          <w:tab w:val="left" w:pos="8730"/>
        </w:tabs>
        <w:jc w:val="both"/>
        <w:rPr>
          <w:rFonts w:ascii="Avenir Book" w:hAnsi="Avenir Book"/>
          <w:b/>
          <w:sz w:val="20"/>
          <w:szCs w:val="24"/>
        </w:rPr>
      </w:pPr>
      <w:r w:rsidRPr="00B06331">
        <w:rPr>
          <w:rFonts w:ascii="Avenir Book" w:hAnsi="Avenir Book"/>
          <w:b/>
          <w:sz w:val="20"/>
          <w:szCs w:val="24"/>
        </w:rPr>
        <w:t>Table 4.1: Key Attainments or Gaps under the main O</w:t>
      </w:r>
      <w:r w:rsidR="003B3B17" w:rsidRPr="00B06331">
        <w:rPr>
          <w:rFonts w:ascii="Avenir Book" w:hAnsi="Avenir Book"/>
          <w:b/>
          <w:sz w:val="20"/>
          <w:szCs w:val="24"/>
        </w:rPr>
        <w:t>utcomes</w:t>
      </w:r>
    </w:p>
    <w:tbl>
      <w:tblPr>
        <w:tblStyle w:val="GridTable4-Accent12"/>
        <w:tblW w:w="0" w:type="auto"/>
        <w:tblLook w:val="04A0"/>
      </w:tblPr>
      <w:tblGrid>
        <w:gridCol w:w="1548"/>
        <w:gridCol w:w="1980"/>
        <w:gridCol w:w="2880"/>
        <w:gridCol w:w="3168"/>
      </w:tblGrid>
      <w:tr w:rsidR="003B3B17" w:rsidRPr="00B06331" w:rsidTr="003B3B17">
        <w:trPr>
          <w:cnfStyle w:val="100000000000"/>
          <w:trHeight w:val="575"/>
        </w:trPr>
        <w:tc>
          <w:tcPr>
            <w:cnfStyle w:val="001000000000"/>
            <w:tcW w:w="1548" w:type="dxa"/>
            <w:hideMark/>
          </w:tcPr>
          <w:p w:rsidR="003B3B17" w:rsidRPr="00B06331" w:rsidRDefault="003B3B17" w:rsidP="003B3B17">
            <w:pPr>
              <w:tabs>
                <w:tab w:val="left" w:pos="8730"/>
              </w:tabs>
              <w:jc w:val="center"/>
              <w:rPr>
                <w:rFonts w:ascii="Avenir Book" w:eastAsia="Cambria" w:hAnsi="Avenir Book"/>
                <w:lang w:val="en-GB"/>
              </w:rPr>
            </w:pPr>
            <w:r w:rsidRPr="00B06331">
              <w:rPr>
                <w:rFonts w:ascii="Avenir Book" w:eastAsia="Cambria" w:hAnsi="Avenir Book"/>
                <w:lang w:val="en-GB"/>
              </w:rPr>
              <w:t>Educational Outcome</w:t>
            </w:r>
          </w:p>
        </w:tc>
        <w:tc>
          <w:tcPr>
            <w:tcW w:w="1980" w:type="dxa"/>
            <w:hideMark/>
          </w:tcPr>
          <w:p w:rsidR="003B3B17" w:rsidRPr="00B06331" w:rsidRDefault="003B3B17" w:rsidP="003B3B17">
            <w:pPr>
              <w:tabs>
                <w:tab w:val="left" w:pos="8730"/>
              </w:tabs>
              <w:jc w:val="center"/>
              <w:cnfStyle w:val="100000000000"/>
              <w:rPr>
                <w:rFonts w:ascii="Avenir Book" w:eastAsia="Cambria" w:hAnsi="Avenir Book"/>
                <w:lang w:val="en-GB"/>
              </w:rPr>
            </w:pPr>
            <w:r w:rsidRPr="00B06331">
              <w:rPr>
                <w:rFonts w:ascii="Avenir Book" w:eastAsia="Cambria" w:hAnsi="Avenir Book"/>
                <w:lang w:val="en-GB"/>
              </w:rPr>
              <w:t>Educational Level</w:t>
            </w:r>
          </w:p>
        </w:tc>
        <w:tc>
          <w:tcPr>
            <w:tcW w:w="2880" w:type="dxa"/>
            <w:hideMark/>
          </w:tcPr>
          <w:p w:rsidR="003B3B17" w:rsidRPr="00B06331" w:rsidRDefault="003B3B17" w:rsidP="003B3B17">
            <w:pPr>
              <w:tabs>
                <w:tab w:val="left" w:pos="8730"/>
              </w:tabs>
              <w:jc w:val="center"/>
              <w:cnfStyle w:val="100000000000"/>
              <w:rPr>
                <w:rFonts w:ascii="Avenir Book" w:eastAsia="Cambria" w:hAnsi="Avenir Book"/>
                <w:lang w:val="en-GB"/>
              </w:rPr>
            </w:pPr>
            <w:r w:rsidRPr="00B06331">
              <w:rPr>
                <w:rFonts w:ascii="Avenir Book" w:eastAsia="Cambria" w:hAnsi="Avenir Book"/>
                <w:lang w:val="en-GB"/>
              </w:rPr>
              <w:t>Critical Attainment/Gap</w:t>
            </w:r>
          </w:p>
        </w:tc>
        <w:tc>
          <w:tcPr>
            <w:tcW w:w="3168" w:type="dxa"/>
            <w:hideMark/>
          </w:tcPr>
          <w:p w:rsidR="003B3B17" w:rsidRPr="00B06331" w:rsidRDefault="003B3B17" w:rsidP="003B3B17">
            <w:pPr>
              <w:tabs>
                <w:tab w:val="left" w:pos="8730"/>
              </w:tabs>
              <w:jc w:val="center"/>
              <w:cnfStyle w:val="100000000000"/>
              <w:rPr>
                <w:rFonts w:ascii="Avenir Book" w:eastAsia="Cambria" w:hAnsi="Avenir Book"/>
                <w:lang w:val="en-GB"/>
              </w:rPr>
            </w:pPr>
            <w:r w:rsidRPr="00B06331">
              <w:rPr>
                <w:rFonts w:ascii="Avenir Book" w:eastAsia="Cambria" w:hAnsi="Avenir Book"/>
                <w:lang w:val="en-GB"/>
              </w:rPr>
              <w:t>Policy Implications</w:t>
            </w:r>
          </w:p>
        </w:tc>
      </w:tr>
      <w:tr w:rsidR="003B3B17" w:rsidRPr="00B06331" w:rsidTr="003B3B17">
        <w:trPr>
          <w:cnfStyle w:val="000000100000"/>
        </w:trPr>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 xml:space="preserve">Gross enrolment rate (GER) </w:t>
            </w:r>
          </w:p>
        </w:tc>
        <w:tc>
          <w:tcPr>
            <w:tcW w:w="1980"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Early Child Care Development (ECD)</w:t>
            </w:r>
          </w:p>
        </w:tc>
        <w:tc>
          <w:tcPr>
            <w:tcW w:w="2880" w:type="dxa"/>
          </w:tcPr>
          <w:p w:rsidR="003B3B17" w:rsidRPr="00B06331" w:rsidRDefault="003B3B17" w:rsidP="003B3B17">
            <w:pPr>
              <w:tabs>
                <w:tab w:val="left" w:pos="8730"/>
              </w:tabs>
              <w:spacing w:after="0"/>
              <w:jc w:val="both"/>
              <w:cnfStyle w:val="000000100000"/>
              <w:rPr>
                <w:rFonts w:ascii="Avenir Book" w:eastAsia="Cambria" w:hAnsi="Avenir Book"/>
                <w:u w:val="single"/>
                <w:lang w:val="en-GB"/>
              </w:rPr>
            </w:pPr>
            <w:r w:rsidRPr="00B06331">
              <w:rPr>
                <w:rFonts w:ascii="Avenir Book" w:eastAsia="Cambria" w:hAnsi="Avenir Book"/>
                <w:u w:val="single"/>
                <w:lang w:val="en-GB"/>
              </w:rPr>
              <w:t>Slight Improvement</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2011 = 41.1%  </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2016 = 45.8%</w:t>
            </w:r>
          </w:p>
          <w:p w:rsidR="003B3B17" w:rsidRPr="00B06331" w:rsidRDefault="003B3B17" w:rsidP="003B3B17">
            <w:pPr>
              <w:tabs>
                <w:tab w:val="left" w:pos="8730"/>
              </w:tabs>
              <w:spacing w:after="0"/>
              <w:jc w:val="both"/>
              <w:cnfStyle w:val="000000100000"/>
              <w:rPr>
                <w:rFonts w:ascii="Avenir Book" w:eastAsia="Cambria" w:hAnsi="Avenir Book"/>
                <w:lang w:val="en-GB"/>
              </w:rPr>
            </w:pPr>
          </w:p>
        </w:tc>
        <w:tc>
          <w:tcPr>
            <w:tcW w:w="3168"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Despite its importance, half of qualified children are not accessing ECD. Regional disparities exist with RED 3 &amp; 4 worst off</w:t>
            </w:r>
          </w:p>
        </w:tc>
      </w:tr>
      <w:tr w:rsidR="003B3B17" w:rsidRPr="00B06331" w:rsidTr="003B3B17">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Gross enrolment rate (GER)</w:t>
            </w:r>
          </w:p>
        </w:tc>
        <w:tc>
          <w:tcPr>
            <w:tcW w:w="1980" w:type="dxa"/>
            <w:hideMark/>
          </w:tcPr>
          <w:p w:rsidR="003B3B17" w:rsidRPr="00B06331" w:rsidRDefault="003B3B17"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 xml:space="preserve">Lower Basic Education </w:t>
            </w:r>
          </w:p>
        </w:tc>
        <w:tc>
          <w:tcPr>
            <w:tcW w:w="2880" w:type="dxa"/>
            <w:hideMark/>
          </w:tcPr>
          <w:p w:rsidR="003B3B17" w:rsidRPr="00B06331" w:rsidRDefault="003B3B17" w:rsidP="003B3B17">
            <w:pPr>
              <w:tabs>
                <w:tab w:val="left" w:pos="8730"/>
              </w:tabs>
              <w:spacing w:after="0"/>
              <w:jc w:val="both"/>
              <w:cnfStyle w:val="000000000000"/>
              <w:rPr>
                <w:rFonts w:ascii="Avenir Book" w:eastAsia="Cambria" w:hAnsi="Avenir Book"/>
                <w:u w:val="single"/>
                <w:lang w:val="en-GB"/>
              </w:rPr>
            </w:pPr>
            <w:r w:rsidRPr="00B06331">
              <w:rPr>
                <w:rFonts w:ascii="Avenir Book" w:eastAsia="Cambria" w:hAnsi="Avenir Book"/>
                <w:u w:val="single"/>
                <w:lang w:val="en-GB"/>
              </w:rPr>
              <w:t>Universal Access Attained</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 xml:space="preserve">2015 = 101.2% </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 xml:space="preserve">2016 = 104% </w:t>
            </w:r>
          </w:p>
        </w:tc>
        <w:tc>
          <w:tcPr>
            <w:tcW w:w="3168" w:type="dxa"/>
            <w:hideMark/>
          </w:tcPr>
          <w:p w:rsidR="003B3B17" w:rsidRPr="00B06331" w:rsidRDefault="003B3B17"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The Gambia attained well above the MDG target. Focus shifted to quality and relevance</w:t>
            </w:r>
          </w:p>
        </w:tc>
      </w:tr>
      <w:tr w:rsidR="003B3B17" w:rsidRPr="00B06331" w:rsidTr="003B3B17">
        <w:trPr>
          <w:cnfStyle w:val="000000100000"/>
        </w:trPr>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Gross enrolment rate (GER)</w:t>
            </w:r>
          </w:p>
        </w:tc>
        <w:tc>
          <w:tcPr>
            <w:tcW w:w="1980"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 xml:space="preserve">Upper Basic Education </w:t>
            </w:r>
          </w:p>
        </w:tc>
        <w:tc>
          <w:tcPr>
            <w:tcW w:w="2880" w:type="dxa"/>
            <w:hideMark/>
          </w:tcPr>
          <w:p w:rsidR="003B3B17" w:rsidRPr="00B06331" w:rsidRDefault="003B3B17" w:rsidP="003B3B17">
            <w:pPr>
              <w:tabs>
                <w:tab w:val="left" w:pos="8730"/>
              </w:tabs>
              <w:spacing w:after="0"/>
              <w:jc w:val="both"/>
              <w:cnfStyle w:val="000000100000"/>
              <w:rPr>
                <w:rFonts w:ascii="Avenir Book" w:eastAsia="Cambria" w:hAnsi="Avenir Book"/>
                <w:u w:val="single"/>
                <w:lang w:val="en-GB"/>
              </w:rPr>
            </w:pPr>
            <w:r w:rsidRPr="00B06331">
              <w:rPr>
                <w:rFonts w:ascii="Avenir Book" w:eastAsia="Cambria" w:hAnsi="Avenir Book"/>
                <w:u w:val="single"/>
                <w:lang w:val="en-GB"/>
              </w:rPr>
              <w:t>Gains Reversed</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2012 = 66.7% </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2015 = 68.3% </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2016 = 66.8%</w:t>
            </w:r>
          </w:p>
        </w:tc>
        <w:tc>
          <w:tcPr>
            <w:tcW w:w="3168"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The gains reversed further from the 75% 2023 national target. Regional disparities exist. Remotest region RED6 = 33.3%; Urban RED 1 = 100%</w:t>
            </w:r>
          </w:p>
        </w:tc>
      </w:tr>
      <w:tr w:rsidR="003B3B17" w:rsidRPr="00B06331" w:rsidTr="003B3B17">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Gross enrolment rate (GER)</w:t>
            </w:r>
          </w:p>
        </w:tc>
        <w:tc>
          <w:tcPr>
            <w:tcW w:w="1980" w:type="dxa"/>
            <w:hideMark/>
          </w:tcPr>
          <w:p w:rsidR="003B3B17" w:rsidRPr="00B06331" w:rsidRDefault="003B3B17"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 xml:space="preserve">Senior Secondary Education </w:t>
            </w:r>
          </w:p>
        </w:tc>
        <w:tc>
          <w:tcPr>
            <w:tcW w:w="2880" w:type="dxa"/>
            <w:hideMark/>
          </w:tcPr>
          <w:p w:rsidR="003B3B17" w:rsidRPr="00B06331" w:rsidRDefault="003B3B17" w:rsidP="003B3B17">
            <w:pPr>
              <w:tabs>
                <w:tab w:val="left" w:pos="8730"/>
              </w:tabs>
              <w:spacing w:after="0"/>
              <w:jc w:val="both"/>
              <w:cnfStyle w:val="000000000000"/>
              <w:rPr>
                <w:rFonts w:ascii="Avenir Book" w:eastAsia="Cambria" w:hAnsi="Avenir Book"/>
                <w:u w:val="single"/>
                <w:lang w:val="en-GB"/>
              </w:rPr>
            </w:pPr>
            <w:r w:rsidRPr="00B06331">
              <w:rPr>
                <w:rFonts w:ascii="Avenir Book" w:eastAsia="Cambria" w:hAnsi="Avenir Book"/>
                <w:u w:val="single"/>
                <w:lang w:val="en-GB"/>
              </w:rPr>
              <w:t>Slight Increase</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 xml:space="preserve"> 2012 = 36.2%  </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 xml:space="preserve">2015 = 41.6% </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2016 = 44.0%</w:t>
            </w:r>
          </w:p>
        </w:tc>
        <w:tc>
          <w:tcPr>
            <w:tcW w:w="3168" w:type="dxa"/>
            <w:hideMark/>
          </w:tcPr>
          <w:p w:rsidR="003B3B17" w:rsidRPr="00B06331" w:rsidRDefault="003F329B"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Females are trailing</w:t>
            </w:r>
            <w:r w:rsidR="003B3B17" w:rsidRPr="00B06331">
              <w:rPr>
                <w:rFonts w:ascii="Avenir Book" w:eastAsia="Cambria" w:hAnsi="Avenir Book"/>
                <w:lang w:val="en-GB"/>
              </w:rPr>
              <w:t xml:space="preserve"> males and regional disparities exist. Remotest region RED6 = 11%; compared to Urban RED 1 = 68.8 %</w:t>
            </w:r>
          </w:p>
        </w:tc>
      </w:tr>
      <w:tr w:rsidR="003B3B17" w:rsidRPr="00B06331" w:rsidTr="003B3B17">
        <w:trPr>
          <w:cnfStyle w:val="000000100000"/>
        </w:trPr>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Completion Rate (CR)</w:t>
            </w:r>
          </w:p>
        </w:tc>
        <w:tc>
          <w:tcPr>
            <w:tcW w:w="1980"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 xml:space="preserve">Lower Basic Education </w:t>
            </w:r>
          </w:p>
        </w:tc>
        <w:tc>
          <w:tcPr>
            <w:tcW w:w="2880" w:type="dxa"/>
            <w:hideMark/>
          </w:tcPr>
          <w:p w:rsidR="003B3B17" w:rsidRPr="00B06331" w:rsidRDefault="003B3B17" w:rsidP="003B3B17">
            <w:pPr>
              <w:tabs>
                <w:tab w:val="left" w:pos="8730"/>
              </w:tabs>
              <w:spacing w:after="0"/>
              <w:jc w:val="both"/>
              <w:cnfStyle w:val="000000100000"/>
              <w:rPr>
                <w:rFonts w:ascii="Avenir Book" w:eastAsia="Cambria" w:hAnsi="Avenir Book"/>
                <w:u w:val="single"/>
                <w:lang w:val="en-GB"/>
              </w:rPr>
            </w:pPr>
            <w:r w:rsidRPr="00B06331">
              <w:rPr>
                <w:rFonts w:ascii="Avenir Book" w:eastAsia="Cambria" w:hAnsi="Avenir Book"/>
                <w:u w:val="single"/>
                <w:lang w:val="en-GB"/>
              </w:rPr>
              <w:t>Universal Access Attained</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2015 = 73.6% </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2016 </w:t>
            </w:r>
            <w:r w:rsidR="00C97D8B" w:rsidRPr="00B06331">
              <w:rPr>
                <w:rFonts w:ascii="Avenir Book" w:eastAsia="Cambria" w:hAnsi="Avenir Book"/>
                <w:lang w:val="en-GB"/>
              </w:rPr>
              <w:t>=??</w:t>
            </w:r>
            <w:r w:rsidRPr="00B06331">
              <w:rPr>
                <w:rFonts w:ascii="Avenir Book" w:eastAsia="Cambria" w:hAnsi="Avenir Book"/>
                <w:lang w:val="en-GB"/>
              </w:rPr>
              <w:t xml:space="preserve">% </w:t>
            </w:r>
          </w:p>
        </w:tc>
        <w:tc>
          <w:tcPr>
            <w:tcW w:w="3168"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 xml:space="preserve">The completion rate for females is higher than for males and the usual trend in regional disparities exist. However, the urban RED 1 </w:t>
            </w:r>
            <w:r w:rsidRPr="00B06331">
              <w:rPr>
                <w:rFonts w:ascii="Avenir Book" w:eastAsia="Cambria" w:hAnsi="Avenir Book"/>
                <w:lang w:val="en-GB"/>
              </w:rPr>
              <w:lastRenderedPageBreak/>
              <w:t>registered a continuous drop in CR over the past 3 years while the rest of rural Gambia either stagnates or increases its CR (except RED 3)</w:t>
            </w:r>
          </w:p>
        </w:tc>
      </w:tr>
      <w:tr w:rsidR="003B3B17" w:rsidRPr="00B06331" w:rsidTr="003B3B17">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lastRenderedPageBreak/>
              <w:t>Completion Rate (CR)</w:t>
            </w:r>
          </w:p>
        </w:tc>
        <w:tc>
          <w:tcPr>
            <w:tcW w:w="1980" w:type="dxa"/>
            <w:hideMark/>
          </w:tcPr>
          <w:p w:rsidR="003B3B17" w:rsidRPr="00B06331" w:rsidRDefault="003B3B17"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 xml:space="preserve">Upper Basic Education </w:t>
            </w:r>
          </w:p>
        </w:tc>
        <w:tc>
          <w:tcPr>
            <w:tcW w:w="2880" w:type="dxa"/>
            <w:hideMark/>
          </w:tcPr>
          <w:p w:rsidR="003B3B17" w:rsidRPr="00B06331" w:rsidRDefault="003B3B17" w:rsidP="003B3B17">
            <w:pPr>
              <w:tabs>
                <w:tab w:val="left" w:pos="8730"/>
              </w:tabs>
              <w:spacing w:after="0"/>
              <w:jc w:val="both"/>
              <w:cnfStyle w:val="000000000000"/>
              <w:rPr>
                <w:rFonts w:ascii="Avenir Book" w:eastAsia="Cambria" w:hAnsi="Avenir Book"/>
                <w:u w:val="single"/>
                <w:lang w:val="en-GB"/>
              </w:rPr>
            </w:pPr>
            <w:r w:rsidRPr="00B06331">
              <w:rPr>
                <w:rFonts w:ascii="Avenir Book" w:eastAsia="Cambria" w:hAnsi="Avenir Book"/>
                <w:u w:val="single"/>
                <w:lang w:val="en-GB"/>
              </w:rPr>
              <w:t>Gains Reversed</w:t>
            </w:r>
          </w:p>
          <w:p w:rsidR="003B3B17" w:rsidRPr="00B06331" w:rsidRDefault="003B3B17" w:rsidP="003B3B17">
            <w:pPr>
              <w:tabs>
                <w:tab w:val="left" w:pos="8730"/>
              </w:tabs>
              <w:spacing w:after="0"/>
              <w:jc w:val="both"/>
              <w:cnfStyle w:val="000000000000"/>
              <w:rPr>
                <w:rFonts w:ascii="Avenir Book" w:eastAsia="Cambria" w:hAnsi="Avenir Book"/>
                <w:u w:val="single"/>
                <w:lang w:val="en-GB"/>
              </w:rPr>
            </w:pPr>
            <w:r w:rsidRPr="00B06331">
              <w:rPr>
                <w:rFonts w:ascii="Avenir Book" w:eastAsia="Cambria" w:hAnsi="Avenir Book"/>
                <w:lang w:val="en-GB"/>
              </w:rPr>
              <w:t xml:space="preserve">2013 = 64.8% </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2016 = 61.0%</w:t>
            </w:r>
          </w:p>
        </w:tc>
        <w:tc>
          <w:tcPr>
            <w:tcW w:w="3168" w:type="dxa"/>
            <w:hideMark/>
          </w:tcPr>
          <w:p w:rsidR="003B3B17" w:rsidRPr="00B06331" w:rsidRDefault="003B3B17"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Girls’ completion rate registered marginal increase during this period. Regional disparities exist. Remotest region RED6 = 24.3%; Urban RED 1 = 103% in 2015</w:t>
            </w:r>
          </w:p>
        </w:tc>
      </w:tr>
      <w:tr w:rsidR="003B3B17" w:rsidRPr="00B06331" w:rsidTr="003B3B17">
        <w:trPr>
          <w:cnfStyle w:val="000000100000"/>
        </w:trPr>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Completion Rate (CR)</w:t>
            </w:r>
          </w:p>
        </w:tc>
        <w:tc>
          <w:tcPr>
            <w:tcW w:w="1980"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 xml:space="preserve">Senior Secondary Education </w:t>
            </w:r>
          </w:p>
        </w:tc>
        <w:tc>
          <w:tcPr>
            <w:tcW w:w="2880" w:type="dxa"/>
            <w:hideMark/>
          </w:tcPr>
          <w:p w:rsidR="003B3B17" w:rsidRPr="00B06331" w:rsidRDefault="003B3B17" w:rsidP="003B3B17">
            <w:pPr>
              <w:tabs>
                <w:tab w:val="left" w:pos="8730"/>
              </w:tabs>
              <w:spacing w:after="0"/>
              <w:jc w:val="both"/>
              <w:cnfStyle w:val="000000100000"/>
              <w:rPr>
                <w:rFonts w:ascii="Avenir Book" w:eastAsia="Cambria" w:hAnsi="Avenir Book"/>
                <w:u w:val="single"/>
                <w:lang w:val="en-GB"/>
              </w:rPr>
            </w:pPr>
            <w:r w:rsidRPr="00B06331">
              <w:rPr>
                <w:rFonts w:ascii="Avenir Book" w:eastAsia="Cambria" w:hAnsi="Avenir Book"/>
                <w:u w:val="single"/>
                <w:lang w:val="en-GB"/>
              </w:rPr>
              <w:t>Good Increase</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2013 = 30.8%  </w:t>
            </w: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2016 = 36.6%</w:t>
            </w:r>
          </w:p>
        </w:tc>
        <w:tc>
          <w:tcPr>
            <w:tcW w:w="3168" w:type="dxa"/>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Females are trailing being males and regional disparities exist. Remotest region RED6 = 8.3%; compared to Urban RED 1 = 61.0 % in 2015</w:t>
            </w:r>
          </w:p>
        </w:tc>
      </w:tr>
      <w:tr w:rsidR="003B3B17" w:rsidRPr="00B06331" w:rsidTr="003B3B17">
        <w:tc>
          <w:tcPr>
            <w:cnfStyle w:val="001000000000"/>
            <w:tcW w:w="1548" w:type="dxa"/>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 xml:space="preserve">Competency Rate </w:t>
            </w:r>
          </w:p>
        </w:tc>
        <w:tc>
          <w:tcPr>
            <w:tcW w:w="1980" w:type="dxa"/>
            <w:hideMark/>
          </w:tcPr>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NAT 3 (Age 9 years)</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NAT 5 (Age 11 years)</w:t>
            </w:r>
          </w:p>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NAT 8 (Age 14 years)</w:t>
            </w:r>
          </w:p>
          <w:p w:rsidR="003B3B17" w:rsidRPr="00B06331" w:rsidRDefault="00FB254A"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GABECE (Age15 year</w:t>
            </w:r>
            <w:r w:rsidR="003B3B17" w:rsidRPr="00B06331">
              <w:rPr>
                <w:rFonts w:ascii="Avenir Book" w:eastAsia="Cambria" w:hAnsi="Avenir Book"/>
                <w:lang w:val="en-GB"/>
              </w:rPr>
              <w:t>s)</w:t>
            </w:r>
          </w:p>
        </w:tc>
        <w:tc>
          <w:tcPr>
            <w:tcW w:w="2880" w:type="dxa"/>
            <w:hideMark/>
          </w:tcPr>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Students show consistently weak results in Mathematics, Science, and English with weaker results progressively attained at NAT 8 and GABECE levels</w:t>
            </w:r>
          </w:p>
        </w:tc>
        <w:tc>
          <w:tcPr>
            <w:tcW w:w="3168" w:type="dxa"/>
            <w:hideMark/>
          </w:tcPr>
          <w:p w:rsidR="003B3B17" w:rsidRPr="00B06331" w:rsidRDefault="003B3B17" w:rsidP="003B3B17">
            <w:pPr>
              <w:tabs>
                <w:tab w:val="left" w:pos="8730"/>
              </w:tabs>
              <w:jc w:val="both"/>
              <w:cnfStyle w:val="000000000000"/>
              <w:rPr>
                <w:rFonts w:ascii="Avenir Book" w:eastAsia="Cambria" w:hAnsi="Avenir Book"/>
                <w:lang w:val="en-GB"/>
              </w:rPr>
            </w:pPr>
            <w:r w:rsidRPr="00B06331">
              <w:rPr>
                <w:rFonts w:ascii="Avenir Book" w:eastAsia="Cambria" w:hAnsi="Avenir Book"/>
                <w:lang w:val="en-GB"/>
              </w:rPr>
              <w:t>This is evidence of the need to match the gains in access &amp; equity with similar/more gains in quality. This will ensure that the right calibre of candidates transition into the tertiary and higher education levels</w:t>
            </w:r>
          </w:p>
        </w:tc>
      </w:tr>
      <w:tr w:rsidR="003B3B17" w:rsidRPr="00B06331" w:rsidTr="003B3B17">
        <w:trPr>
          <w:cnfStyle w:val="000000100000"/>
        </w:trPr>
        <w:tc>
          <w:tcPr>
            <w:cnfStyle w:val="001000000000"/>
            <w:tcW w:w="1548" w:type="dxa"/>
            <w:vMerge w:val="restart"/>
            <w:hideMark/>
          </w:tcPr>
          <w:p w:rsidR="003B3B17" w:rsidRPr="00B06331" w:rsidRDefault="003B3B17" w:rsidP="003B3B17">
            <w:pPr>
              <w:tabs>
                <w:tab w:val="left" w:pos="8730"/>
              </w:tabs>
              <w:jc w:val="both"/>
              <w:rPr>
                <w:rFonts w:ascii="Avenir Book" w:eastAsia="Cambria" w:hAnsi="Avenir Book"/>
                <w:lang w:val="en-GB"/>
              </w:rPr>
            </w:pPr>
            <w:r w:rsidRPr="00B06331">
              <w:rPr>
                <w:rFonts w:ascii="Avenir Book" w:eastAsia="Cambria" w:hAnsi="Avenir Book"/>
                <w:lang w:val="en-GB"/>
              </w:rPr>
              <w:t>Access (based on availability)</w:t>
            </w:r>
          </w:p>
        </w:tc>
        <w:tc>
          <w:tcPr>
            <w:tcW w:w="1980" w:type="dxa"/>
            <w:hideMark/>
          </w:tcPr>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Higher Education institutions (Universities)</w:t>
            </w:r>
          </w:p>
        </w:tc>
        <w:tc>
          <w:tcPr>
            <w:tcW w:w="2880" w:type="dxa"/>
            <w:hideMark/>
          </w:tcPr>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 xml:space="preserve"> 3.6 %</w:t>
            </w:r>
          </w:p>
        </w:tc>
        <w:tc>
          <w:tcPr>
            <w:tcW w:w="3168" w:type="dxa"/>
            <w:vMerge w:val="restart"/>
            <w:hideMark/>
          </w:tcPr>
          <w:p w:rsidR="003B3B17" w:rsidRPr="00B06331" w:rsidRDefault="003B3B17" w:rsidP="003B3B17">
            <w:pPr>
              <w:tabs>
                <w:tab w:val="left" w:pos="8730"/>
              </w:tabs>
              <w:jc w:val="both"/>
              <w:cnfStyle w:val="000000100000"/>
              <w:rPr>
                <w:rFonts w:ascii="Avenir Book" w:eastAsia="Cambria" w:hAnsi="Avenir Book"/>
                <w:lang w:val="en-GB"/>
              </w:rPr>
            </w:pPr>
            <w:r w:rsidRPr="00B06331">
              <w:rPr>
                <w:rFonts w:ascii="Avenir Book" w:eastAsia="Cambria" w:hAnsi="Avenir Book"/>
                <w:lang w:val="en-GB"/>
              </w:rPr>
              <w:t xml:space="preserve">The regulation of this educational level is a priority. </w:t>
            </w:r>
          </w:p>
          <w:p w:rsidR="003B3B17" w:rsidRPr="00B06331" w:rsidRDefault="003B3B17" w:rsidP="003B3B17">
            <w:pPr>
              <w:tabs>
                <w:tab w:val="left" w:pos="720"/>
                <w:tab w:val="left" w:pos="8730"/>
              </w:tabs>
              <w:spacing w:after="0"/>
              <w:jc w:val="both"/>
              <w:cnfStyle w:val="000000100000"/>
              <w:rPr>
                <w:rFonts w:ascii="Avenir Book" w:eastAsia="Cambria" w:hAnsi="Avenir Book"/>
                <w:b/>
                <w:u w:val="single"/>
                <w:lang w:val="en-GB"/>
              </w:rPr>
            </w:pPr>
            <w:r w:rsidRPr="00B06331">
              <w:rPr>
                <w:rFonts w:ascii="Avenir Book" w:eastAsia="Cambria" w:hAnsi="Avenir Book"/>
                <w:b/>
                <w:u w:val="single"/>
                <w:lang w:val="en-GB"/>
              </w:rPr>
              <w:t>Regional disparities exist</w:t>
            </w:r>
          </w:p>
          <w:p w:rsidR="003B3B17" w:rsidRPr="00B06331" w:rsidRDefault="003B3B17" w:rsidP="003B3B17">
            <w:pPr>
              <w:tabs>
                <w:tab w:val="left" w:pos="720"/>
                <w:tab w:val="left" w:pos="8730"/>
              </w:tabs>
              <w:spacing w:after="0"/>
              <w:jc w:val="both"/>
              <w:cnfStyle w:val="000000100000"/>
              <w:rPr>
                <w:rFonts w:ascii="Avenir Book" w:eastAsia="Cambria" w:hAnsi="Avenir Book"/>
                <w:lang w:val="en-GB"/>
              </w:rPr>
            </w:pPr>
            <w:r w:rsidRPr="00B06331">
              <w:rPr>
                <w:rFonts w:ascii="Avenir Book" w:eastAsia="Cambria" w:hAnsi="Avenir Book"/>
                <w:b/>
                <w:lang w:val="en-GB"/>
              </w:rPr>
              <w:t>*</w:t>
            </w:r>
            <w:r w:rsidRPr="00B06331">
              <w:rPr>
                <w:rFonts w:ascii="Avenir Book" w:eastAsia="Cambria" w:hAnsi="Avenir Book"/>
                <w:lang w:val="en-GB"/>
              </w:rPr>
              <w:t>Post-secondary non-tertiary level Institutions: 88.3% exist in Regions1 and 2</w:t>
            </w:r>
          </w:p>
          <w:p w:rsidR="003B3B17" w:rsidRPr="00B06331" w:rsidRDefault="003B3B17" w:rsidP="003B3B17">
            <w:pPr>
              <w:tabs>
                <w:tab w:val="left" w:pos="720"/>
                <w:tab w:val="left" w:pos="8730"/>
              </w:tabs>
              <w:spacing w:after="0"/>
              <w:jc w:val="both"/>
              <w:cnfStyle w:val="000000100000"/>
              <w:rPr>
                <w:rFonts w:ascii="Avenir Book" w:eastAsia="Cambria" w:hAnsi="Avenir Book"/>
                <w:lang w:val="en-GB"/>
              </w:rPr>
            </w:pPr>
            <w:r w:rsidRPr="00B06331">
              <w:rPr>
                <w:rFonts w:ascii="Avenir Book" w:eastAsia="Cambria" w:hAnsi="Avenir Book"/>
                <w:b/>
                <w:lang w:val="en-GB"/>
              </w:rPr>
              <w:t>*</w:t>
            </w:r>
            <w:r w:rsidRPr="00B06331">
              <w:rPr>
                <w:rFonts w:ascii="Avenir Book" w:eastAsia="Cambria" w:hAnsi="Avenir Book"/>
                <w:lang w:val="en-GB"/>
              </w:rPr>
              <w:t>Tertiary &amp; higher education institutions: 0% exist in REDs 3-6</w:t>
            </w:r>
          </w:p>
          <w:p w:rsidR="003B3B17" w:rsidRPr="00B06331" w:rsidRDefault="003B3B17" w:rsidP="003B3B17">
            <w:pPr>
              <w:tabs>
                <w:tab w:val="left" w:pos="720"/>
                <w:tab w:val="left" w:pos="8730"/>
              </w:tabs>
              <w:spacing w:after="0"/>
              <w:jc w:val="both"/>
              <w:cnfStyle w:val="000000100000"/>
              <w:rPr>
                <w:rFonts w:ascii="Avenir Book" w:eastAsia="Cambria" w:hAnsi="Avenir Book"/>
                <w:b/>
                <w:u w:val="single"/>
                <w:lang w:val="en-GB"/>
              </w:rPr>
            </w:pPr>
            <w:r w:rsidRPr="00B06331">
              <w:rPr>
                <w:rFonts w:ascii="Avenir Book" w:eastAsia="Cambria" w:hAnsi="Avenir Book"/>
                <w:b/>
                <w:u w:val="single"/>
                <w:lang w:val="en-GB"/>
              </w:rPr>
              <w:t>Female Enrolment is Good</w:t>
            </w:r>
          </w:p>
          <w:p w:rsidR="003B3B17" w:rsidRPr="00B06331" w:rsidRDefault="003B3B17" w:rsidP="003B3B17">
            <w:pPr>
              <w:tabs>
                <w:tab w:val="left" w:pos="720"/>
                <w:tab w:val="left" w:pos="8730"/>
              </w:tabs>
              <w:spacing w:after="0"/>
              <w:jc w:val="both"/>
              <w:cnfStyle w:val="000000100000"/>
              <w:rPr>
                <w:rFonts w:ascii="Avenir Book" w:eastAsia="Cambria" w:hAnsi="Avenir Book"/>
                <w:lang w:val="en-GB"/>
              </w:rPr>
            </w:pPr>
            <w:r w:rsidRPr="00B06331">
              <w:rPr>
                <w:rFonts w:ascii="Avenir Book" w:eastAsia="Cambria" w:hAnsi="Avenir Book"/>
                <w:b/>
                <w:lang w:val="en-GB"/>
              </w:rPr>
              <w:t>*</w:t>
            </w:r>
            <w:r w:rsidRPr="00B06331">
              <w:rPr>
                <w:rFonts w:ascii="Avenir Book" w:eastAsia="Cambria" w:hAnsi="Avenir Book"/>
                <w:lang w:val="en-GB"/>
              </w:rPr>
              <w:t xml:space="preserve"> Higher Education = 45.8%</w:t>
            </w:r>
          </w:p>
          <w:p w:rsidR="003B3B17" w:rsidRPr="00B06331" w:rsidRDefault="003B3B17" w:rsidP="003B3B17">
            <w:pPr>
              <w:tabs>
                <w:tab w:val="left" w:pos="720"/>
                <w:tab w:val="left" w:pos="8730"/>
              </w:tabs>
              <w:spacing w:after="0"/>
              <w:jc w:val="both"/>
              <w:cnfStyle w:val="000000100000"/>
              <w:rPr>
                <w:rFonts w:ascii="Avenir Book" w:eastAsia="Cambria" w:hAnsi="Avenir Book"/>
                <w:lang w:val="en-GB"/>
              </w:rPr>
            </w:pPr>
            <w:r w:rsidRPr="00B06331">
              <w:rPr>
                <w:rFonts w:ascii="Avenir Book" w:eastAsia="Cambria" w:hAnsi="Avenir Book"/>
                <w:b/>
                <w:lang w:val="en-GB"/>
              </w:rPr>
              <w:t>*</w:t>
            </w:r>
            <w:r w:rsidRPr="00B06331">
              <w:rPr>
                <w:rFonts w:ascii="Avenir Book" w:eastAsia="Cambria" w:hAnsi="Avenir Book"/>
                <w:lang w:val="en-GB"/>
              </w:rPr>
              <w:t xml:space="preserve"> Tertiary = 73.5%</w:t>
            </w:r>
          </w:p>
          <w:p w:rsidR="003B3B17" w:rsidRPr="00B06331" w:rsidRDefault="003B3B17" w:rsidP="003B3B17">
            <w:pPr>
              <w:tabs>
                <w:tab w:val="left" w:pos="720"/>
                <w:tab w:val="left" w:pos="8730"/>
              </w:tabs>
              <w:spacing w:after="0"/>
              <w:jc w:val="both"/>
              <w:cnfStyle w:val="000000100000"/>
              <w:rPr>
                <w:rFonts w:ascii="Avenir Book" w:eastAsia="Cambria" w:hAnsi="Avenir Book"/>
                <w:lang w:val="en-GB"/>
              </w:rPr>
            </w:pPr>
            <w:r w:rsidRPr="00B06331">
              <w:rPr>
                <w:rFonts w:ascii="Avenir Book" w:eastAsia="Cambria" w:hAnsi="Avenir Book"/>
                <w:b/>
                <w:lang w:val="en-GB"/>
              </w:rPr>
              <w:t>*</w:t>
            </w:r>
            <w:r w:rsidRPr="00B06331">
              <w:rPr>
                <w:rFonts w:ascii="Avenir Book" w:eastAsia="Cambria" w:hAnsi="Avenir Book"/>
                <w:lang w:val="en-GB"/>
              </w:rPr>
              <w:t>Non-Tertiary Post Sec. = 54.8%</w:t>
            </w:r>
          </w:p>
        </w:tc>
      </w:tr>
      <w:tr w:rsidR="003B3B17" w:rsidRPr="00B06331" w:rsidTr="003B3B17">
        <w:tc>
          <w:tcPr>
            <w:cnfStyle w:val="001000000000"/>
            <w:tcW w:w="0" w:type="auto"/>
            <w:vMerge/>
            <w:hideMark/>
          </w:tcPr>
          <w:p w:rsidR="003B3B17" w:rsidRPr="00B06331" w:rsidRDefault="003B3B17" w:rsidP="003B3B17">
            <w:pPr>
              <w:spacing w:after="0" w:line="240" w:lineRule="auto"/>
              <w:rPr>
                <w:rFonts w:ascii="Avenir Book" w:eastAsia="Cambria" w:hAnsi="Avenir Book"/>
                <w:color w:val="4F81BD"/>
                <w:lang w:val="en-GB"/>
              </w:rPr>
            </w:pPr>
          </w:p>
        </w:tc>
        <w:tc>
          <w:tcPr>
            <w:tcW w:w="1980" w:type="dxa"/>
            <w:hideMark/>
          </w:tcPr>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Tertiary institutions</w:t>
            </w:r>
          </w:p>
        </w:tc>
        <w:tc>
          <w:tcPr>
            <w:tcW w:w="2880" w:type="dxa"/>
            <w:hideMark/>
          </w:tcPr>
          <w:p w:rsidR="003B3B17" w:rsidRPr="00B06331" w:rsidRDefault="003B3B17" w:rsidP="003B3B17">
            <w:pPr>
              <w:tabs>
                <w:tab w:val="left" w:pos="8730"/>
              </w:tabs>
              <w:spacing w:after="0"/>
              <w:jc w:val="both"/>
              <w:cnfStyle w:val="000000000000"/>
              <w:rPr>
                <w:rFonts w:ascii="Avenir Book" w:eastAsia="Cambria" w:hAnsi="Avenir Book"/>
                <w:lang w:val="en-GB"/>
              </w:rPr>
            </w:pPr>
            <w:r w:rsidRPr="00B06331">
              <w:rPr>
                <w:rFonts w:ascii="Avenir Book" w:eastAsia="Cambria" w:hAnsi="Avenir Book"/>
                <w:lang w:val="en-GB"/>
              </w:rPr>
              <w:t>7.2%.</w:t>
            </w:r>
          </w:p>
        </w:tc>
        <w:tc>
          <w:tcPr>
            <w:tcW w:w="0" w:type="auto"/>
            <w:vMerge/>
            <w:hideMark/>
          </w:tcPr>
          <w:p w:rsidR="003B3B17" w:rsidRPr="00B06331" w:rsidRDefault="003B3B17" w:rsidP="003B3B17">
            <w:pPr>
              <w:spacing w:after="0" w:line="240" w:lineRule="auto"/>
              <w:cnfStyle w:val="000000000000"/>
              <w:rPr>
                <w:rFonts w:ascii="Avenir Book" w:eastAsia="Cambria" w:hAnsi="Avenir Book"/>
                <w:color w:val="4F81BD"/>
                <w:lang w:val="en-GB"/>
              </w:rPr>
            </w:pPr>
          </w:p>
        </w:tc>
      </w:tr>
      <w:tr w:rsidR="003B3B17" w:rsidRPr="00B06331" w:rsidTr="003B3B17">
        <w:trPr>
          <w:cnfStyle w:val="000000100000"/>
        </w:trPr>
        <w:tc>
          <w:tcPr>
            <w:cnfStyle w:val="001000000000"/>
            <w:tcW w:w="0" w:type="auto"/>
            <w:vMerge/>
            <w:hideMark/>
          </w:tcPr>
          <w:p w:rsidR="003B3B17" w:rsidRPr="00B06331" w:rsidRDefault="003B3B17" w:rsidP="003B3B17">
            <w:pPr>
              <w:spacing w:after="0" w:line="240" w:lineRule="auto"/>
              <w:rPr>
                <w:rFonts w:ascii="Avenir Book" w:eastAsia="Cambria" w:hAnsi="Avenir Book"/>
                <w:color w:val="4F81BD"/>
                <w:lang w:val="en-GB"/>
              </w:rPr>
            </w:pPr>
          </w:p>
        </w:tc>
        <w:tc>
          <w:tcPr>
            <w:tcW w:w="1980" w:type="dxa"/>
            <w:hideMark/>
          </w:tcPr>
          <w:p w:rsidR="003B3B17" w:rsidRPr="00B06331" w:rsidRDefault="003B3B17" w:rsidP="003B3B17">
            <w:pPr>
              <w:tabs>
                <w:tab w:val="left" w:pos="8730"/>
              </w:tabs>
              <w:spacing w:after="0"/>
              <w:cnfStyle w:val="000000100000"/>
              <w:rPr>
                <w:rFonts w:ascii="Avenir Book" w:eastAsia="Cambria" w:hAnsi="Avenir Book"/>
                <w:lang w:val="en-GB"/>
              </w:rPr>
            </w:pPr>
            <w:r w:rsidRPr="00B06331">
              <w:rPr>
                <w:rFonts w:ascii="Avenir Book" w:eastAsia="Cambria" w:hAnsi="Avenir Book"/>
                <w:lang w:val="en-GB"/>
              </w:rPr>
              <w:t>Post-secondary non-tertiary (offer certificates &amp; diploma; doesn’t allow progression into degree programmes.</w:t>
            </w:r>
          </w:p>
        </w:tc>
        <w:tc>
          <w:tcPr>
            <w:tcW w:w="2880" w:type="dxa"/>
          </w:tcPr>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lang w:val="en-GB"/>
              </w:rPr>
              <w:t>89.2%</w:t>
            </w:r>
          </w:p>
          <w:p w:rsidR="003B3B17" w:rsidRPr="00B06331" w:rsidRDefault="003B3B17" w:rsidP="003B3B17">
            <w:pPr>
              <w:tabs>
                <w:tab w:val="left" w:pos="8730"/>
              </w:tabs>
              <w:spacing w:after="0"/>
              <w:jc w:val="both"/>
              <w:cnfStyle w:val="000000100000"/>
              <w:rPr>
                <w:rFonts w:ascii="Avenir Book" w:eastAsia="Cambria" w:hAnsi="Avenir Book"/>
                <w:lang w:val="en-GB"/>
              </w:rPr>
            </w:pPr>
          </w:p>
          <w:p w:rsidR="003B3B17" w:rsidRPr="00B06331" w:rsidRDefault="003B3B17" w:rsidP="003B3B17">
            <w:pPr>
              <w:tabs>
                <w:tab w:val="left" w:pos="8730"/>
              </w:tabs>
              <w:spacing w:after="0"/>
              <w:jc w:val="both"/>
              <w:cnfStyle w:val="000000100000"/>
              <w:rPr>
                <w:rFonts w:ascii="Avenir Book" w:eastAsia="Cambria" w:hAnsi="Avenir Book"/>
                <w:lang w:val="en-GB"/>
              </w:rPr>
            </w:pPr>
            <w:r w:rsidRPr="00B06331">
              <w:rPr>
                <w:rFonts w:ascii="Avenir Book" w:eastAsia="Cambria" w:hAnsi="Avenir Book"/>
                <w:b/>
                <w:lang w:val="en-GB"/>
              </w:rPr>
              <w:t>*</w:t>
            </w:r>
            <w:r w:rsidRPr="00B06331">
              <w:rPr>
                <w:rFonts w:ascii="Avenir Book" w:eastAsia="Cambria" w:hAnsi="Avenir Book"/>
                <w:lang w:val="en-GB"/>
              </w:rPr>
              <w:t xml:space="preserve">Only 35.2% offer science and technology based courses. </w:t>
            </w:r>
          </w:p>
        </w:tc>
        <w:tc>
          <w:tcPr>
            <w:tcW w:w="0" w:type="auto"/>
            <w:vMerge/>
            <w:hideMark/>
          </w:tcPr>
          <w:p w:rsidR="003B3B17" w:rsidRPr="00B06331" w:rsidRDefault="003B3B17" w:rsidP="003B3B17">
            <w:pPr>
              <w:spacing w:after="0" w:line="240" w:lineRule="auto"/>
              <w:cnfStyle w:val="000000100000"/>
              <w:rPr>
                <w:rFonts w:ascii="Avenir Book" w:eastAsia="Cambria" w:hAnsi="Avenir Book"/>
                <w:color w:val="4F81BD"/>
                <w:lang w:val="en-GB"/>
              </w:rPr>
            </w:pPr>
          </w:p>
        </w:tc>
      </w:tr>
    </w:tbl>
    <w:p w:rsidR="003B3B17" w:rsidRPr="00B06331" w:rsidRDefault="003B3B17" w:rsidP="003B3B17">
      <w:pPr>
        <w:tabs>
          <w:tab w:val="left" w:pos="8730"/>
        </w:tabs>
        <w:jc w:val="center"/>
        <w:rPr>
          <w:rFonts w:ascii="Avenir Book" w:eastAsia="Cambria" w:hAnsi="Avenir Book"/>
          <w:b/>
          <w:color w:val="4F81BD"/>
          <w:sz w:val="20"/>
          <w:szCs w:val="20"/>
        </w:rPr>
      </w:pPr>
      <w:r w:rsidRPr="00B06331">
        <w:rPr>
          <w:rFonts w:ascii="Avenir Book" w:eastAsia="Cambria" w:hAnsi="Avenir Book"/>
          <w:b/>
          <w:color w:val="4F81BD"/>
          <w:sz w:val="20"/>
          <w:szCs w:val="20"/>
        </w:rPr>
        <w:t>Source: MoBSE 2015, 2017</w:t>
      </w:r>
    </w:p>
    <w:p w:rsidR="003B3B17" w:rsidRPr="00B06331" w:rsidRDefault="003B3B17" w:rsidP="003B3B17">
      <w:pPr>
        <w:tabs>
          <w:tab w:val="left" w:pos="8730"/>
        </w:tabs>
        <w:spacing w:after="0"/>
        <w:jc w:val="both"/>
        <w:rPr>
          <w:rFonts w:ascii="Avenir Book" w:eastAsia="Cambria" w:hAnsi="Avenir Book"/>
          <w:szCs w:val="24"/>
        </w:rPr>
      </w:pPr>
      <w:r w:rsidRPr="00B06331">
        <w:rPr>
          <w:rFonts w:ascii="Avenir Book" w:eastAsia="Cambria" w:hAnsi="Avenir Book"/>
          <w:szCs w:val="24"/>
        </w:rPr>
        <w:t>The Gambia Education Sector Strategic Plan 2014-2022 document highlighted that: ‘Government commitment to education has been strong. However, in analyzing the trends, the following key issues remain pertinent to the achievement of educational outcomes in The Gambia:</w:t>
      </w:r>
    </w:p>
    <w:p w:rsidR="003B3B17" w:rsidRPr="00B06331" w:rsidRDefault="003B3B17" w:rsidP="003B3B17">
      <w:pPr>
        <w:pStyle w:val="ListParagraph"/>
        <w:tabs>
          <w:tab w:val="left" w:pos="8730"/>
        </w:tabs>
        <w:spacing w:after="0"/>
        <w:ind w:left="0"/>
        <w:rPr>
          <w:rFonts w:ascii="Avenir Book" w:hAnsi="Avenir Book"/>
          <w:szCs w:val="24"/>
        </w:rPr>
      </w:pP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Although Government expenditure increased over years, it was skewed towards salaries. This has resulted to inadequate facilities and high household contributions especially on </w:t>
      </w:r>
      <w:r w:rsidRPr="00B06331">
        <w:rPr>
          <w:rFonts w:ascii="Avenir Book" w:hAnsi="Avenir Book"/>
          <w:szCs w:val="24"/>
        </w:rPr>
        <w:lastRenderedPageBreak/>
        <w:t>TVET and ECD. This is understandable as they are areas least subsidized by the Government</w:t>
      </w:r>
      <w:r w:rsidRPr="00B06331">
        <w:rPr>
          <w:rFonts w:ascii="Avenir Book" w:hAnsi="Avenir Book"/>
          <w:szCs w:val="24"/>
        </w:rPr>
        <w:footnoteReference w:id="16"/>
      </w:r>
      <w:r w:rsidRPr="00B06331">
        <w:rPr>
          <w:rFonts w:ascii="Avenir Book" w:hAnsi="Avenir Book"/>
          <w:szCs w:val="24"/>
        </w:rPr>
        <w:t xml:space="preserve">. It also negatively impacts access and quality.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The gender parity successes registered at the lower basic level must be matched at other levels. Prominent determinants of this goal include-poverty related withdrawals; stereotyping, child marriage, implementation of the re-entry policy, repetition due to poor performance, poor performance resulting from 10 – 20 % school day menstruation induced absences (World Bank 2005)</w:t>
      </w:r>
      <w:r w:rsidRPr="00B06331">
        <w:rPr>
          <w:rFonts w:ascii="Avenir Book" w:hAnsi="Avenir Book"/>
          <w:szCs w:val="24"/>
        </w:rPr>
        <w:footnoteReference w:id="17"/>
      </w:r>
      <w:r w:rsidRPr="00B06331">
        <w:rPr>
          <w:rFonts w:ascii="Avenir Book" w:hAnsi="Avenir Book"/>
          <w:szCs w:val="24"/>
        </w:rPr>
        <w:t>, domestic chores and weak teaching and learning materials. The pursuit for equity shifts further against girls’ education at secondary school levels where the costs of education increase at the same time as girls begin to be considered suitable for marriage, childbearing and work. Due to this interaction of costs and gendered roles, girls are often withdrawn from school at the very time that education can provide them with the much-needed skills and assets to empower them during the vulnerable period of adolescence.</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While distance is generally negligible thanks to initiatives such as the donkey cart transport system, the supply side constraint relating to distance to school becomes an important factor when a school does not offer all grades/subjects. When students are obliged to seek alternative institutions in order to continue and complete their education, distance can make daily access unfeasible. At the demand level, religious motives, financial and economic considerations (direct cost or opportunity cost), </w:t>
      </w:r>
      <w:r w:rsidR="00C97D8B" w:rsidRPr="00B06331">
        <w:rPr>
          <w:rFonts w:ascii="Avenir Book" w:hAnsi="Avenir Book"/>
          <w:szCs w:val="24"/>
        </w:rPr>
        <w:t>and families</w:t>
      </w:r>
      <w:r w:rsidRPr="00B06331">
        <w:rPr>
          <w:rFonts w:ascii="Avenir Book" w:hAnsi="Avenir Book"/>
          <w:szCs w:val="24"/>
        </w:rPr>
        <w:t xml:space="preserve"> considering their children </w:t>
      </w:r>
      <w:r w:rsidR="00C97D8B" w:rsidRPr="00B06331">
        <w:rPr>
          <w:rFonts w:ascii="Avenir Book" w:hAnsi="Avenir Book"/>
          <w:szCs w:val="24"/>
        </w:rPr>
        <w:t>too</w:t>
      </w:r>
      <w:r w:rsidRPr="00B06331">
        <w:rPr>
          <w:rFonts w:ascii="Avenir Book" w:hAnsi="Avenir Book"/>
          <w:szCs w:val="24"/>
        </w:rPr>
        <w:t xml:space="preserve"> young to leave home</w:t>
      </w:r>
      <w:r w:rsidRPr="00B06331">
        <w:rPr>
          <w:rFonts w:ascii="Avenir Book" w:hAnsi="Avenir Book"/>
          <w:szCs w:val="24"/>
        </w:rPr>
        <w:footnoteReference w:id="18"/>
      </w:r>
      <w:r w:rsidRPr="00B06331">
        <w:rPr>
          <w:rFonts w:ascii="Avenir Book" w:hAnsi="Avenir Book"/>
          <w:szCs w:val="24"/>
        </w:rPr>
        <w:t xml:space="preserve"> are some of the determinants affecting access.</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Although significantly reduced by the school improvement grant (SIG), sending a child to school remains a significant financial investment (due to hidden costs) for families especially for those in poor rural communities. This assumes greater significance at upper basic and secondary school levels where costs are often three (3) to five (5) times higher than at lower basic level</w:t>
      </w:r>
      <w:r w:rsidRPr="00B06331">
        <w:rPr>
          <w:rFonts w:ascii="Avenir Book" w:hAnsi="Avenir Book"/>
          <w:szCs w:val="24"/>
        </w:rPr>
        <w:footnoteReference w:id="19"/>
      </w:r>
      <w:r w:rsidRPr="00B06331">
        <w:rPr>
          <w:rFonts w:ascii="Avenir Book" w:hAnsi="Avenir Book"/>
          <w:szCs w:val="24"/>
        </w:rPr>
        <w:t xml:space="preserve">.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There is little information on the success factors driving transition from senior secondary to the post-secondary education levels. However, it is evident that with retention problems and low performance in mathematics and science subjects, students especially girls have a lower chance of transitioning to tertiary institutions since not meeting the minimum entry requirements may hinder access</w:t>
      </w:r>
      <w:r w:rsidRPr="00B06331">
        <w:rPr>
          <w:rFonts w:ascii="Avenir Book" w:hAnsi="Avenir Book"/>
          <w:szCs w:val="24"/>
        </w:rPr>
        <w:footnoteReference w:id="20"/>
      </w:r>
      <w:r w:rsidRPr="00B06331">
        <w:rPr>
          <w:rFonts w:ascii="Avenir Book" w:hAnsi="Avenir Book"/>
          <w:szCs w:val="24"/>
        </w:rPr>
        <w:t>.</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The issue of quality and relevance of the curriculum and learning materials continues to be a concern for teachers and parents alike. Curriculum revision/consolidation with emphasis on the strengthening of relevant and school-based assessment system is a critical factor in the quality discourse.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Out-of-school children represent 31.6% of the group aged 7-15 years, most of whom (29.1%) have never attended school. The probability of children being out of school is 5.4 </w:t>
      </w:r>
      <w:r w:rsidRPr="00B06331">
        <w:rPr>
          <w:rFonts w:ascii="Avenir Book" w:hAnsi="Avenir Book"/>
          <w:szCs w:val="24"/>
        </w:rPr>
        <w:lastRenderedPageBreak/>
        <w:t>times lower for children whose household head had access to lower basic, 3.8 times lower for the wealthiest children, 2.4 times lower for urban children, and 1.5 times lower if the household head is a woman. The main reasons declared by households for children being out of school are religious (48% of cases), the cost (26%), and being too young (13%).</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Disability is a hindrance to enrolment and the retention of both girls and boys in schools. Whereas it is improving for children with mild visual and hearing impairments, children with mental, learning and multiple disabilities and those afflicted with epilepsy still face socio-cultural and physical barriers.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Low job prospects resulting from poor performance, structural weaknesses in TVET resulting to only 11% of working population with TVET training, low engagement with STEM, weak industrial attachment systems contrive against education when there is a mismatch between relevance and the labor market.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Low learning outcomes:  The Early Grade Reading Assessment (EGRA 2016) shows that the reading comprehension is very low while the knowledge of letter sounds and word recognition has improved.  In EGRA 2016, on average in grades 1-3, students answered only one out of five reading comprehension questions correctly. The school completion rate, especially at the secondary level, is also low. Compared to a 75% completion rate at the primary level, the senior secondary rate stands at just 44%.</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Geographic and income disparity: There is great inequity in access and learning between regions, districts, and income levels. For example, the Grade 3 English average score on the National Assessment Test (NAT) in 2015 was 69% in Region 1 and 42% in Region 5. In addition, that of mathematics was 58% in Region 1 whereas it was 38% in Region 5.  Only 15% of the poorest quintile of students ever completes senior secondary school, against 67% of the wealthiest quintile.  Likewise, the primary completion rate is 138% in Region 1 while it is only 36% in Region 5.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 xml:space="preserve">Weak teaching skills: While most teachers in public schools hold the necessary qualifications, they still lack content knowledge and pedagogical skills. In 2016, on average, 96% of teachers from schools were credentialed from the Gambia College.  However, this does not necessarily translate into strong teaching performance. It is important to continue teacher supervision and mentoring in schools, and teacher training to improve teachers’ content knowledge and pedagogical skills. </w:t>
      </w:r>
    </w:p>
    <w:p w:rsidR="003B3B17" w:rsidRPr="00B06331" w:rsidRDefault="003B3B17" w:rsidP="004143E3">
      <w:pPr>
        <w:pStyle w:val="ListParagraph"/>
        <w:numPr>
          <w:ilvl w:val="0"/>
          <w:numId w:val="77"/>
        </w:numPr>
        <w:tabs>
          <w:tab w:val="left" w:pos="720"/>
        </w:tabs>
        <w:spacing w:after="0"/>
        <w:ind w:left="1080"/>
        <w:jc w:val="both"/>
        <w:rPr>
          <w:rFonts w:ascii="Avenir Book" w:hAnsi="Avenir Book"/>
          <w:szCs w:val="24"/>
        </w:rPr>
      </w:pPr>
      <w:r w:rsidRPr="00B06331">
        <w:rPr>
          <w:rFonts w:ascii="Avenir Book" w:hAnsi="Avenir Book"/>
          <w:szCs w:val="24"/>
        </w:rPr>
        <w:t>The absence of adequate resources for promotion of research and utilization of science, technology, and innovation, coupled with inadequate recognition and appreciation of research and development in the country remains a major challenge despite the evident need for human capital formation.</w:t>
      </w:r>
    </w:p>
    <w:p w:rsidR="003B3B17" w:rsidRPr="00B06331" w:rsidRDefault="003B3B17" w:rsidP="001C4D71">
      <w:pPr>
        <w:tabs>
          <w:tab w:val="left" w:pos="720"/>
        </w:tabs>
        <w:spacing w:after="0"/>
        <w:jc w:val="both"/>
        <w:rPr>
          <w:rFonts w:ascii="Avenir Book" w:hAnsi="Avenir Book"/>
          <w:szCs w:val="24"/>
        </w:rPr>
      </w:pPr>
    </w:p>
    <w:p w:rsidR="001C4D71" w:rsidRPr="00B06331" w:rsidRDefault="001C4D71" w:rsidP="001C4D71">
      <w:pPr>
        <w:tabs>
          <w:tab w:val="left" w:pos="720"/>
        </w:tabs>
        <w:spacing w:after="0"/>
        <w:jc w:val="both"/>
        <w:rPr>
          <w:rFonts w:ascii="Avenir Book" w:hAnsi="Avenir Book"/>
          <w:szCs w:val="24"/>
        </w:rPr>
      </w:pPr>
    </w:p>
    <w:p w:rsidR="003B3B17" w:rsidRPr="00B06331" w:rsidRDefault="003B3B17" w:rsidP="003B3B17">
      <w:pPr>
        <w:pStyle w:val="ListParagraph"/>
        <w:tabs>
          <w:tab w:val="left" w:pos="720"/>
        </w:tabs>
        <w:spacing w:after="0"/>
        <w:jc w:val="both"/>
        <w:rPr>
          <w:rFonts w:ascii="Avenir Book" w:hAnsi="Avenir Book"/>
          <w:szCs w:val="24"/>
        </w:rPr>
      </w:pPr>
    </w:p>
    <w:p w:rsidR="00202B6A" w:rsidRPr="00B06331" w:rsidRDefault="00202B6A" w:rsidP="003B3B17">
      <w:pPr>
        <w:pStyle w:val="ListParagraph"/>
        <w:tabs>
          <w:tab w:val="left" w:pos="720"/>
        </w:tabs>
        <w:spacing w:after="0"/>
        <w:jc w:val="both"/>
        <w:rPr>
          <w:rFonts w:ascii="Avenir Book" w:hAnsi="Avenir Book"/>
          <w:szCs w:val="24"/>
        </w:rPr>
      </w:pPr>
    </w:p>
    <w:p w:rsidR="00202B6A" w:rsidRPr="00B06331" w:rsidRDefault="00202B6A" w:rsidP="003B3B17">
      <w:pPr>
        <w:pStyle w:val="ListParagraph"/>
        <w:tabs>
          <w:tab w:val="left" w:pos="720"/>
        </w:tabs>
        <w:spacing w:after="0"/>
        <w:jc w:val="both"/>
        <w:rPr>
          <w:rFonts w:ascii="Avenir Book" w:hAnsi="Avenir Book"/>
          <w:szCs w:val="24"/>
        </w:rPr>
      </w:pPr>
    </w:p>
    <w:p w:rsidR="003B3B17" w:rsidRPr="00B06331" w:rsidRDefault="003B3B17" w:rsidP="003B3B17">
      <w:pPr>
        <w:pStyle w:val="ListParagraph"/>
        <w:tabs>
          <w:tab w:val="left" w:pos="720"/>
        </w:tabs>
        <w:spacing w:after="0"/>
        <w:jc w:val="both"/>
        <w:rPr>
          <w:rFonts w:ascii="Avenir Book" w:hAnsi="Avenir Book"/>
          <w:szCs w:val="24"/>
        </w:rPr>
      </w:pPr>
    </w:p>
    <w:p w:rsidR="003B3B17" w:rsidRPr="00B06331" w:rsidRDefault="003B3B17" w:rsidP="003B3B17">
      <w:pPr>
        <w:pStyle w:val="ListParagraph"/>
        <w:spacing w:after="0"/>
        <w:ind w:left="0"/>
        <w:rPr>
          <w:rFonts w:ascii="Avenir Book" w:hAnsi="Avenir Book"/>
          <w:b/>
          <w:szCs w:val="24"/>
        </w:rPr>
      </w:pPr>
      <w:r w:rsidRPr="00B06331">
        <w:rPr>
          <w:rFonts w:ascii="Avenir Book" w:hAnsi="Avenir Book"/>
          <w:b/>
          <w:szCs w:val="24"/>
        </w:rPr>
        <w:lastRenderedPageBreak/>
        <w:t xml:space="preserve">Table 4.2: Key Actions to Address Challenges in Education Sector </w:t>
      </w:r>
    </w:p>
    <w:tbl>
      <w:tblPr>
        <w:tblStyle w:val="GridTable4-Accent12"/>
        <w:tblW w:w="0" w:type="auto"/>
        <w:tblLook w:val="04A0"/>
      </w:tblPr>
      <w:tblGrid>
        <w:gridCol w:w="2676"/>
        <w:gridCol w:w="4011"/>
        <w:gridCol w:w="2889"/>
      </w:tblGrid>
      <w:tr w:rsidR="003B3B17" w:rsidRPr="00B06331" w:rsidTr="003B3B17">
        <w:trPr>
          <w:cnfStyle w:val="100000000000"/>
        </w:trPr>
        <w:tc>
          <w:tcPr>
            <w:cnfStyle w:val="001000000000"/>
            <w:tcW w:w="9752" w:type="dxa"/>
            <w:gridSpan w:val="3"/>
            <w:hideMark/>
          </w:tcPr>
          <w:p w:rsidR="003B3B17" w:rsidRPr="00B06331" w:rsidRDefault="003B3B17" w:rsidP="003B3B17">
            <w:pPr>
              <w:jc w:val="center"/>
              <w:rPr>
                <w:rFonts w:ascii="Avenir Book" w:hAnsi="Avenir Book"/>
                <w:lang w:val="en-GB"/>
              </w:rPr>
            </w:pPr>
            <w:r w:rsidRPr="00B06331">
              <w:rPr>
                <w:rFonts w:ascii="Avenir Book" w:hAnsi="Avenir Book"/>
                <w:lang w:val="en-GB"/>
              </w:rPr>
              <w:t>Key Actions to Address Challenges in Education Sector</w:t>
            </w:r>
          </w:p>
        </w:tc>
      </w:tr>
      <w:tr w:rsidR="003B3B17" w:rsidRPr="00B06331" w:rsidTr="003B3B17">
        <w:trPr>
          <w:cnfStyle w:val="000000100000"/>
        </w:trPr>
        <w:tc>
          <w:tcPr>
            <w:cnfStyle w:val="001000000000"/>
            <w:tcW w:w="2694" w:type="dxa"/>
            <w:hideMark/>
          </w:tcPr>
          <w:p w:rsidR="003B3B17" w:rsidRPr="00B06331" w:rsidRDefault="003B3B17" w:rsidP="003B3B17">
            <w:pPr>
              <w:jc w:val="both"/>
              <w:rPr>
                <w:rFonts w:ascii="Avenir Book" w:hAnsi="Avenir Book"/>
                <w:i/>
                <w:lang w:val="en-GB"/>
              </w:rPr>
            </w:pPr>
            <w:r w:rsidRPr="00B06331">
              <w:rPr>
                <w:rFonts w:ascii="Avenir Book" w:hAnsi="Avenir Book"/>
                <w:i/>
                <w:lang w:val="en-GB"/>
              </w:rPr>
              <w:t>Short-Term</w:t>
            </w:r>
          </w:p>
        </w:tc>
        <w:tc>
          <w:tcPr>
            <w:tcW w:w="4111" w:type="dxa"/>
            <w:hideMark/>
          </w:tcPr>
          <w:p w:rsidR="003B3B17" w:rsidRPr="00B06331" w:rsidRDefault="003B3B17" w:rsidP="003B3B17">
            <w:pPr>
              <w:jc w:val="both"/>
              <w:cnfStyle w:val="000000100000"/>
              <w:rPr>
                <w:rFonts w:ascii="Avenir Book" w:hAnsi="Avenir Book"/>
                <w:b/>
                <w:i/>
                <w:lang w:val="en-GB"/>
              </w:rPr>
            </w:pPr>
            <w:r w:rsidRPr="00B06331">
              <w:rPr>
                <w:rFonts w:ascii="Avenir Book" w:hAnsi="Avenir Book"/>
                <w:b/>
                <w:i/>
                <w:lang w:val="en-GB"/>
              </w:rPr>
              <w:t>Medium Term</w:t>
            </w:r>
          </w:p>
        </w:tc>
        <w:tc>
          <w:tcPr>
            <w:tcW w:w="2947" w:type="dxa"/>
            <w:hideMark/>
          </w:tcPr>
          <w:p w:rsidR="003B3B17" w:rsidRPr="00B06331" w:rsidRDefault="003B3B17" w:rsidP="003B3B17">
            <w:pPr>
              <w:jc w:val="both"/>
              <w:cnfStyle w:val="000000100000"/>
              <w:rPr>
                <w:rFonts w:ascii="Avenir Book" w:hAnsi="Avenir Book"/>
                <w:b/>
                <w:i/>
                <w:lang w:val="en-GB"/>
              </w:rPr>
            </w:pPr>
            <w:r w:rsidRPr="00B06331">
              <w:rPr>
                <w:rFonts w:ascii="Avenir Book" w:hAnsi="Avenir Book"/>
                <w:b/>
                <w:i/>
                <w:lang w:val="en-GB"/>
              </w:rPr>
              <w:t>Long-Term</w:t>
            </w:r>
          </w:p>
        </w:tc>
      </w:tr>
      <w:tr w:rsidR="003B3B17" w:rsidRPr="00B06331" w:rsidTr="003B3B17">
        <w:tc>
          <w:tcPr>
            <w:cnfStyle w:val="001000000000"/>
            <w:tcW w:w="2694" w:type="dxa"/>
          </w:tcPr>
          <w:p w:rsidR="003B3B17" w:rsidRPr="00B06331" w:rsidRDefault="003B3B17" w:rsidP="004143E3">
            <w:pPr>
              <w:pStyle w:val="ListParagraph"/>
              <w:numPr>
                <w:ilvl w:val="0"/>
                <w:numId w:val="81"/>
              </w:numPr>
              <w:jc w:val="both"/>
              <w:rPr>
                <w:rFonts w:ascii="Avenir Book" w:hAnsi="Avenir Book"/>
                <w:b w:val="0"/>
              </w:rPr>
            </w:pPr>
            <w:r w:rsidRPr="00B06331">
              <w:rPr>
                <w:rFonts w:ascii="Avenir Book" w:hAnsi="Avenir Book"/>
                <w:b w:val="0"/>
              </w:rPr>
              <w:t xml:space="preserve">Accelerate teacher reforms at teacher training institutions. For example, strengthen teacher mentoring and intensify efforts to improve in-service teacher training. </w:t>
            </w:r>
          </w:p>
          <w:p w:rsidR="003B3B17" w:rsidRPr="00B06331" w:rsidRDefault="003B3B17" w:rsidP="004143E3">
            <w:pPr>
              <w:pStyle w:val="ListParagraph"/>
              <w:numPr>
                <w:ilvl w:val="0"/>
                <w:numId w:val="81"/>
              </w:numPr>
              <w:jc w:val="both"/>
              <w:rPr>
                <w:rFonts w:ascii="Avenir Book" w:hAnsi="Avenir Book"/>
                <w:b w:val="0"/>
              </w:rPr>
            </w:pPr>
            <w:r w:rsidRPr="00B06331">
              <w:rPr>
                <w:rFonts w:ascii="Avenir Book" w:hAnsi="Avenir Book"/>
                <w:b w:val="0"/>
              </w:rPr>
              <w:t xml:space="preserve">Expand access to secondary with focus on the poorest children and families, especially in rural areas. </w:t>
            </w:r>
          </w:p>
          <w:p w:rsidR="003B3B17" w:rsidRPr="00B06331" w:rsidRDefault="003B3B17" w:rsidP="004143E3">
            <w:pPr>
              <w:pStyle w:val="ListParagraph"/>
              <w:numPr>
                <w:ilvl w:val="0"/>
                <w:numId w:val="81"/>
              </w:numPr>
              <w:jc w:val="both"/>
              <w:rPr>
                <w:rFonts w:ascii="Avenir Book" w:hAnsi="Avenir Book"/>
                <w:b w:val="0"/>
              </w:rPr>
            </w:pPr>
            <w:r w:rsidRPr="00B06331">
              <w:rPr>
                <w:rFonts w:ascii="Avenir Book" w:hAnsi="Avenir Book"/>
                <w:b w:val="0"/>
              </w:rPr>
              <w:t xml:space="preserve">Provide instructional material in schools. Currently, there are no textbooks in most of the schools. </w:t>
            </w:r>
          </w:p>
          <w:p w:rsidR="003B3B17" w:rsidRPr="00B06331" w:rsidRDefault="003B3B17" w:rsidP="004143E3">
            <w:pPr>
              <w:pStyle w:val="ListParagraph"/>
              <w:numPr>
                <w:ilvl w:val="0"/>
                <w:numId w:val="81"/>
              </w:numPr>
              <w:jc w:val="both"/>
              <w:rPr>
                <w:rFonts w:ascii="Avenir Book" w:hAnsi="Avenir Book"/>
              </w:rPr>
            </w:pPr>
            <w:r w:rsidRPr="00B06331">
              <w:rPr>
                <w:rFonts w:ascii="Avenir Book" w:hAnsi="Avenir Book"/>
                <w:b w:val="0"/>
              </w:rPr>
              <w:t>Continue/accelerate programs of construction and/or rehabilitation of existing school projects</w:t>
            </w:r>
            <w:r w:rsidRPr="00B06331">
              <w:rPr>
                <w:rFonts w:ascii="Avenir Book" w:hAnsi="Avenir Book"/>
              </w:rPr>
              <w:t>.</w:t>
            </w:r>
          </w:p>
          <w:p w:rsidR="003B3B17" w:rsidRPr="00B06331" w:rsidRDefault="003B3B17" w:rsidP="003B3B17">
            <w:pPr>
              <w:jc w:val="both"/>
              <w:rPr>
                <w:rFonts w:ascii="Avenir Book" w:hAnsi="Avenir Book"/>
                <w:lang w:val="en-GB"/>
              </w:rPr>
            </w:pPr>
          </w:p>
        </w:tc>
        <w:tc>
          <w:tcPr>
            <w:tcW w:w="4111" w:type="dxa"/>
          </w:tcPr>
          <w:p w:rsidR="003B3B17" w:rsidRPr="00B06331" w:rsidRDefault="003B3B17" w:rsidP="004143E3">
            <w:pPr>
              <w:pStyle w:val="ListParagraph"/>
              <w:numPr>
                <w:ilvl w:val="0"/>
                <w:numId w:val="82"/>
              </w:numPr>
              <w:jc w:val="both"/>
              <w:cnfStyle w:val="000000000000"/>
              <w:rPr>
                <w:rFonts w:ascii="Avenir Book" w:hAnsi="Avenir Book"/>
              </w:rPr>
            </w:pPr>
            <w:r w:rsidRPr="00B06331">
              <w:rPr>
                <w:rFonts w:ascii="Avenir Book" w:hAnsi="Avenir Book"/>
              </w:rPr>
              <w:t xml:space="preserve">Deepen and scale up support for a quality education agenda, especially in math and science subjects.  </w:t>
            </w:r>
          </w:p>
          <w:p w:rsidR="003B3B17" w:rsidRPr="00B06331" w:rsidRDefault="003B3B17" w:rsidP="004143E3">
            <w:pPr>
              <w:pStyle w:val="ListParagraph"/>
              <w:numPr>
                <w:ilvl w:val="0"/>
                <w:numId w:val="82"/>
              </w:numPr>
              <w:jc w:val="both"/>
              <w:cnfStyle w:val="000000000000"/>
              <w:rPr>
                <w:rFonts w:ascii="Avenir Book" w:hAnsi="Avenir Book"/>
              </w:rPr>
            </w:pPr>
            <w:r w:rsidRPr="00B06331">
              <w:rPr>
                <w:rFonts w:ascii="Avenir Book" w:hAnsi="Avenir Book"/>
              </w:rPr>
              <w:t>Undertake demand-side interventions targeting low-income students at the lower and upper basic and senior secondary levels.</w:t>
            </w:r>
          </w:p>
          <w:p w:rsidR="003B3B17" w:rsidRPr="00B06331" w:rsidRDefault="003B3B17" w:rsidP="004143E3">
            <w:pPr>
              <w:pStyle w:val="ListParagraph"/>
              <w:numPr>
                <w:ilvl w:val="0"/>
                <w:numId w:val="82"/>
              </w:numPr>
              <w:jc w:val="both"/>
              <w:cnfStyle w:val="000000000000"/>
              <w:rPr>
                <w:rFonts w:ascii="Avenir Book" w:hAnsi="Avenir Book"/>
              </w:rPr>
            </w:pPr>
            <w:r w:rsidRPr="00B06331">
              <w:rPr>
                <w:rFonts w:ascii="Avenir Book" w:hAnsi="Avenir Book"/>
              </w:rPr>
              <w:t>Focus on building literacy and market-relevant skills training among out of school youth, especially adolescent girls.</w:t>
            </w:r>
          </w:p>
          <w:p w:rsidR="003B3B17" w:rsidRPr="00B06331" w:rsidRDefault="003B3B17" w:rsidP="004143E3">
            <w:pPr>
              <w:pStyle w:val="ListParagraph"/>
              <w:numPr>
                <w:ilvl w:val="0"/>
                <w:numId w:val="82"/>
              </w:numPr>
              <w:jc w:val="both"/>
              <w:cnfStyle w:val="000000000000"/>
              <w:rPr>
                <w:rFonts w:ascii="Avenir Book" w:hAnsi="Avenir Book"/>
              </w:rPr>
            </w:pPr>
            <w:r w:rsidRPr="00B06331">
              <w:rPr>
                <w:rFonts w:ascii="Avenir Book" w:hAnsi="Avenir Book"/>
              </w:rPr>
              <w:t xml:space="preserve">Transform higher education into catalyst for improved quality at secondary, especially through increased alignment with the job market and with stronger linkages to industry needs for skills and research. This will take significant sector reforms to ensure TVET centers can offer the right skills mix in priority sectors with a combination of practical hands on training and theory.  </w:t>
            </w:r>
          </w:p>
          <w:p w:rsidR="003B3B17" w:rsidRPr="00B06331" w:rsidRDefault="003B3B17" w:rsidP="004143E3">
            <w:pPr>
              <w:pStyle w:val="ListParagraph"/>
              <w:numPr>
                <w:ilvl w:val="0"/>
                <w:numId w:val="82"/>
              </w:numPr>
              <w:jc w:val="both"/>
              <w:cnfStyle w:val="000000000000"/>
              <w:rPr>
                <w:rFonts w:ascii="Avenir Book" w:hAnsi="Avenir Book"/>
              </w:rPr>
            </w:pPr>
            <w:r w:rsidRPr="00B06331">
              <w:rPr>
                <w:rFonts w:ascii="Avenir Book" w:hAnsi="Avenir Book"/>
              </w:rPr>
              <w:t xml:space="preserve">Other short-term skills development opportunities should be pursued including apprenticeships, internships, and other professional training. </w:t>
            </w:r>
          </w:p>
          <w:p w:rsidR="003B3B17" w:rsidRPr="00B06331" w:rsidRDefault="003B3B17" w:rsidP="003B3B17">
            <w:pPr>
              <w:jc w:val="both"/>
              <w:cnfStyle w:val="000000000000"/>
              <w:rPr>
                <w:rFonts w:ascii="Avenir Book" w:hAnsi="Avenir Book"/>
                <w:lang w:val="en-GB"/>
              </w:rPr>
            </w:pPr>
          </w:p>
        </w:tc>
        <w:tc>
          <w:tcPr>
            <w:tcW w:w="2947" w:type="dxa"/>
          </w:tcPr>
          <w:p w:rsidR="003B3B17" w:rsidRPr="00B06331" w:rsidRDefault="003B3B17" w:rsidP="004143E3">
            <w:pPr>
              <w:pStyle w:val="ListParagraph"/>
              <w:numPr>
                <w:ilvl w:val="0"/>
                <w:numId w:val="83"/>
              </w:numPr>
              <w:spacing w:before="60" w:after="60"/>
              <w:jc w:val="both"/>
              <w:cnfStyle w:val="000000000000"/>
              <w:rPr>
                <w:rFonts w:ascii="Avenir Book" w:hAnsi="Avenir Book"/>
              </w:rPr>
            </w:pPr>
            <w:r w:rsidRPr="00B06331">
              <w:rPr>
                <w:rFonts w:ascii="Avenir Book" w:hAnsi="Avenir Book"/>
              </w:rPr>
              <w:t xml:space="preserve">Address sector financing and teacher management issues at the highest levels of government, such as in the Ministry of Finance and Economic Affairs and among civil service officials. </w:t>
            </w:r>
          </w:p>
          <w:p w:rsidR="003B3B17" w:rsidRPr="00B06331" w:rsidRDefault="003B3B17" w:rsidP="004143E3">
            <w:pPr>
              <w:pStyle w:val="ListParagraph"/>
              <w:numPr>
                <w:ilvl w:val="0"/>
                <w:numId w:val="83"/>
              </w:numPr>
              <w:spacing w:before="60" w:after="60"/>
              <w:jc w:val="both"/>
              <w:cnfStyle w:val="000000000000"/>
              <w:rPr>
                <w:rFonts w:ascii="Avenir Book" w:hAnsi="Avenir Book"/>
              </w:rPr>
            </w:pPr>
            <w:r w:rsidRPr="00B06331">
              <w:rPr>
                <w:rFonts w:ascii="Avenir Book" w:hAnsi="Avenir Book"/>
              </w:rPr>
              <w:t xml:space="preserve">A comprehensive teacher training and management policy is required to cohesively pull together the multiple successful pilots in the past. </w:t>
            </w:r>
          </w:p>
          <w:p w:rsidR="003B3B17" w:rsidRPr="00B06331" w:rsidRDefault="003B3B17" w:rsidP="004143E3">
            <w:pPr>
              <w:pStyle w:val="ListParagraph"/>
              <w:numPr>
                <w:ilvl w:val="0"/>
                <w:numId w:val="83"/>
              </w:numPr>
              <w:spacing w:before="60" w:after="60"/>
              <w:jc w:val="both"/>
              <w:cnfStyle w:val="000000000000"/>
              <w:rPr>
                <w:rFonts w:ascii="Avenir Book" w:hAnsi="Avenir Book"/>
              </w:rPr>
            </w:pPr>
            <w:r w:rsidRPr="00B06331">
              <w:rPr>
                <w:rFonts w:ascii="Avenir Book" w:hAnsi="Avenir Book"/>
              </w:rPr>
              <w:t xml:space="preserve">Build on successes of existing scholarship programs to build strong private-public partnerships to expand access and quality of secondary education. </w:t>
            </w:r>
          </w:p>
          <w:p w:rsidR="003B3B17" w:rsidRPr="00B06331" w:rsidRDefault="003B3B17" w:rsidP="003B3B17">
            <w:pPr>
              <w:jc w:val="both"/>
              <w:cnfStyle w:val="000000000000"/>
              <w:rPr>
                <w:rFonts w:ascii="Avenir Book" w:hAnsi="Avenir Book"/>
                <w:lang w:val="en-GB"/>
              </w:rPr>
            </w:pPr>
          </w:p>
        </w:tc>
      </w:tr>
    </w:tbl>
    <w:p w:rsidR="001929BE" w:rsidRPr="00B06331" w:rsidRDefault="001929BE" w:rsidP="003B3B17">
      <w:pPr>
        <w:spacing w:after="0"/>
        <w:jc w:val="both"/>
        <w:rPr>
          <w:rFonts w:ascii="Avenir Book" w:hAnsi="Avenir Book"/>
          <w:sz w:val="20"/>
          <w:szCs w:val="24"/>
        </w:rPr>
      </w:pPr>
    </w:p>
    <w:p w:rsidR="003B3B17" w:rsidRPr="00B06331" w:rsidRDefault="003B3B17" w:rsidP="003B3B17">
      <w:pPr>
        <w:spacing w:after="0"/>
        <w:jc w:val="both"/>
        <w:rPr>
          <w:rFonts w:ascii="Avenir Book" w:eastAsia="Cambria" w:hAnsi="Avenir Book"/>
          <w:sz w:val="24"/>
          <w:szCs w:val="24"/>
        </w:rPr>
      </w:pPr>
    </w:p>
    <w:p w:rsidR="003B3B17" w:rsidRPr="00B06331" w:rsidRDefault="003B3B17" w:rsidP="001C4D71">
      <w:pPr>
        <w:pStyle w:val="Heading3"/>
        <w:rPr>
          <w:rFonts w:asciiTheme="minorHAnsi" w:eastAsia="Cambria" w:hAnsiTheme="minorHAnsi" w:cstheme="minorHAnsi"/>
          <w:b/>
          <w:sz w:val="22"/>
          <w:szCs w:val="22"/>
        </w:rPr>
      </w:pPr>
      <w:bookmarkStart w:id="86" w:name="_Toc492364754"/>
      <w:r w:rsidRPr="00B06331">
        <w:rPr>
          <w:rFonts w:asciiTheme="minorHAnsi" w:hAnsiTheme="minorHAnsi" w:cstheme="minorHAnsi"/>
          <w:b/>
          <w:sz w:val="22"/>
          <w:szCs w:val="22"/>
        </w:rPr>
        <w:t>4.2.2 Health, Nutrition, and Sanitation</w:t>
      </w:r>
      <w:bookmarkEnd w:id="86"/>
    </w:p>
    <w:p w:rsidR="003B3B17" w:rsidRPr="00B06331" w:rsidRDefault="003B3B17" w:rsidP="003B3B17">
      <w:pPr>
        <w:tabs>
          <w:tab w:val="left" w:pos="8730"/>
        </w:tabs>
        <w:spacing w:after="0"/>
        <w:jc w:val="both"/>
        <w:rPr>
          <w:rFonts w:ascii="Avenir Book" w:eastAsia="Cambria" w:hAnsi="Avenir Book"/>
          <w:szCs w:val="24"/>
        </w:rPr>
      </w:pPr>
    </w:p>
    <w:p w:rsidR="003B3B17" w:rsidRPr="00B06331" w:rsidRDefault="003B3B17" w:rsidP="003B3B17">
      <w:pPr>
        <w:tabs>
          <w:tab w:val="left" w:pos="8730"/>
        </w:tabs>
        <w:spacing w:after="0"/>
        <w:jc w:val="both"/>
        <w:rPr>
          <w:rFonts w:ascii="Avenir Book" w:eastAsia="Cambria" w:hAnsi="Avenir Book"/>
          <w:b/>
          <w:color w:val="7030A0"/>
          <w:szCs w:val="24"/>
        </w:rPr>
      </w:pPr>
      <w:r w:rsidRPr="00B06331">
        <w:rPr>
          <w:rFonts w:ascii="Avenir Book" w:eastAsia="Cambria" w:hAnsi="Avenir Book"/>
          <w:b/>
          <w:color w:val="7030A0"/>
          <w:szCs w:val="24"/>
        </w:rPr>
        <w:t>Health</w:t>
      </w:r>
    </w:p>
    <w:p w:rsidR="003B3B17" w:rsidRPr="00B06331" w:rsidRDefault="003B3B17" w:rsidP="003B3B17">
      <w:pPr>
        <w:tabs>
          <w:tab w:val="left" w:pos="8730"/>
        </w:tabs>
        <w:spacing w:after="0"/>
        <w:jc w:val="both"/>
        <w:rPr>
          <w:rFonts w:ascii="Avenir Book" w:eastAsia="Cambria" w:hAnsi="Avenir Book"/>
          <w:szCs w:val="24"/>
        </w:rPr>
      </w:pPr>
    </w:p>
    <w:p w:rsidR="003B3B17" w:rsidRPr="00B06331" w:rsidRDefault="003B3B17" w:rsidP="003B3B17">
      <w:pPr>
        <w:tabs>
          <w:tab w:val="left" w:pos="8730"/>
        </w:tabs>
        <w:spacing w:after="0"/>
        <w:jc w:val="both"/>
        <w:rPr>
          <w:rFonts w:ascii="Avenir Book" w:eastAsia="Cambria" w:hAnsi="Avenir Book"/>
          <w:szCs w:val="24"/>
        </w:rPr>
      </w:pPr>
      <w:r w:rsidRPr="00B06331">
        <w:rPr>
          <w:rFonts w:ascii="Avenir Book" w:eastAsia="Cambria" w:hAnsi="Avenir Book"/>
          <w:szCs w:val="24"/>
        </w:rPr>
        <w:t xml:space="preserve">The importance of health to the attainment of sustainable development is acknowledged and promoted at all levels of nation building. Consequently, significant achievements have been recorded for child health outcomes because of improved access to basic health care services across the country. </w:t>
      </w:r>
      <w:r w:rsidR="00890E95" w:rsidRPr="00B06331">
        <w:rPr>
          <w:rFonts w:ascii="Avenir Book" w:eastAsia="Cambria" w:hAnsi="Avenir Book"/>
          <w:szCs w:val="24"/>
        </w:rPr>
        <w:t>Currently,</w:t>
      </w:r>
      <w:r w:rsidRPr="00B06331">
        <w:rPr>
          <w:rFonts w:ascii="Avenir Book" w:eastAsia="Cambria" w:hAnsi="Avenir Book"/>
          <w:szCs w:val="24"/>
        </w:rPr>
        <w:t xml:space="preserve"> up to 85% of the population are within 5 kilometers of a primary health care facility and reproductive health facility leading to similar succe</w:t>
      </w:r>
      <w:r w:rsidR="00890E95" w:rsidRPr="00B06331">
        <w:rPr>
          <w:rFonts w:ascii="Avenir Book" w:eastAsia="Cambria" w:hAnsi="Avenir Book"/>
          <w:szCs w:val="24"/>
        </w:rPr>
        <w:t>sses with the latter. P</w:t>
      </w:r>
      <w:r w:rsidRPr="00B06331">
        <w:rPr>
          <w:rFonts w:ascii="Avenir Book" w:eastAsia="Cambria" w:hAnsi="Avenir Book"/>
          <w:szCs w:val="24"/>
        </w:rPr>
        <w:t xml:space="preserve">ropelled by a strong primary health care (PHC), the backbone of any functioning health system, The Gambia had a strong health system that was looked up to by other countries as a model.  </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lastRenderedPageBreak/>
        <w:t>However, the PHC has substantially deteriorated over time and is no longer able to serve the population adequately. Although numerous, the prominent factors contributing to the declining health system are: high population growth rate, “verticalization” of service delivery, fragmentation of service delivery and health financing, insufficient financial and logistic support, deterioration of physical infrastructure, inadequacies of supplies and equipment, shortage of adequately and appropriately trained health personnel, high attrition rate as well as inadequate referral system</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Presently, the prominent diseases are maternal mortality, so called “neglected diseases” such as Soil Transmitted Helminths (STH) and Schistosomiasis, TB, Malaria, HIV/AIDS, Non-Communicable Diseases (NCDs) such as diabetes, hypertension, coronary heart disease, obesity, and some forms of cancers, mental health, pregnancy related conditions, malnutrition, and road traffic accidents.</w:t>
      </w:r>
    </w:p>
    <w:p w:rsidR="00E73013" w:rsidRPr="00B06331" w:rsidRDefault="00E73013"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The most prominent diseases in children causing high morbidity and mortality are pneumonia, malnutrition, anemia, neonatal sepsis, as well as birth complications such as asphyxia, trauma, and premature births. In adults, the “leading causes” of in-patient deaths are mate</w:t>
      </w:r>
      <w:r w:rsidR="00667CEB" w:rsidRPr="00B06331">
        <w:rPr>
          <w:rFonts w:ascii="Avenir Book" w:eastAsia="Cambria" w:hAnsi="Avenir Book"/>
          <w:szCs w:val="24"/>
        </w:rPr>
        <w:t xml:space="preserve">rnal deaths, diabetes, cancer, </w:t>
      </w:r>
      <w:r w:rsidRPr="00B06331">
        <w:rPr>
          <w:rFonts w:ascii="Avenir Book" w:eastAsia="Cambria" w:hAnsi="Avenir Book"/>
          <w:szCs w:val="24"/>
        </w:rPr>
        <w:t>cardio-vascular disease</w:t>
      </w:r>
      <w:r w:rsidR="00667CEB" w:rsidRPr="00B06331">
        <w:rPr>
          <w:rFonts w:ascii="Avenir Book" w:eastAsia="Cambria" w:hAnsi="Avenir Book"/>
          <w:szCs w:val="24"/>
        </w:rPr>
        <w:t>,</w:t>
      </w:r>
      <w:r w:rsidRPr="00B06331">
        <w:rPr>
          <w:rFonts w:ascii="Avenir Book" w:eastAsia="Cambria" w:hAnsi="Avenir Book"/>
          <w:szCs w:val="24"/>
        </w:rPr>
        <w:t xml:space="preserve"> and trauma</w:t>
      </w:r>
      <w:r w:rsidR="00667CEB" w:rsidRPr="00B06331">
        <w:rPr>
          <w:rFonts w:ascii="Avenir Book" w:eastAsia="Cambria" w:hAnsi="Avenir Book"/>
          <w:szCs w:val="24"/>
        </w:rPr>
        <w:t xml:space="preserve"> a</w:t>
      </w:r>
      <w:r w:rsidRPr="00B06331">
        <w:rPr>
          <w:rFonts w:ascii="Avenir Book" w:eastAsia="Cambria" w:hAnsi="Avenir Book"/>
          <w:szCs w:val="24"/>
        </w:rPr>
        <w:t>ccording to the 2015 HMIS Service Statistics as quoted in WHO</w:t>
      </w:r>
      <w:r w:rsidR="00667CEB" w:rsidRPr="00B06331">
        <w:rPr>
          <w:rFonts w:ascii="Avenir Book" w:eastAsia="Cambria" w:hAnsi="Avenir Book"/>
          <w:szCs w:val="24"/>
        </w:rPr>
        <w:t xml:space="preserve"> CCS 2016-2020.</w:t>
      </w:r>
    </w:p>
    <w:p w:rsidR="00667CEB" w:rsidRPr="00B06331" w:rsidRDefault="00667CEB"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 xml:space="preserve">Of the six building blocks that WHO classified the health system since 2001, leadership and governance which deals with ensuring strategic policy frameworks combined with effective oversight, coalition building, accountability, regulations, incentives and attention to health systems design, is the weakest </w:t>
      </w:r>
      <w:r w:rsidR="00C97D8B" w:rsidRPr="00B06331">
        <w:rPr>
          <w:rFonts w:ascii="Avenir Book" w:eastAsia="Cambria" w:hAnsi="Avenir Book"/>
          <w:szCs w:val="24"/>
        </w:rPr>
        <w:t>component in the Gambia. From</w:t>
      </w:r>
      <w:r w:rsidRPr="00B06331">
        <w:rPr>
          <w:rFonts w:ascii="Avenir Book" w:eastAsia="Cambria" w:hAnsi="Avenir Book"/>
          <w:szCs w:val="24"/>
        </w:rPr>
        <w:t xml:space="preserve"> 2001-14, the health sector had no strategic plan that was implemented with partners; and there was an absence of partner coordination framework as dictated by the 2005 Paris Declaration Principles. This weak Health Governance Framework continues to be a main bottleneck in improving the health system in the country. </w:t>
      </w:r>
    </w:p>
    <w:p w:rsidR="003B3B17" w:rsidRPr="00B06331" w:rsidRDefault="00890E95"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H</w:t>
      </w:r>
      <w:r w:rsidR="003B3B17" w:rsidRPr="00B06331">
        <w:rPr>
          <w:rFonts w:ascii="Avenir Book" w:eastAsia="Cambria" w:hAnsi="Avenir Book"/>
          <w:szCs w:val="24"/>
        </w:rPr>
        <w:t>ealth financing, payment management reforms, and regulatory systems are critical determinants of quality</w:t>
      </w:r>
      <w:r w:rsidRPr="00B06331">
        <w:rPr>
          <w:rFonts w:ascii="Avenir Book" w:eastAsia="Cambria" w:hAnsi="Avenir Book"/>
          <w:szCs w:val="24"/>
        </w:rPr>
        <w:t xml:space="preserve"> of health care delivery in the Gambia</w:t>
      </w:r>
      <w:r w:rsidR="003B3B17" w:rsidRPr="00B06331">
        <w:rPr>
          <w:rFonts w:ascii="Avenir Book" w:eastAsia="Cambria" w:hAnsi="Avenir Book"/>
          <w:szCs w:val="24"/>
        </w:rPr>
        <w:t>. Government budgetary allocation rose to 10.56% in 2016 although still below the 15% Abuja Declaration target.  Meanwhile “Out-of-Pocket expenditure” constitutes 21.2% of the total health expenditure (NHA, 2013) and continues to be a huge burden on households, impacting negatively on the livelihood of the ordinary Gambians.</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While the Gambia made progress on child health and met MDG 4, it continues to face serious challenges relating to maternal and women’s health. The percentage of women who had skilled attendance at delivery (57 percent) has remained stagnant since 2000 while experiencing a drop to 86 percent of ensuring at least one antenatal care visit by a skilled provider which was nearly universal in 2005/06,.  The 2011 Maternal and Perinatal Audit of Royal Victoria Teaching Hospital highlighted delayed access to referral services by pregnant women as a major contributing factor to high maternal mortality. Teenage pregnancies are common, and of adolescent girls age 15-19, 18 percent have begun childbearing – this figure is as high as 24 percent in rural areas.</w:t>
      </w:r>
    </w:p>
    <w:p w:rsidR="00890E95" w:rsidRPr="00B06331" w:rsidRDefault="00890E95" w:rsidP="003B3B17">
      <w:pPr>
        <w:jc w:val="both"/>
        <w:rPr>
          <w:rFonts w:ascii="Avenir Book" w:eastAsia="Cambria" w:hAnsi="Avenir Book"/>
          <w:szCs w:val="24"/>
        </w:rPr>
      </w:pPr>
    </w:p>
    <w:p w:rsidR="003B3B17" w:rsidRPr="00B06331" w:rsidRDefault="003B3B17" w:rsidP="003B3B17">
      <w:pPr>
        <w:tabs>
          <w:tab w:val="left" w:pos="993"/>
        </w:tabs>
        <w:spacing w:after="0"/>
        <w:jc w:val="both"/>
        <w:rPr>
          <w:rFonts w:ascii="Avenir Book" w:eastAsia="Cambria" w:hAnsi="Avenir Book"/>
          <w:b/>
          <w:color w:val="7030A0"/>
          <w:szCs w:val="24"/>
        </w:rPr>
      </w:pPr>
      <w:r w:rsidRPr="00B06331">
        <w:rPr>
          <w:rFonts w:ascii="Avenir Book" w:eastAsia="Cambria" w:hAnsi="Avenir Book"/>
          <w:b/>
          <w:color w:val="7030A0"/>
          <w:szCs w:val="24"/>
        </w:rPr>
        <w:t xml:space="preserve"> Nutrition</w:t>
      </w:r>
    </w:p>
    <w:p w:rsidR="003B3B17" w:rsidRPr="00B06331" w:rsidRDefault="003B3B17" w:rsidP="003B3B17">
      <w:pPr>
        <w:tabs>
          <w:tab w:val="left" w:pos="993"/>
        </w:tabs>
        <w:spacing w:after="0"/>
        <w:jc w:val="both"/>
        <w:rPr>
          <w:rFonts w:ascii="Avenir Book" w:eastAsia="Cambria" w:hAnsi="Avenir Book"/>
          <w:szCs w:val="24"/>
        </w:rPr>
      </w:pPr>
    </w:p>
    <w:p w:rsidR="003B3B17" w:rsidRPr="00B06331" w:rsidRDefault="003B3B17" w:rsidP="003B3B17">
      <w:pPr>
        <w:tabs>
          <w:tab w:val="left" w:pos="993"/>
        </w:tabs>
        <w:spacing w:after="0"/>
        <w:jc w:val="both"/>
        <w:rPr>
          <w:rFonts w:ascii="Avenir Book" w:eastAsia="Cambria" w:hAnsi="Avenir Book"/>
          <w:szCs w:val="24"/>
        </w:rPr>
      </w:pPr>
      <w:r w:rsidRPr="00B06331">
        <w:rPr>
          <w:rFonts w:ascii="Avenir Book" w:eastAsia="Cambria" w:hAnsi="Avenir Book"/>
          <w:szCs w:val="24"/>
        </w:rPr>
        <w:lastRenderedPageBreak/>
        <w:t>The ‘double burden of malnutrition’ –characterized by overweight and obesity co-existing with under-nutrition and micronutrient malnutrition is prevalent in the country; leading to direct losses in productivity because of poor physical status, indirect losses due to poor cognitive function and learning deficits, as well as losses resulting from increased medical costs. Only 8% of children aged 6-23 months are fed in accordance with all Infant and Young Child Feeding (IYCF) practices (DHS, 2013) while 22.9% of children are chronically malnourished or stunted with 6.2% severely stunted (SMART, 2015). The 2013DHS estimated that 73 percent of the children in The Gambia suffered from some level of anaemia with 4 percent being severely anaemic. It also reveals that rural women were more likely to be anaemic (68%) compared to urban women (53%). The problems of being overweight and obese is gradually gaining a foothold in society and respectively affects 25% and 17% of women living in the urban areas of Banjul and Kanifing (VAMU 2015). Furthermore, the WHO Country profile reported that Diet Related NCDs account for 17% of total deaths, of which, cardiovascular disease was 12%, cancers 3% and diabetes 2%.</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 xml:space="preserve">Despite its importance, The Gambia is experiencing a critical shortage of health workers, with the issue compounded by poor distribution, uneven performance and quality, insufficient incentives and remuneration, poor working conditions and inadequate management practices and support. Currently, the proportion of various health care professionals per 10,000 </w:t>
      </w:r>
      <w:r w:rsidR="00C97D8B" w:rsidRPr="00B06331">
        <w:rPr>
          <w:rFonts w:ascii="Avenir Book" w:eastAsia="Cambria" w:hAnsi="Avenir Book"/>
          <w:szCs w:val="24"/>
        </w:rPr>
        <w:t>population</w:t>
      </w:r>
      <w:r w:rsidRPr="00B06331">
        <w:rPr>
          <w:rFonts w:ascii="Avenir Book" w:eastAsia="Cambria" w:hAnsi="Avenir Book"/>
          <w:szCs w:val="24"/>
        </w:rPr>
        <w:t xml:space="preserve"> remains critically low. In addition, traditional beliefs and low awareness have led to inappropriate health seeking behaviors, contributing to ill health.   </w:t>
      </w:r>
    </w:p>
    <w:p w:rsidR="003B3B17" w:rsidRPr="00B06331" w:rsidRDefault="003B3B17" w:rsidP="003B3B17">
      <w:pPr>
        <w:spacing w:after="0"/>
        <w:ind w:right="65"/>
        <w:jc w:val="both"/>
        <w:rPr>
          <w:rFonts w:ascii="Avenir Book" w:eastAsia="Cambria" w:hAnsi="Avenir Book"/>
          <w:szCs w:val="24"/>
        </w:rPr>
      </w:pPr>
    </w:p>
    <w:p w:rsidR="003B3B17" w:rsidRPr="00B06331" w:rsidRDefault="003B3B17" w:rsidP="003B3B17">
      <w:pPr>
        <w:ind w:right="65"/>
        <w:jc w:val="both"/>
        <w:rPr>
          <w:rFonts w:ascii="Avenir Book" w:eastAsia="Cambria" w:hAnsi="Avenir Book"/>
          <w:b/>
          <w:color w:val="7030A0"/>
          <w:szCs w:val="24"/>
        </w:rPr>
      </w:pPr>
      <w:r w:rsidRPr="00B06331">
        <w:rPr>
          <w:rFonts w:ascii="Avenir Book" w:eastAsia="Cambria" w:hAnsi="Avenir Book"/>
          <w:b/>
          <w:color w:val="7030A0"/>
          <w:szCs w:val="24"/>
        </w:rPr>
        <w:t>Water and Sanitation</w:t>
      </w:r>
    </w:p>
    <w:p w:rsidR="003B3B17" w:rsidRPr="00B06331" w:rsidRDefault="003B3B17" w:rsidP="003B3B17">
      <w:pPr>
        <w:ind w:right="65"/>
        <w:jc w:val="both"/>
        <w:rPr>
          <w:rFonts w:ascii="Avenir Book" w:eastAsia="Cambria" w:hAnsi="Avenir Book"/>
          <w:szCs w:val="24"/>
        </w:rPr>
      </w:pPr>
      <w:r w:rsidRPr="00B06331">
        <w:rPr>
          <w:rFonts w:ascii="Avenir Book" w:eastAsia="Cambria" w:hAnsi="Avenir Book"/>
          <w:szCs w:val="24"/>
        </w:rPr>
        <w:t xml:space="preserve">WASH is a critical intervention for improved health and socio-economic outcomes for the population in The Gambia. Given the high rate of population growth and urbanization, water and sanitation services are unable to keep pace with the demand, with adverse public health ramifications. Poor maintenance culture of water systems further complicates this; likewise lack of investment/funding; weak institutional capacities; poor coordination, low hygiene, and sanitation practices. While proportion of the population with access to pipe borne drinking, water increased in urban areas, it decreased in rural areas. Furthermore, national coverage for improved sanitation has dropped from 42.1% in 2013 to 40.3% in 2015. (WHO and UNICEF JMP, 2017) and its negative impact further aggravated by the fact that only 8.1 % of the population practice hand washing with soap.  The per capita waste generation is above the capacity of the municipal councils resulting to high vulnerabilities among communities.  </w:t>
      </w:r>
    </w:p>
    <w:p w:rsidR="003B3B17" w:rsidRPr="00B06331" w:rsidRDefault="003B3B17" w:rsidP="003B3B17">
      <w:pPr>
        <w:jc w:val="both"/>
        <w:rPr>
          <w:rFonts w:ascii="Avenir Book" w:eastAsia="Times New Roman" w:hAnsi="Avenir Book"/>
          <w:lang w:val="en-GB"/>
        </w:rPr>
      </w:pPr>
      <w:r w:rsidRPr="00B06331">
        <w:rPr>
          <w:rFonts w:ascii="Avenir Book" w:eastAsia="Times New Roman" w:hAnsi="Avenir Book"/>
          <w:lang w:val="en-GB"/>
        </w:rPr>
        <w:t>The population age structure and population growth rates are not favourable to economic growth</w:t>
      </w:r>
      <w:r w:rsidRPr="00B06331">
        <w:rPr>
          <w:rFonts w:ascii="Avenir Book" w:eastAsia="Times New Roman" w:hAnsi="Avenir Book"/>
          <w:b/>
          <w:lang w:val="en-GB"/>
        </w:rPr>
        <w:t xml:space="preserve">.  </w:t>
      </w:r>
      <w:r w:rsidRPr="00B06331">
        <w:rPr>
          <w:rFonts w:ascii="Avenir Book" w:eastAsia="Times New Roman" w:hAnsi="Avenir Book"/>
          <w:lang w:val="en-GB"/>
        </w:rPr>
        <w:t xml:space="preserve">Declining mortality rates combined with increasing fertility rates and early childbearing have resulted in high population growth (annual rate of 3.1% during 2003-2013, an increase of 37% from the 1993-2003 period) and a young, dependent population.  The age structure is unfavourable to human capital accumulation, productivity, economic growth, and poverty reduction.  </w:t>
      </w:r>
    </w:p>
    <w:p w:rsidR="003B3B17" w:rsidRPr="00B06331" w:rsidRDefault="003B3B17" w:rsidP="001C4D71">
      <w:pPr>
        <w:pStyle w:val="Heading3"/>
        <w:rPr>
          <w:rFonts w:asciiTheme="minorHAnsi" w:hAnsiTheme="minorHAnsi" w:cstheme="minorHAnsi"/>
          <w:b/>
          <w:sz w:val="22"/>
          <w:szCs w:val="22"/>
        </w:rPr>
      </w:pPr>
      <w:bookmarkStart w:id="87" w:name="_Toc492364755"/>
      <w:r w:rsidRPr="00B06331">
        <w:rPr>
          <w:rFonts w:asciiTheme="minorHAnsi" w:hAnsiTheme="minorHAnsi" w:cstheme="minorHAnsi"/>
          <w:b/>
          <w:sz w:val="22"/>
          <w:szCs w:val="22"/>
        </w:rPr>
        <w:t>4.2.3 Social Protection</w:t>
      </w:r>
      <w:bookmarkEnd w:id="87"/>
    </w:p>
    <w:p w:rsidR="003B3B17" w:rsidRPr="00B06331" w:rsidRDefault="003B3B17" w:rsidP="003B3B17">
      <w:pPr>
        <w:tabs>
          <w:tab w:val="left" w:pos="993"/>
        </w:tabs>
        <w:spacing w:after="0"/>
        <w:jc w:val="both"/>
        <w:rPr>
          <w:rFonts w:ascii="Avenir Book" w:eastAsia="Cambria" w:hAnsi="Avenir Book"/>
          <w:szCs w:val="24"/>
        </w:rPr>
      </w:pPr>
    </w:p>
    <w:p w:rsidR="003B3B17" w:rsidRPr="00B06331" w:rsidRDefault="003B3B17" w:rsidP="003B3B17">
      <w:pPr>
        <w:tabs>
          <w:tab w:val="left" w:pos="993"/>
        </w:tabs>
        <w:spacing w:after="0"/>
        <w:jc w:val="both"/>
        <w:rPr>
          <w:rFonts w:ascii="Avenir Book" w:eastAsia="Cambria" w:hAnsi="Avenir Book"/>
          <w:szCs w:val="24"/>
        </w:rPr>
      </w:pPr>
      <w:r w:rsidRPr="00B06331">
        <w:rPr>
          <w:rFonts w:ascii="Avenir Book" w:eastAsia="Cambria" w:hAnsi="Avenir Book"/>
          <w:szCs w:val="24"/>
        </w:rPr>
        <w:lastRenderedPageBreak/>
        <w:t xml:space="preserve">The Gambia aspires for a modernized and expanded social protection system that provides reliable and effective protection from multifaceted shocks and stresses and which builds people’s resilience to adversity and hardship. While pursuing broad base economic growth, it recognizes the inequality limitations and consequently promotes social protection programmes for the poorest and most marginalized segments of society. </w:t>
      </w:r>
    </w:p>
    <w:p w:rsidR="003B3B17" w:rsidRPr="00B06331" w:rsidRDefault="003B3B17" w:rsidP="003B3B17">
      <w:pPr>
        <w:tabs>
          <w:tab w:val="left" w:pos="993"/>
        </w:tabs>
        <w:spacing w:after="0"/>
        <w:jc w:val="both"/>
        <w:rPr>
          <w:rFonts w:ascii="Avenir Book" w:eastAsia="Cambria" w:hAnsi="Avenir Book"/>
          <w:szCs w:val="24"/>
        </w:rPr>
      </w:pPr>
    </w:p>
    <w:p w:rsidR="003B3B17" w:rsidRPr="00B06331" w:rsidRDefault="003B3B17" w:rsidP="003B3B17">
      <w:pPr>
        <w:tabs>
          <w:tab w:val="left" w:pos="993"/>
        </w:tabs>
        <w:spacing w:after="0"/>
        <w:jc w:val="both"/>
        <w:rPr>
          <w:rFonts w:ascii="Avenir Book" w:eastAsia="Cambria" w:hAnsi="Avenir Book"/>
          <w:szCs w:val="24"/>
        </w:rPr>
      </w:pPr>
      <w:r w:rsidRPr="00B06331">
        <w:rPr>
          <w:rFonts w:ascii="Avenir Book" w:eastAsia="Cambria" w:hAnsi="Avenir Book"/>
          <w:szCs w:val="24"/>
        </w:rPr>
        <w:t xml:space="preserve">To this end, the Gambia has placed social protection at the heart of its poverty reduction strategies, backed it with the first National Social Protection Policy (2015-25), while executing various initiatives, such as a cash transfer for pregnant women in poor regions, maternal and child health package, scholarships and school feeding programs, the Government-run Family Strengthening Program, disability and health care services for children, and pension schemes for those in the formal sector.  </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However, the current social protection system in The Gambia is fragmented and focuses on social assistance and promotive activities, particularly schemes designed to improve food security, address malnutrition, and promote access to education. There is less focus on healthcare and reliable income support through cash transfers to extremely poor and vulnerable households and individuals. For example, The Gambia does not have a universal social pension for the elderly or a child support allowance. Furthermore, preventative social protection is highly limited in the country, given that social security schemes are reduced to those employed in the formal sector. Most of the population works in the informal sector, thus lacking any form of social security. A Notable gap includes the absence of national health insurance program, while the social security package excludes unemployment and paid maternity leave benefits. Although agricultural households face an ongoing risk of natural disasters with considerable effects on their livelihoods and food security, state-led crop insurance schemes for farmers is underdeveloped but the Country is one of the pilots taking part in the Africa Risk Capacity (ARC) of the African Union.</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 xml:space="preserve">Long-term and predictable institutionalized social transfers and promotion initiatives, targeting the extremely poor, are rare. Many social transfers are transitory and project-based, characterized by unreliable funding that jeopardizes their sustainability. The legislative framework has notable gaps, including the absence of a national minimum wage or disability bill and the coverage and level of support to particularly vulnerable groups (the elderly PWDs, PLHIV) is inadequate and sporadic. </w:t>
      </w:r>
    </w:p>
    <w:p w:rsidR="003B3B17" w:rsidRPr="00B06331" w:rsidRDefault="003B3B17" w:rsidP="003B3B17">
      <w:pPr>
        <w:tabs>
          <w:tab w:val="left" w:pos="720"/>
        </w:tabs>
        <w:spacing w:before="120" w:after="120"/>
        <w:jc w:val="both"/>
        <w:rPr>
          <w:rFonts w:ascii="Avenir Book" w:eastAsia="Cambria" w:hAnsi="Avenir Book"/>
          <w:szCs w:val="24"/>
        </w:rPr>
      </w:pPr>
      <w:r w:rsidRPr="00B06331">
        <w:rPr>
          <w:rFonts w:ascii="Avenir Book" w:eastAsia="Cambria" w:hAnsi="Avenir Book"/>
          <w:szCs w:val="24"/>
        </w:rPr>
        <w:t>Migrants, refugee families, single parents, widows, and child headed households rarely feature in social protection programming and projects rarely consider the social risks and vulnerabil</w:t>
      </w:r>
      <w:r w:rsidR="00472F60" w:rsidRPr="00B06331">
        <w:rPr>
          <w:rFonts w:ascii="Avenir Book" w:eastAsia="Cambria" w:hAnsi="Avenir Book"/>
          <w:szCs w:val="24"/>
        </w:rPr>
        <w:t>ities, lifecycle challenges</w:t>
      </w:r>
      <w:r w:rsidRPr="00B06331">
        <w:rPr>
          <w:rFonts w:ascii="Avenir Book" w:eastAsia="Cambria" w:hAnsi="Avenir Book"/>
          <w:szCs w:val="24"/>
        </w:rPr>
        <w:t xml:space="preserve"> and/or needs of specific excluded groups.</w:t>
      </w:r>
      <w:bookmarkStart w:id="88" w:name="_Toc488689308"/>
    </w:p>
    <w:p w:rsidR="003B3B17" w:rsidRPr="00B06331" w:rsidRDefault="003B3B17" w:rsidP="001C4D71">
      <w:pPr>
        <w:pStyle w:val="Heading2"/>
        <w:rPr>
          <w:rFonts w:asciiTheme="minorHAnsi" w:hAnsiTheme="minorHAnsi" w:cstheme="minorHAnsi"/>
          <w:sz w:val="22"/>
          <w:szCs w:val="22"/>
          <w:lang w:val="en-US"/>
        </w:rPr>
      </w:pPr>
      <w:bookmarkStart w:id="89" w:name="_Toc492364756"/>
      <w:r w:rsidRPr="00B06331">
        <w:rPr>
          <w:rFonts w:asciiTheme="minorHAnsi" w:eastAsia="Cambria" w:hAnsiTheme="minorHAnsi" w:cstheme="minorHAnsi"/>
          <w:sz w:val="22"/>
          <w:szCs w:val="22"/>
        </w:rPr>
        <w:t xml:space="preserve">4.3 </w:t>
      </w:r>
      <w:r w:rsidRPr="00B06331">
        <w:rPr>
          <w:rFonts w:asciiTheme="minorHAnsi" w:hAnsiTheme="minorHAnsi" w:cstheme="minorHAnsi"/>
          <w:sz w:val="22"/>
          <w:szCs w:val="22"/>
        </w:rPr>
        <w:t>Empowerment of Women</w:t>
      </w:r>
      <w:bookmarkEnd w:id="88"/>
      <w:bookmarkEnd w:id="89"/>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Gender </w:t>
      </w:r>
      <w:r w:rsidR="00202B6A" w:rsidRPr="00B06331">
        <w:rPr>
          <w:rFonts w:ascii="Avenir Book" w:eastAsia="Cambria" w:hAnsi="Avenir Book"/>
          <w:szCs w:val="24"/>
        </w:rPr>
        <w:t>equality continues to feature prominently in The Gambia</w:t>
      </w:r>
      <w:r w:rsidRPr="00B06331">
        <w:rPr>
          <w:rFonts w:ascii="Avenir Book" w:eastAsia="Cambria" w:hAnsi="Avenir Book"/>
          <w:szCs w:val="24"/>
        </w:rPr>
        <w:t xml:space="preserve"> through the continuing creation of an enabling policy framework based on a proper gender analysis and the provision of adequate gender statist</w:t>
      </w:r>
      <w:r w:rsidR="00202B6A" w:rsidRPr="00B06331">
        <w:rPr>
          <w:rFonts w:ascii="Avenir Book" w:eastAsia="Cambria" w:hAnsi="Avenir Book"/>
          <w:szCs w:val="24"/>
        </w:rPr>
        <w:t>ics and budgets. In addition, there is increasing focus</w:t>
      </w:r>
      <w:r w:rsidRPr="00B06331">
        <w:rPr>
          <w:rFonts w:ascii="Avenir Book" w:eastAsia="Cambria" w:hAnsi="Avenir Book"/>
          <w:szCs w:val="24"/>
        </w:rPr>
        <w:t xml:space="preserve"> on the improvement of women’s and girls’ employable skills and job opportunities by ensuring parity in primary, secondary and tertiary education. </w:t>
      </w:r>
      <w:r w:rsidR="00202B6A" w:rsidRPr="00B06331">
        <w:rPr>
          <w:rFonts w:ascii="Avenir Book" w:eastAsia="Cambria" w:hAnsi="Avenir Book"/>
          <w:szCs w:val="24"/>
        </w:rPr>
        <w:t>Similarly, there are ongoing efforts aimed at improving</w:t>
      </w:r>
      <w:r w:rsidRPr="00B06331">
        <w:rPr>
          <w:rFonts w:ascii="Avenir Book" w:eastAsia="Cambria" w:hAnsi="Avenir Book"/>
          <w:szCs w:val="24"/>
        </w:rPr>
        <w:t xml:space="preserve"> women’s and girls’ entrepreneurial skills and </w:t>
      </w:r>
      <w:r w:rsidRPr="00B06331">
        <w:rPr>
          <w:rFonts w:ascii="Avenir Book" w:eastAsia="Cambria" w:hAnsi="Avenir Book"/>
          <w:szCs w:val="24"/>
        </w:rPr>
        <w:lastRenderedPageBreak/>
        <w:t>opportunities in all productive sectors, mobilize resources for gender equality and women’s empo</w:t>
      </w:r>
      <w:r w:rsidR="00202B6A" w:rsidRPr="00B06331">
        <w:rPr>
          <w:rFonts w:ascii="Avenir Book" w:eastAsia="Cambria" w:hAnsi="Avenir Book"/>
          <w:szCs w:val="24"/>
        </w:rPr>
        <w:t>werment interventions, and ensuring</w:t>
      </w:r>
      <w:r w:rsidRPr="00B06331">
        <w:rPr>
          <w:rFonts w:ascii="Avenir Book" w:eastAsia="Cambria" w:hAnsi="Avenir Book"/>
          <w:szCs w:val="24"/>
        </w:rPr>
        <w:t xml:space="preserve"> the proper coordination, monitoring and evaluation of women and gender-related programmes. The Gambia is also signatory to many international conventions, agreements and declarations that directly affect women’s rights. </w:t>
      </w:r>
    </w:p>
    <w:p w:rsidR="003B3B17" w:rsidRPr="00B06331" w:rsidRDefault="00202B6A" w:rsidP="003B3B17">
      <w:pPr>
        <w:jc w:val="both"/>
        <w:rPr>
          <w:rFonts w:ascii="Avenir Book" w:eastAsia="Cambria" w:hAnsi="Avenir Book"/>
          <w:szCs w:val="24"/>
        </w:rPr>
      </w:pPr>
      <w:r w:rsidRPr="00B06331">
        <w:rPr>
          <w:rFonts w:ascii="Avenir Book" w:eastAsia="Cambria" w:hAnsi="Avenir Book"/>
          <w:szCs w:val="24"/>
        </w:rPr>
        <w:t>Evidently, the country</w:t>
      </w:r>
      <w:r w:rsidR="003B3B17" w:rsidRPr="00B06331">
        <w:rPr>
          <w:rFonts w:ascii="Avenir Book" w:eastAsia="Cambria" w:hAnsi="Avenir Book"/>
          <w:szCs w:val="24"/>
        </w:rPr>
        <w:t xml:space="preserve">has registered significant progress in women empowerment, notably Gross Enrolment Ratio (GER) for girls, Net Enrolment Ratio (NER) for girls, protection of women against violence, ban on FGM, female representation at the National Assembly, Speaker of the National Assembly, and successfully litigated cases by the female lawyers association that resulted in two landmark decisions on the enforcement of the Women’s Act’s provision related to the equitable sharing of joint property (CCA 2015). </w:t>
      </w:r>
    </w:p>
    <w:p w:rsidR="003B3B17" w:rsidRPr="00B06331" w:rsidRDefault="003B3B17" w:rsidP="00202B6A">
      <w:pPr>
        <w:tabs>
          <w:tab w:val="left" w:pos="810"/>
        </w:tabs>
        <w:autoSpaceDE w:val="0"/>
        <w:autoSpaceDN w:val="0"/>
        <w:adjustRightInd w:val="0"/>
        <w:spacing w:before="120" w:after="120"/>
        <w:jc w:val="both"/>
        <w:rPr>
          <w:rFonts w:ascii="Avenir Book" w:eastAsia="Cambria" w:hAnsi="Avenir Book"/>
          <w:szCs w:val="24"/>
        </w:rPr>
      </w:pPr>
      <w:r w:rsidRPr="00B06331">
        <w:rPr>
          <w:rFonts w:ascii="Avenir Book" w:eastAsia="Cambria" w:hAnsi="Avenir Book"/>
          <w:szCs w:val="24"/>
        </w:rPr>
        <w:t>Despite the successes, women empower</w:t>
      </w:r>
      <w:r w:rsidR="00202B6A" w:rsidRPr="00B06331">
        <w:rPr>
          <w:rFonts w:ascii="Avenir Book" w:eastAsia="Cambria" w:hAnsi="Avenir Book"/>
          <w:szCs w:val="24"/>
        </w:rPr>
        <w:t xml:space="preserve">ment is still weak. </w:t>
      </w:r>
      <w:r w:rsidRPr="00B06331">
        <w:rPr>
          <w:rFonts w:ascii="Avenir Book" w:eastAsia="Cambria" w:hAnsi="Avenir Book"/>
          <w:szCs w:val="24"/>
        </w:rPr>
        <w:t>In Gambian society, patriarchy dominates and in concert with negative socio-cultural practices like forced and early marriage led to the exclusion of women and girls from actively participating in certain sectors and at certain levels of the development process of the co</w:t>
      </w:r>
      <w:r w:rsidR="00202B6A" w:rsidRPr="00B06331">
        <w:rPr>
          <w:rFonts w:ascii="Avenir Book" w:eastAsia="Cambria" w:hAnsi="Avenir Book"/>
          <w:szCs w:val="24"/>
        </w:rPr>
        <w:t xml:space="preserve">untry. For instance, due to </w:t>
      </w:r>
      <w:r w:rsidRPr="00B06331">
        <w:rPr>
          <w:rFonts w:ascii="Avenir Book" w:eastAsia="Cambria" w:hAnsi="Avenir Book"/>
          <w:szCs w:val="24"/>
        </w:rPr>
        <w:t xml:space="preserve">this dominance, women have limited access to adult literacy, numeracy, and livelihood skills. </w:t>
      </w:r>
    </w:p>
    <w:p w:rsidR="003B3B17" w:rsidRPr="00B06331" w:rsidRDefault="00202B6A" w:rsidP="00202B6A">
      <w:pPr>
        <w:tabs>
          <w:tab w:val="left" w:pos="810"/>
        </w:tabs>
        <w:spacing w:before="120" w:after="120"/>
        <w:jc w:val="both"/>
        <w:rPr>
          <w:rFonts w:ascii="Avenir Book" w:eastAsia="Cambria" w:hAnsi="Avenir Book"/>
          <w:szCs w:val="24"/>
        </w:rPr>
      </w:pPr>
      <w:r w:rsidRPr="00B06331">
        <w:rPr>
          <w:rFonts w:ascii="Avenir Book" w:eastAsia="Cambria" w:hAnsi="Avenir Book"/>
          <w:szCs w:val="24"/>
        </w:rPr>
        <w:t xml:space="preserve">One critical area </w:t>
      </w:r>
      <w:r w:rsidR="003B3B17" w:rsidRPr="00B06331">
        <w:rPr>
          <w:rFonts w:ascii="Avenir Book" w:eastAsia="Cambria" w:hAnsi="Avenir Book"/>
          <w:szCs w:val="24"/>
        </w:rPr>
        <w:t>rel</w:t>
      </w:r>
      <w:r w:rsidRPr="00B06331">
        <w:rPr>
          <w:rFonts w:ascii="Avenir Book" w:eastAsia="Cambria" w:hAnsi="Avenir Book"/>
          <w:szCs w:val="24"/>
        </w:rPr>
        <w:t>ates to household chores as it</w:t>
      </w:r>
      <w:r w:rsidR="003B3B17" w:rsidRPr="00B06331">
        <w:rPr>
          <w:rFonts w:ascii="Avenir Book" w:eastAsia="Cambria" w:hAnsi="Avenir Book"/>
          <w:szCs w:val="24"/>
        </w:rPr>
        <w:t xml:space="preserve"> affect</w:t>
      </w:r>
      <w:r w:rsidRPr="00B06331">
        <w:rPr>
          <w:rFonts w:ascii="Avenir Book" w:eastAsia="Cambria" w:hAnsi="Avenir Book"/>
          <w:szCs w:val="24"/>
        </w:rPr>
        <w:t>s</w:t>
      </w:r>
      <w:r w:rsidR="003B3B17" w:rsidRPr="00B06331">
        <w:rPr>
          <w:rFonts w:ascii="Avenir Book" w:eastAsia="Cambria" w:hAnsi="Avenir Book"/>
          <w:szCs w:val="24"/>
        </w:rPr>
        <w:t xml:space="preserve"> equal access to education of girls and give very little time to women to ensure equal access to decent work</w:t>
      </w:r>
      <w:r w:rsidRPr="00B06331">
        <w:rPr>
          <w:rFonts w:ascii="Avenir Book" w:eastAsia="Cambria" w:hAnsi="Avenir Book"/>
          <w:szCs w:val="24"/>
        </w:rPr>
        <w:t xml:space="preserve"> and remuneration (UNDP 2014). Linked </w:t>
      </w:r>
      <w:r w:rsidR="003B3B17" w:rsidRPr="00B06331">
        <w:rPr>
          <w:rFonts w:ascii="Avenir Book" w:eastAsia="Cambria" w:hAnsi="Avenir Book"/>
          <w:szCs w:val="24"/>
        </w:rPr>
        <w:t xml:space="preserve">to this is women’s low control or ownership of the factors of production in agriculture- especially land. This is despite their predominant role in farming and the reduction of malnutrition. </w:t>
      </w:r>
    </w:p>
    <w:p w:rsidR="003B3B17" w:rsidRPr="00B06331" w:rsidRDefault="00202B6A" w:rsidP="003B3B17">
      <w:pPr>
        <w:autoSpaceDE w:val="0"/>
        <w:autoSpaceDN w:val="0"/>
        <w:adjustRightInd w:val="0"/>
        <w:spacing w:after="0"/>
        <w:jc w:val="both"/>
        <w:rPr>
          <w:rFonts w:ascii="Avenir Book" w:eastAsia="Cambria" w:hAnsi="Avenir Book"/>
          <w:szCs w:val="24"/>
        </w:rPr>
      </w:pPr>
      <w:r w:rsidRPr="00B06331">
        <w:rPr>
          <w:rFonts w:ascii="Avenir Book" w:eastAsia="Cambria" w:hAnsi="Avenir Book"/>
          <w:szCs w:val="24"/>
        </w:rPr>
        <w:t>Similarly</w:t>
      </w:r>
      <w:r w:rsidR="003B3B17" w:rsidRPr="00B06331">
        <w:rPr>
          <w:rFonts w:ascii="Avenir Book" w:eastAsia="Cambria" w:hAnsi="Avenir Book"/>
          <w:szCs w:val="24"/>
        </w:rPr>
        <w:t>, owing to limited voice and influence in policy dialogue, policy instruments that focus specifically on marginalized groups and women often do not have strong support. This includes Financial Inclusion (FI), which promotes access and the use of high-quality financial services, particularly among poor and women. In its 2014 policy brief, the UNDP observed that Women disproportionately face financial access barriers that prevent them from participating in the economy and from improving their lives. Access to credit can open economic opportunities for women, and bank accounts can be a gateway to the use of additional financial services. It is equally true that some social and cultural norms which prevent women from traveling long distances using public transports or interacting with men other than close relatives also pose a significant barrier to women in acquiring vital information regarding financial services that are otherwise available. Lower literacy rates among women further prevent them from processing and comprehending informatio</w:t>
      </w:r>
      <w:r w:rsidR="004F6E30" w:rsidRPr="00B06331">
        <w:rPr>
          <w:rFonts w:ascii="Avenir Book" w:eastAsia="Cambria" w:hAnsi="Avenir Book"/>
          <w:szCs w:val="24"/>
        </w:rPr>
        <w:t xml:space="preserve">n wherever they are accessible. </w:t>
      </w:r>
      <w:r w:rsidR="003B3B17" w:rsidRPr="00B06331">
        <w:rPr>
          <w:rFonts w:ascii="Avenir Book" w:eastAsia="Cambria" w:hAnsi="Avenir Book"/>
          <w:szCs w:val="24"/>
        </w:rPr>
        <w:t xml:space="preserve">Compounding this weakness is the absence incentive systems that reward financial institutions that reach out to the rural poor women and those engage in building entrepreneurship and value addition. </w:t>
      </w:r>
    </w:p>
    <w:p w:rsidR="003B3B17" w:rsidRPr="00B06331" w:rsidRDefault="003B3B17" w:rsidP="003B3B17">
      <w:pPr>
        <w:autoSpaceDE w:val="0"/>
        <w:autoSpaceDN w:val="0"/>
        <w:adjustRightInd w:val="0"/>
        <w:spacing w:after="0"/>
        <w:jc w:val="both"/>
        <w:rPr>
          <w:rFonts w:ascii="Avenir Book" w:eastAsia="Cambria" w:hAnsi="Avenir Book"/>
          <w:szCs w:val="24"/>
        </w:rPr>
      </w:pPr>
    </w:p>
    <w:p w:rsidR="003B3B17" w:rsidRPr="00B06331" w:rsidRDefault="003B3B17" w:rsidP="003B3B17">
      <w:pPr>
        <w:autoSpaceDE w:val="0"/>
        <w:autoSpaceDN w:val="0"/>
        <w:adjustRightInd w:val="0"/>
        <w:spacing w:after="0"/>
        <w:jc w:val="both"/>
        <w:rPr>
          <w:rFonts w:ascii="Avenir Book" w:eastAsia="Cambria" w:hAnsi="Avenir Book"/>
          <w:szCs w:val="24"/>
        </w:rPr>
      </w:pPr>
      <w:r w:rsidRPr="00B06331">
        <w:rPr>
          <w:rFonts w:ascii="Avenir Book" w:eastAsia="Cambria" w:hAnsi="Avenir Book"/>
          <w:szCs w:val="24"/>
        </w:rPr>
        <w:t xml:space="preserve">Another phenomenon that perpetuates gender inequality is unpaid care work. It is estimated that if unpaid care work were assigned a monetary value it would constitute between 10 and 39 per cent of GDP in the world. However, it has been mostly overlooked or taken for granted by policy makers. This has an enormous impact on women’s poverty as in the Gambia, unpaid care work is considered women’s role. The absence of a deliberate policy to free women from this disadvantage is also glaring. Economic history shows that the arrival of the washing machine and electric iron as mass consumer </w:t>
      </w:r>
      <w:r w:rsidRPr="00B06331">
        <w:rPr>
          <w:rFonts w:ascii="Avenir Book" w:eastAsia="Cambria" w:hAnsi="Avenir Book"/>
          <w:szCs w:val="24"/>
        </w:rPr>
        <w:lastRenderedPageBreak/>
        <w:t xml:space="preserve">products in the 1950s contributed to a surge in female workforce participation thereby virtually doubling the workforce in advanced countries, revolutionizing their economies in the process (UNDP 2014). </w:t>
      </w:r>
    </w:p>
    <w:p w:rsidR="003B3B17" w:rsidRPr="00B06331" w:rsidRDefault="003B3B17" w:rsidP="003B3B17">
      <w:pPr>
        <w:autoSpaceDE w:val="0"/>
        <w:autoSpaceDN w:val="0"/>
        <w:adjustRightInd w:val="0"/>
        <w:spacing w:after="0"/>
        <w:jc w:val="both"/>
        <w:rPr>
          <w:rFonts w:ascii="Avenir Book" w:eastAsia="Cambria" w:hAnsi="Avenir Book"/>
          <w:szCs w:val="24"/>
        </w:rPr>
      </w:pPr>
    </w:p>
    <w:p w:rsidR="001C4D71" w:rsidRPr="00B06331" w:rsidRDefault="003B3B17" w:rsidP="004F6E30">
      <w:pPr>
        <w:autoSpaceDE w:val="0"/>
        <w:autoSpaceDN w:val="0"/>
        <w:adjustRightInd w:val="0"/>
        <w:spacing w:after="0"/>
        <w:jc w:val="both"/>
        <w:rPr>
          <w:rFonts w:ascii="Avenir Book" w:eastAsia="Cambria" w:hAnsi="Avenir Book"/>
          <w:szCs w:val="24"/>
        </w:rPr>
      </w:pPr>
      <w:r w:rsidRPr="00B06331">
        <w:rPr>
          <w:rFonts w:ascii="Avenir Book" w:eastAsia="Cambria" w:hAnsi="Avenir Book"/>
          <w:szCs w:val="24"/>
        </w:rPr>
        <w:t>Also contributing to women vulnerability is the absence of social protection especially within the informal sector where women dominate. Therefore, vulnerability to unstable compensation and insufficient access to decent employmen</w:t>
      </w:r>
      <w:bookmarkStart w:id="90" w:name="_Toc488689309"/>
      <w:r w:rsidR="004F6E30" w:rsidRPr="00B06331">
        <w:rPr>
          <w:rFonts w:ascii="Avenir Book" w:eastAsia="Cambria" w:hAnsi="Avenir Book"/>
          <w:szCs w:val="24"/>
        </w:rPr>
        <w:t>t are still gendered phenomena.</w:t>
      </w:r>
    </w:p>
    <w:p w:rsidR="003B3B17" w:rsidRPr="00B06331" w:rsidRDefault="003B3B17" w:rsidP="001C4D71">
      <w:pPr>
        <w:pStyle w:val="Heading2"/>
        <w:rPr>
          <w:rFonts w:asciiTheme="minorHAnsi" w:hAnsiTheme="minorHAnsi" w:cstheme="minorHAnsi"/>
          <w:sz w:val="22"/>
          <w:szCs w:val="22"/>
        </w:rPr>
      </w:pPr>
      <w:bookmarkStart w:id="91" w:name="_Toc492364757"/>
      <w:r w:rsidRPr="00B06331">
        <w:rPr>
          <w:rFonts w:asciiTheme="minorHAnsi" w:hAnsiTheme="minorHAnsi" w:cstheme="minorHAnsi"/>
          <w:sz w:val="22"/>
          <w:szCs w:val="22"/>
        </w:rPr>
        <w:t>4.4 Youth Empowerment and Development</w:t>
      </w:r>
      <w:bookmarkEnd w:id="90"/>
      <w:bookmarkEnd w:id="91"/>
    </w:p>
    <w:p w:rsidR="003B3B17" w:rsidRPr="00B06331" w:rsidRDefault="003B3B17" w:rsidP="003B3B17">
      <w:pPr>
        <w:spacing w:after="0"/>
        <w:jc w:val="both"/>
        <w:rPr>
          <w:rFonts w:ascii="Avenir Book" w:hAnsi="Avenir Book" w:cs="Arial"/>
          <w:lang w:val="en-GB"/>
        </w:rPr>
      </w:pPr>
      <w:r w:rsidRPr="00B06331">
        <w:rPr>
          <w:rFonts w:ascii="Avenir Book" w:hAnsi="Avenir Book" w:cs="Arial"/>
          <w:lang w:val="en-GB"/>
        </w:rPr>
        <w:t xml:space="preserve">A healthy and vibrant youth is an asset to The Gambia due to its current contributions as well as potentials towards national development. To this end, the current youth policy focuses on youth investments for national development; employment creation for out of school youth; and enabling the youth to operate within a wide variety of cultures. </w:t>
      </w:r>
    </w:p>
    <w:p w:rsidR="003B3B17" w:rsidRPr="00B06331" w:rsidRDefault="003B3B17" w:rsidP="003B3B17">
      <w:pPr>
        <w:spacing w:after="0"/>
        <w:jc w:val="both"/>
        <w:rPr>
          <w:rFonts w:ascii="Avenir Book" w:hAnsi="Avenir Book" w:cs="Arial"/>
          <w:lang w:val="en-GB"/>
        </w:rPr>
      </w:pPr>
    </w:p>
    <w:p w:rsidR="003B3B17" w:rsidRPr="00B06331" w:rsidRDefault="003B3B17" w:rsidP="003B3B17">
      <w:pPr>
        <w:jc w:val="both"/>
        <w:rPr>
          <w:rFonts w:ascii="Avenir Book" w:hAnsi="Avenir Book" w:cs="Arial"/>
          <w:lang w:val="en-GB"/>
        </w:rPr>
      </w:pPr>
      <w:r w:rsidRPr="00B06331">
        <w:rPr>
          <w:rFonts w:ascii="Avenir Book" w:hAnsi="Avenir Book" w:cs="Arial"/>
          <w:lang w:val="en-GB"/>
        </w:rPr>
        <w:t>The Gambia has a youthful population with 37.2 per cent between the ages 13 and 30, the official age bracket for youth. Between two censuses—2003 and 2013,</w:t>
      </w:r>
      <w:r w:rsidR="004F6E30" w:rsidRPr="00B06331">
        <w:rPr>
          <w:rFonts w:ascii="Avenir Book" w:hAnsi="Avenir Book" w:cs="Arial"/>
          <w:lang w:val="en-GB"/>
        </w:rPr>
        <w:t xml:space="preserve"> the youth population increased</w:t>
      </w:r>
      <w:r w:rsidRPr="00B06331">
        <w:rPr>
          <w:rFonts w:ascii="Avenir Book" w:hAnsi="Avenir Book" w:cs="Arial"/>
          <w:lang w:val="en-GB"/>
        </w:rPr>
        <w:t xml:space="preserve"> from 489,666 to 690,836, representing an increase of 41.1 per cent or an annual growth rate of 3.4 per cent.</w:t>
      </w:r>
      <w:r w:rsidRPr="00B06331">
        <w:rPr>
          <w:rFonts w:ascii="Avenir Book" w:hAnsi="Avenir Book" w:cs="Arial"/>
          <w:lang w:val="en-GB"/>
        </w:rPr>
        <w:footnoteReference w:id="21"/>
      </w:r>
      <w:r w:rsidRPr="00B06331">
        <w:rPr>
          <w:rFonts w:ascii="Avenir Book" w:hAnsi="Avenir Book" w:cs="Arial"/>
          <w:lang w:val="en-GB"/>
        </w:rPr>
        <w:t xml:space="preserve"> This is slightly higher than the national average annual growth rate of 3.1 per cent, over the same period. More significantly, the 2013 Census results indicated that 42.7% and 64% of the population are below the ages of 15 and 24 years respectively, with young people aged 15-24 years representing 21.4% of the population. This reveals a high dependency factor in the society and has serious implications for development programming including social protection. </w:t>
      </w:r>
    </w:p>
    <w:p w:rsidR="003B3B17" w:rsidRPr="00B06331" w:rsidRDefault="003B3B17" w:rsidP="003B3B17">
      <w:pPr>
        <w:jc w:val="both"/>
        <w:rPr>
          <w:rFonts w:ascii="Avenir Book" w:hAnsi="Avenir Book" w:cs="Arial"/>
          <w:lang w:val="en-GB"/>
        </w:rPr>
      </w:pPr>
      <w:r w:rsidRPr="00B06331">
        <w:rPr>
          <w:rFonts w:ascii="Avenir Book" w:hAnsi="Avenir Book" w:cs="Arial"/>
          <w:lang w:val="en-GB"/>
        </w:rPr>
        <w:t xml:space="preserve">The share of youth unemployment in total unemployment is about 70 per cent while the ratio of youth unemployment to adult unemployment is 2.3. The employment situation for youth in The Gambia is thus gloomy and also contributes to a high dependency in the Gambian society. Furthermore, the young people bear a disproportionate share of unemployment probably due to lack of skills or miss-match between the skills they possess and those demanded in the labour market. </w:t>
      </w:r>
    </w:p>
    <w:p w:rsidR="003B3B17" w:rsidRPr="00B06331" w:rsidRDefault="003B3B17" w:rsidP="003B3B17">
      <w:pPr>
        <w:autoSpaceDE w:val="0"/>
        <w:autoSpaceDN w:val="0"/>
        <w:adjustRightInd w:val="0"/>
        <w:spacing w:after="0"/>
        <w:jc w:val="both"/>
        <w:rPr>
          <w:rFonts w:ascii="Avenir Book" w:hAnsi="Avenir Book" w:cs="Arial"/>
          <w:lang w:val="en-GB"/>
        </w:rPr>
      </w:pPr>
      <w:r w:rsidRPr="00B06331">
        <w:rPr>
          <w:rFonts w:ascii="Avenir Book" w:hAnsi="Avenir Book" w:cs="Arial"/>
          <w:lang w:val="en-GB"/>
        </w:rPr>
        <w:t xml:space="preserve">In general, the young people face substantial barriers in their quest to be productive and empowered citizens of the country. Among the most significant is insufficient access to knowledge, informationand strategic education which makesthem less competitive at national and international levels. Poor and inadequate education continues to limittheir productivity and acquisitionof skills, while insufficient access to knowledge and information (including business development services for the entrepreneurial youth)is hindering their gainful engagement in entrepreneurial ventures. Of particular concern is the distinct need to improveyoung rural women’s access to education, and to incorporate relevant skills into rural education. This will allow the exploitation of economic opportunities inherent in localities. </w:t>
      </w:r>
    </w:p>
    <w:p w:rsidR="003B3B17" w:rsidRPr="00B06331" w:rsidRDefault="003B3B17" w:rsidP="003B3B17">
      <w:pPr>
        <w:autoSpaceDE w:val="0"/>
        <w:autoSpaceDN w:val="0"/>
        <w:adjustRightInd w:val="0"/>
        <w:spacing w:after="0" w:line="240" w:lineRule="auto"/>
        <w:rPr>
          <w:rFonts w:ascii="Avenir Book" w:hAnsi="Avenir Book" w:cs="Arial"/>
          <w:lang w:val="en-GB"/>
        </w:rPr>
      </w:pPr>
    </w:p>
    <w:p w:rsidR="003B3B17" w:rsidRPr="00B06331" w:rsidRDefault="003B3B17" w:rsidP="003B3B17">
      <w:pPr>
        <w:autoSpaceDE w:val="0"/>
        <w:autoSpaceDN w:val="0"/>
        <w:adjustRightInd w:val="0"/>
        <w:spacing w:after="0"/>
        <w:jc w:val="both"/>
        <w:rPr>
          <w:rFonts w:ascii="Avenir Book" w:hAnsi="Avenir Book" w:cs="Arial"/>
          <w:lang w:val="en-GB"/>
        </w:rPr>
      </w:pPr>
      <w:r w:rsidRPr="00B06331">
        <w:rPr>
          <w:rFonts w:ascii="Avenir Book" w:hAnsi="Avenir Book" w:cs="Arial"/>
          <w:lang w:val="en-GB"/>
        </w:rPr>
        <w:lastRenderedPageBreak/>
        <w:t>Inadequate access to financial services is also identified as a principal challenge con</w:t>
      </w:r>
      <w:r w:rsidR="004F6E30" w:rsidRPr="00B06331">
        <w:rPr>
          <w:rFonts w:ascii="Avenir Book" w:hAnsi="Avenir Book" w:cs="Arial"/>
          <w:lang w:val="en-GB"/>
        </w:rPr>
        <w:t>fronting the youth</w:t>
      </w:r>
      <w:r w:rsidRPr="00B06331">
        <w:rPr>
          <w:rFonts w:ascii="Avenir Book" w:hAnsi="Avenir Book" w:cs="Arial"/>
          <w:lang w:val="en-GB"/>
        </w:rPr>
        <w:t xml:space="preserve">.Most financial service providers are reluctant to provide their services – including credit, savingsand insurance – to the youth due to their lack of collateral and financial literacy, among otherreasons. </w:t>
      </w:r>
    </w:p>
    <w:p w:rsidR="003B3B17" w:rsidRPr="00B06331" w:rsidRDefault="003B3B17" w:rsidP="003B3B17">
      <w:pPr>
        <w:autoSpaceDE w:val="0"/>
        <w:autoSpaceDN w:val="0"/>
        <w:adjustRightInd w:val="0"/>
        <w:spacing w:after="0"/>
        <w:jc w:val="both"/>
        <w:rPr>
          <w:rFonts w:ascii="Avenir Book" w:hAnsi="Avenir Book" w:cs="Arial"/>
          <w:lang w:val="en-GB"/>
        </w:rPr>
      </w:pPr>
    </w:p>
    <w:p w:rsidR="003B3B17" w:rsidRPr="00B06331" w:rsidRDefault="003B3B17" w:rsidP="003B3B17">
      <w:pPr>
        <w:jc w:val="both"/>
        <w:rPr>
          <w:rFonts w:ascii="Avenir Book" w:hAnsi="Avenir Book" w:cs="Arial"/>
          <w:lang w:val="en-GB"/>
        </w:rPr>
      </w:pPr>
      <w:r w:rsidRPr="00B06331">
        <w:rPr>
          <w:rFonts w:ascii="Avenir Book" w:hAnsi="Avenir Book" w:cs="Arial"/>
          <w:lang w:val="en-GB"/>
        </w:rPr>
        <w:t>The third barrier to youth development in the Gambia is limited access to land for farming and to other productive assets such as business space and equipment.  Although access to land is fundamental to starting a farm, it can often be difficult for young people to attain. Inheritance laws and customs in The Gambia often make the transfer of land toyoung people particularly women problematic, and so are in need of amendment. Similarly, society generally lacks trust for the youth and often hesitates or refuses to entrust their properties (through lease/ rent/ loan) to them for business activities. Allied to this are the vulnerabilities associated with climate change especially for those that make a living from, agriculture, tourism and health care delivery.</w:t>
      </w:r>
    </w:p>
    <w:p w:rsidR="003B3B17" w:rsidRPr="00B06331" w:rsidRDefault="004F6E30" w:rsidP="003B3B17">
      <w:pPr>
        <w:autoSpaceDE w:val="0"/>
        <w:autoSpaceDN w:val="0"/>
        <w:adjustRightInd w:val="0"/>
        <w:spacing w:after="0"/>
        <w:jc w:val="both"/>
        <w:rPr>
          <w:rFonts w:ascii="Avenir Book" w:hAnsi="Avenir Book" w:cs="Arial"/>
          <w:lang w:val="en-GB"/>
        </w:rPr>
      </w:pPr>
      <w:r w:rsidRPr="00B06331">
        <w:rPr>
          <w:rFonts w:ascii="Avenir Book" w:hAnsi="Avenir Book" w:cs="Arial"/>
          <w:lang w:val="en-GB"/>
        </w:rPr>
        <w:t>Similarly,</w:t>
      </w:r>
      <w:r w:rsidR="003B3B17" w:rsidRPr="00B06331">
        <w:rPr>
          <w:rFonts w:ascii="Avenir Book" w:hAnsi="Avenir Book" w:cs="Arial"/>
          <w:lang w:val="en-GB"/>
        </w:rPr>
        <w:t>young people’s limited access to markets curtails their engagement in viable and sustainable agricultural and other business ventures.Access to markets for youth is becoming even more difficult due to the growing international influenceof</w:t>
      </w:r>
      <w:r w:rsidR="00D13B0F" w:rsidRPr="00B06331">
        <w:rPr>
          <w:rFonts w:ascii="Avenir Book" w:hAnsi="Avenir Book" w:cs="Arial"/>
          <w:lang w:val="en-GB"/>
        </w:rPr>
        <w:t xml:space="preserve"> formal markets</w:t>
      </w:r>
      <w:r w:rsidR="003B3B17" w:rsidRPr="00B06331">
        <w:rPr>
          <w:rFonts w:ascii="Avenir Book" w:hAnsi="Avenir Book" w:cs="Arial"/>
          <w:lang w:val="en-GB"/>
        </w:rPr>
        <w:t xml:space="preserve">and the rigorous standards of their supply chains and other market destinations for which the Gambia has preferential access but is unable to access due to supply side constraints. Young women especially rural women, face additional constraints in accessing markets, due in part to the fact that their freedomof movement is sometimes limited by cultural norms. </w:t>
      </w:r>
    </w:p>
    <w:p w:rsidR="003B3B17" w:rsidRPr="00B06331" w:rsidRDefault="003B3B17" w:rsidP="003B3B17">
      <w:pPr>
        <w:autoSpaceDE w:val="0"/>
        <w:autoSpaceDN w:val="0"/>
        <w:adjustRightInd w:val="0"/>
        <w:spacing w:after="0"/>
        <w:jc w:val="both"/>
        <w:rPr>
          <w:rFonts w:ascii="Avenir Book" w:hAnsi="Avenir Book" w:cs="Arial"/>
          <w:lang w:val="en-GB"/>
        </w:rPr>
      </w:pPr>
    </w:p>
    <w:p w:rsidR="003B3B17" w:rsidRPr="00B06331" w:rsidRDefault="003B3B17" w:rsidP="003B3B17">
      <w:pPr>
        <w:jc w:val="both"/>
        <w:rPr>
          <w:rFonts w:ascii="Avenir Book" w:hAnsi="Avenir Book" w:cs="Arial"/>
          <w:lang w:val="en-GB"/>
        </w:rPr>
      </w:pPr>
      <w:r w:rsidRPr="00B06331">
        <w:rPr>
          <w:rFonts w:ascii="Avenir Book" w:hAnsi="Avenir Book" w:cs="Arial"/>
          <w:lang w:val="en-GB"/>
        </w:rPr>
        <w:t xml:space="preserve">Although significant gains have been registered particularly through the existing national youth council, the youth’s limited involvement in policy dialogue continues to hinder their progress. Too often young people’s voices are not heard during the policy process, and so their complex andmultifaceted needs are not met. Policies often fail to account for the heterogeneity of youth, and so donot provide them with effective support.Associated to this is the incomprehensive and weak policy coherence and coordination around youth issues resulting which often leads to conflicts and overlaps; the uninformed youth mentality and attitude to work, patriotism and national service/duty; as well as limited participation in planning and programming by young youth with disabilities resulting to the neglect of the PWDs. </w:t>
      </w:r>
    </w:p>
    <w:p w:rsidR="003B3B17" w:rsidRPr="00B06331" w:rsidRDefault="003B3B17" w:rsidP="003B3B17">
      <w:pPr>
        <w:jc w:val="both"/>
        <w:rPr>
          <w:rFonts w:ascii="Avenir Book" w:hAnsi="Avenir Book" w:cs="Arial"/>
          <w:lang w:val="en-GB"/>
        </w:rPr>
      </w:pPr>
      <w:r w:rsidRPr="00B06331">
        <w:rPr>
          <w:rFonts w:ascii="Avenir Book" w:hAnsi="Avenir Book" w:cs="Arial"/>
          <w:lang w:val="en-GB"/>
        </w:rPr>
        <w:t xml:space="preserve">Difficulties accessing jobs continues to </w:t>
      </w:r>
      <w:r w:rsidR="00D13B0F" w:rsidRPr="00B06331">
        <w:rPr>
          <w:rFonts w:ascii="Avenir Book" w:hAnsi="Avenir Book" w:cs="Arial"/>
          <w:lang w:val="en-GB"/>
        </w:rPr>
        <w:t>restrict the potential of</w:t>
      </w:r>
      <w:r w:rsidRPr="00B06331">
        <w:rPr>
          <w:rFonts w:ascii="Avenir Book" w:hAnsi="Avenir Book" w:cs="Arial"/>
          <w:lang w:val="en-GB"/>
        </w:rPr>
        <w:t xml:space="preserve"> Gambian youth. While jobs contribute to economic empowerment, many of the youth lack the skills or access to the necessary skills-upgrading opportunities to partake in the labour market. Improving youth’s access to education and training – includingformal and informal on-the-job training – is needed to redress this skills mismatch. The unequal pay for females relative to their male counterparts and considerable barriers to decent work for females also constitutes significant challenges in the Gambia’s youth landscape. </w:t>
      </w:r>
    </w:p>
    <w:p w:rsidR="003B3B17" w:rsidRPr="00B06331" w:rsidRDefault="003B3B17" w:rsidP="003B3B17">
      <w:pPr>
        <w:rPr>
          <w:rFonts w:ascii="Avenir Book" w:hAnsi="Avenir Book" w:cs="Arial"/>
          <w:lang w:val="en-GB"/>
        </w:rPr>
      </w:pPr>
      <w:r w:rsidRPr="00B06331">
        <w:rPr>
          <w:rFonts w:ascii="Avenir Book" w:hAnsi="Avenir Book" w:cs="Arial"/>
          <w:lang w:val="en-GB"/>
        </w:rPr>
        <w:t xml:space="preserve">Combined with increasing fertility and rising population trends, there are worrying signs for The Gambia that the youth bulge is a demographic time-bomb. Among other undesirable consequences, this has resulted in young people seeking alternative means of livelihood including irregular migration, </w:t>
      </w:r>
      <w:r w:rsidRPr="00B06331">
        <w:rPr>
          <w:rFonts w:ascii="Avenir Book" w:hAnsi="Avenir Book" w:cs="Arial"/>
          <w:lang w:val="en-GB"/>
        </w:rPr>
        <w:lastRenderedPageBreak/>
        <w:t>and indecent jobs. Presently, the country’s migration rates present one of the biggest threats for the development of the country as The Gambia has one of the highest net migration rates on the African continent and the entire World.Neighbourhoods and villages are constantly diminishing and a recent survey of 16 to 30-year-olds found that 65 out of 100 respondents claimed to know at least two friends or relatives who had travelled the ‘back way’ (Hunt. L (09/11/2015).  The mass migration of youth also poses the threat for potential radicalization of the youth which would in turn have negative implications on national security.</w:t>
      </w:r>
    </w:p>
    <w:p w:rsidR="00472F60" w:rsidRPr="00B06331" w:rsidRDefault="00472F60" w:rsidP="00472F60">
      <w:pPr>
        <w:autoSpaceDE w:val="0"/>
        <w:autoSpaceDN w:val="0"/>
        <w:adjustRightInd w:val="0"/>
        <w:spacing w:after="0"/>
        <w:jc w:val="both"/>
        <w:rPr>
          <w:rFonts w:ascii="Avenir Book" w:hAnsi="Avenir Book" w:cs="Arial"/>
          <w:lang w:val="en-GB"/>
        </w:rPr>
      </w:pPr>
      <w:r w:rsidRPr="00B06331">
        <w:rPr>
          <w:rFonts w:ascii="Avenir Book" w:hAnsi="Avenir Book" w:cs="Arial"/>
          <w:lang w:val="en-GB"/>
        </w:rPr>
        <w:t>For young people to drive the development of the country it is essential to invest in programs and policies that promotes their sexual and reproductive rights. Most often, cultural norms bar the youth from accessing SRH information and services. In addition, high adolescent fertility rates and unmet need for family planning, despite the high demand, is one of the impediments that could delay or jeopardize the harnessing of the demographic dividend. Therefore, investments that target the social and economic challenges they face, but which equally emphasizes good health are critical to ensure young people are healthy, educated and gainfully employed. This is the only pathway to harnessing the demographic dividend.</w:t>
      </w:r>
    </w:p>
    <w:p w:rsidR="00472F60" w:rsidRPr="00B06331" w:rsidRDefault="00472F60" w:rsidP="00472F60">
      <w:pPr>
        <w:autoSpaceDE w:val="0"/>
        <w:autoSpaceDN w:val="0"/>
        <w:adjustRightInd w:val="0"/>
        <w:spacing w:after="0" w:line="240" w:lineRule="auto"/>
        <w:jc w:val="both"/>
        <w:rPr>
          <w:rFonts w:ascii="Avenir Book" w:hAnsi="Avenir Book" w:cs="Arial"/>
          <w:lang w:val="en-GB"/>
        </w:rPr>
      </w:pPr>
    </w:p>
    <w:p w:rsidR="00472F60" w:rsidRPr="00B06331" w:rsidRDefault="00472F60" w:rsidP="00472F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venir Book" w:hAnsi="Avenir Book" w:cs="Arial"/>
          <w:lang w:val="en-GB"/>
        </w:rPr>
      </w:pPr>
      <w:r w:rsidRPr="00B06331">
        <w:rPr>
          <w:rFonts w:ascii="Avenir Book" w:hAnsi="Avenir Book" w:cs="Arial"/>
          <w:lang w:val="en-GB"/>
        </w:rPr>
        <w:t>It is encouraging to note that over the last two years, Africa has decided to take the demographic dividend framework as its pathway towards the "Africa we want in 2063" and, moreover, to the achievement of the Sustainable Development Goals. A framework which has reproductive health interventions and most specifically family planning interventions as   its most essential element, is fundamentalto realizing a successful demographic transition.</w:t>
      </w:r>
    </w:p>
    <w:p w:rsidR="003B3B17" w:rsidRPr="00B06331" w:rsidRDefault="003B3B17" w:rsidP="003B3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venir Book" w:hAnsi="Avenir Book" w:cs="Arial"/>
          <w:lang w:val="en-GB"/>
        </w:rPr>
      </w:pPr>
    </w:p>
    <w:p w:rsidR="003B3B17" w:rsidRPr="00B06331" w:rsidRDefault="00D13B0F" w:rsidP="003B3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venir Book" w:hAnsi="Avenir Book" w:cs="Arial"/>
          <w:lang w:val="en-GB"/>
        </w:rPr>
      </w:pPr>
      <w:r w:rsidRPr="00B06331">
        <w:rPr>
          <w:rFonts w:ascii="Avenir Book" w:hAnsi="Avenir Book" w:cs="Arial"/>
          <w:lang w:val="en-GB"/>
        </w:rPr>
        <w:t>T</w:t>
      </w:r>
      <w:r w:rsidR="003B3B17" w:rsidRPr="00B06331">
        <w:rPr>
          <w:rFonts w:ascii="Avenir Book" w:hAnsi="Avenir Book" w:cs="Arial"/>
          <w:lang w:val="en-GB"/>
        </w:rPr>
        <w:t xml:space="preserve">he demographic transition, the point at which fertility and mortality rates rise from a high to a low level, is a critical moment in the development of opportunities for families and countries. If The Gambia succeeds in planning and making the necessary investments in young people during the demographic transition, it will create a virtuous circle of improving education, human capital and economic productivity. </w:t>
      </w:r>
    </w:p>
    <w:p w:rsidR="003B3B17" w:rsidRPr="00B06331" w:rsidRDefault="003B3B17" w:rsidP="003B3B17">
      <w:pPr>
        <w:autoSpaceDE w:val="0"/>
        <w:autoSpaceDN w:val="0"/>
        <w:adjustRightInd w:val="0"/>
        <w:spacing w:after="0"/>
        <w:jc w:val="both"/>
        <w:rPr>
          <w:rFonts w:ascii="Avenir Book" w:hAnsi="Avenir Book" w:cs="Arial"/>
          <w:lang w:val="en-GB"/>
        </w:rPr>
      </w:pPr>
    </w:p>
    <w:p w:rsidR="003B3B17" w:rsidRPr="00B06331" w:rsidRDefault="003B3B17" w:rsidP="003B3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venir Book" w:hAnsi="Avenir Book" w:cs="Arial"/>
          <w:lang w:val="en-GB"/>
        </w:rPr>
      </w:pPr>
      <w:r w:rsidRPr="00B06331">
        <w:rPr>
          <w:rFonts w:ascii="Avenir Book" w:hAnsi="Avenir Book" w:cs="Arial"/>
          <w:lang w:val="en-GB"/>
        </w:rPr>
        <w:t xml:space="preserve">However, it is important to emphasize that the provision of family planning services will not be sufficient to promote the expected positive transformation in the lives of individuals. In order to consolidate the results obtained and strengthen the demand for services, it is necessary to neutralize the social, economic and cultural barriers that influence it. The education of girls, the fight against child marriages and early pregnancies, the stigmatization of contraceptives, the disempowerment of women on sexual and reproductive health issues are fundamental elements on which the Gambia must also act. </w:t>
      </w:r>
    </w:p>
    <w:p w:rsidR="003B3B17" w:rsidRPr="00B06331" w:rsidRDefault="003B3B17" w:rsidP="003B3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venir Book" w:hAnsi="Avenir Book" w:cs="Arial"/>
          <w:lang w:val="en-GB"/>
        </w:rPr>
      </w:pPr>
    </w:p>
    <w:p w:rsidR="003B3B17" w:rsidRPr="00B06331" w:rsidRDefault="00D13B0F" w:rsidP="003B3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venir Book" w:hAnsi="Avenir Book" w:cs="Arial"/>
          <w:lang w:val="en-GB"/>
        </w:rPr>
      </w:pPr>
      <w:r w:rsidRPr="00B06331">
        <w:rPr>
          <w:rFonts w:ascii="Avenir Book" w:hAnsi="Avenir Book" w:cs="Arial"/>
          <w:lang w:val="en-GB"/>
        </w:rPr>
        <w:t>Notwithstanding,</w:t>
      </w:r>
      <w:r w:rsidR="003B3B17" w:rsidRPr="00B06331">
        <w:rPr>
          <w:rFonts w:ascii="Avenir Book" w:hAnsi="Avenir Book" w:cs="Arial"/>
          <w:lang w:val="en-GB"/>
        </w:rPr>
        <w:t xml:space="preserve"> it is important to point out that the Gambia is poised to turn its youthful “bulge” into an opportunity for harnessing its demographic dividend. Thinking transversely, an integrated multi-sectoral approach will be essential to accelerate progress. In summary, achieving the lofty goals of youth empowerment would require a framework that recognizes the potentials of the youth and which focuses on employment and entrepreneurship, education and skills development, health and well-being including reproductive health interventions and most specifically family planning interventions as </w:t>
      </w:r>
      <w:r w:rsidR="003B3B17" w:rsidRPr="00B06331">
        <w:rPr>
          <w:rFonts w:ascii="Avenir Book" w:hAnsi="Avenir Book" w:cs="Arial"/>
          <w:lang w:val="en-GB"/>
        </w:rPr>
        <w:lastRenderedPageBreak/>
        <w:t xml:space="preserve">well as rights and governance. It will simultaneously also recognize the additional space needed for resource mobilization engendered by partnerships. Investments in these areas will lead to harnessing of the demographic dividend in The Gambia. </w:t>
      </w:r>
    </w:p>
    <w:p w:rsidR="003B3B17" w:rsidRPr="00B06331" w:rsidRDefault="003B3B17" w:rsidP="003B3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venir Book" w:hAnsi="Avenir Book" w:cs="Arial"/>
          <w:lang w:val="en-GB"/>
        </w:rPr>
      </w:pPr>
    </w:p>
    <w:p w:rsidR="003B3B17" w:rsidRPr="00B06331" w:rsidRDefault="003B3B17" w:rsidP="003B3B17">
      <w:pPr>
        <w:spacing w:after="0" w:line="240" w:lineRule="auto"/>
        <w:jc w:val="both"/>
        <w:rPr>
          <w:rFonts w:ascii="Avenir Book" w:hAnsi="Avenir Book" w:cs="Arial"/>
          <w:lang w:val="en-GB"/>
        </w:rPr>
      </w:pPr>
      <w:r w:rsidRPr="00B06331">
        <w:rPr>
          <w:rFonts w:ascii="Avenir Book" w:hAnsi="Avenir Book" w:cs="Arial"/>
          <w:lang w:val="en-GB"/>
        </w:rPr>
        <w:t xml:space="preserve">Furthermore, the youth development framework must be premised on the achievement of the following two key pre-conditions:  </w:t>
      </w:r>
    </w:p>
    <w:p w:rsidR="003B3B17" w:rsidRPr="00B06331" w:rsidRDefault="003B3B17" w:rsidP="004143E3">
      <w:pPr>
        <w:widowControl w:val="0"/>
        <w:numPr>
          <w:ilvl w:val="0"/>
          <w:numId w:val="85"/>
        </w:numPr>
        <w:spacing w:after="0"/>
        <w:ind w:left="630" w:hanging="360"/>
        <w:contextualSpacing/>
        <w:jc w:val="both"/>
        <w:rPr>
          <w:rFonts w:ascii="Avenir Book" w:hAnsi="Avenir Book" w:cs="Arial"/>
          <w:lang w:val="en-GB"/>
        </w:rPr>
      </w:pPr>
      <w:r w:rsidRPr="00B06331">
        <w:rPr>
          <w:rFonts w:ascii="Avenir Book" w:hAnsi="Avenir Book" w:cs="Arial"/>
          <w:lang w:val="en-GB"/>
        </w:rPr>
        <w:t>The first is to create a dynamic economy that will serve as an engine of job creation and provide productive employment for large cohorts of youth; and</w:t>
      </w:r>
    </w:p>
    <w:p w:rsidR="003B3B17" w:rsidRPr="00B06331" w:rsidRDefault="003B3B17" w:rsidP="004143E3">
      <w:pPr>
        <w:widowControl w:val="0"/>
        <w:numPr>
          <w:ilvl w:val="0"/>
          <w:numId w:val="85"/>
        </w:numPr>
        <w:spacing w:after="120"/>
        <w:ind w:left="630" w:hanging="360"/>
        <w:contextualSpacing/>
        <w:jc w:val="both"/>
        <w:rPr>
          <w:rFonts w:ascii="Avenir Book" w:hAnsi="Avenir Book" w:cs="Arial"/>
          <w:lang w:val="en-GB"/>
        </w:rPr>
      </w:pPr>
      <w:r w:rsidRPr="00B06331">
        <w:rPr>
          <w:rFonts w:ascii="Avenir Book" w:hAnsi="Avenir Book" w:cs="Arial"/>
          <w:lang w:val="en-GB"/>
        </w:rPr>
        <w:t>The second precondition is a strong commitment of resources to the health and education of youth so that they are prepared to compete in a global economy.</w:t>
      </w:r>
    </w:p>
    <w:p w:rsidR="003B3B17" w:rsidRPr="00B06331" w:rsidRDefault="003B3B17" w:rsidP="003B3B17">
      <w:pPr>
        <w:widowControl w:val="0"/>
        <w:spacing w:after="120"/>
        <w:contextualSpacing/>
        <w:jc w:val="both"/>
        <w:rPr>
          <w:rFonts w:ascii="Avenir Book" w:hAnsi="Avenir Book" w:cs="Arial"/>
          <w:lang w:val="en-GB"/>
        </w:rPr>
      </w:pPr>
    </w:p>
    <w:p w:rsidR="003B3B17" w:rsidRPr="00B06331" w:rsidRDefault="003B3B17" w:rsidP="003B3B17">
      <w:pPr>
        <w:widowControl w:val="0"/>
        <w:spacing w:after="120"/>
        <w:contextualSpacing/>
        <w:jc w:val="both"/>
        <w:rPr>
          <w:rFonts w:ascii="Avenir Book" w:hAnsi="Avenir Book" w:cs="Arial"/>
          <w:lang w:val="en-GB"/>
        </w:rPr>
      </w:pPr>
      <w:r w:rsidRPr="00B06331">
        <w:rPr>
          <w:rFonts w:ascii="Avenir Book" w:hAnsi="Avenir Book" w:cs="Arial"/>
          <w:lang w:val="en-GB"/>
        </w:rPr>
        <w:t xml:space="preserve">Indeed, The Gambia recognizes that </w:t>
      </w:r>
    </w:p>
    <w:p w:rsidR="003B3B17" w:rsidRPr="00B06331" w:rsidRDefault="003B3B17" w:rsidP="004143E3">
      <w:pPr>
        <w:widowControl w:val="0"/>
        <w:numPr>
          <w:ilvl w:val="0"/>
          <w:numId w:val="86"/>
        </w:numPr>
        <w:spacing w:after="0"/>
        <w:ind w:left="630" w:hanging="360"/>
        <w:contextualSpacing/>
        <w:jc w:val="both"/>
        <w:rPr>
          <w:rFonts w:ascii="Avenir Book" w:hAnsi="Avenir Book" w:cs="Arial"/>
          <w:lang w:val="en-GB"/>
        </w:rPr>
      </w:pPr>
      <w:r w:rsidRPr="00B06331">
        <w:rPr>
          <w:rFonts w:ascii="Avenir Book" w:hAnsi="Avenir Book" w:cs="Arial"/>
          <w:lang w:val="en-GB"/>
        </w:rPr>
        <w:t>Demographic dividend is not automatically granted</w:t>
      </w:r>
    </w:p>
    <w:p w:rsidR="003B3B17" w:rsidRPr="00B06331" w:rsidRDefault="003B3B17" w:rsidP="004143E3">
      <w:pPr>
        <w:widowControl w:val="0"/>
        <w:numPr>
          <w:ilvl w:val="0"/>
          <w:numId w:val="86"/>
        </w:numPr>
        <w:spacing w:after="0"/>
        <w:ind w:left="630" w:hanging="360"/>
        <w:contextualSpacing/>
        <w:jc w:val="both"/>
        <w:rPr>
          <w:rFonts w:ascii="Avenir Book" w:hAnsi="Avenir Book" w:cs="Arial"/>
          <w:lang w:val="en-GB"/>
        </w:rPr>
      </w:pPr>
      <w:r w:rsidRPr="00B06331">
        <w:rPr>
          <w:rFonts w:ascii="Avenir Book" w:hAnsi="Avenir Book" w:cs="Arial"/>
          <w:lang w:val="en-GB"/>
        </w:rPr>
        <w:t>It is about human capital development</w:t>
      </w:r>
    </w:p>
    <w:p w:rsidR="003B3B17" w:rsidRPr="00B06331" w:rsidRDefault="003B3B17" w:rsidP="004143E3">
      <w:pPr>
        <w:widowControl w:val="0"/>
        <w:numPr>
          <w:ilvl w:val="0"/>
          <w:numId w:val="86"/>
        </w:numPr>
        <w:spacing w:after="120"/>
        <w:ind w:left="630" w:hanging="360"/>
        <w:contextualSpacing/>
        <w:jc w:val="both"/>
        <w:rPr>
          <w:rFonts w:ascii="Avenir Book" w:hAnsi="Avenir Book" w:cs="Arial"/>
          <w:lang w:val="en-GB"/>
        </w:rPr>
      </w:pPr>
      <w:r w:rsidRPr="00B06331">
        <w:rPr>
          <w:rFonts w:ascii="Avenir Book" w:hAnsi="Avenir Book" w:cs="Arial"/>
          <w:lang w:val="en-GB"/>
        </w:rPr>
        <w:t xml:space="preserve">It is about transforming the youth momentum into asset and not liability. </w:t>
      </w:r>
    </w:p>
    <w:p w:rsidR="003B3B17" w:rsidRPr="00B06331" w:rsidRDefault="003B3B17" w:rsidP="003B3B17">
      <w:pPr>
        <w:spacing w:after="0" w:line="240" w:lineRule="auto"/>
        <w:jc w:val="both"/>
        <w:rPr>
          <w:rFonts w:ascii="Avenir Book" w:hAnsi="Avenir Book" w:cs="Arial"/>
          <w:lang w:val="en-GB"/>
        </w:rPr>
      </w:pPr>
    </w:p>
    <w:p w:rsidR="00472F60" w:rsidRPr="00B06331" w:rsidRDefault="00472F60" w:rsidP="00472F60">
      <w:pPr>
        <w:spacing w:after="0"/>
        <w:jc w:val="both"/>
        <w:rPr>
          <w:rFonts w:ascii="Avenir Book" w:hAnsi="Avenir Book" w:cs="Arial"/>
          <w:lang w:val="en-GB"/>
        </w:rPr>
      </w:pPr>
      <w:r w:rsidRPr="00B06331">
        <w:rPr>
          <w:rFonts w:ascii="Avenir Book" w:hAnsi="Avenir Book" w:cs="Arial"/>
          <w:lang w:val="en-GB"/>
        </w:rPr>
        <w:t>To this end, Government will adopt the Theory of Change for Youth empowerment and harnessing of the Demographic Dividend which postulates that “the achievement of national development, effective humanitarian action, peace, and security demands the prioritization and participation of young people. This has to happen in many spheres of influence including democratic movements, digital and social media, environmental campaigns, peer education, community development initiatives and creative arts and cultural movements and peace, security and environmental protection initiatives so that youth needs are met and their rights respected.They will then have the space to lead and take advantage of the new and emerging opportunities for the societies of tomorrow”.</w:t>
      </w:r>
    </w:p>
    <w:p w:rsidR="003B3B17" w:rsidRPr="00B06331" w:rsidRDefault="003B3B17" w:rsidP="003B3B17">
      <w:pPr>
        <w:pStyle w:val="Heading3"/>
        <w:rPr>
          <w:rFonts w:ascii="Avenir Book" w:eastAsia="Cambria" w:hAnsi="Avenir Book"/>
        </w:rPr>
      </w:pPr>
    </w:p>
    <w:p w:rsidR="003B3B17" w:rsidRPr="00B06331" w:rsidRDefault="003B3B17" w:rsidP="003B3B17">
      <w:pPr>
        <w:sectPr w:rsidR="003B3B17" w:rsidRPr="00B06331" w:rsidSect="003B3B17">
          <w:pgSz w:w="12240" w:h="15840"/>
          <w:pgMar w:top="1440" w:right="1440" w:bottom="1440" w:left="1440" w:header="720" w:footer="720" w:gutter="0"/>
          <w:cols w:space="720"/>
          <w:docGrid w:linePitch="360"/>
        </w:sectPr>
      </w:pPr>
    </w:p>
    <w:p w:rsidR="003B3B17" w:rsidRPr="00B06331" w:rsidRDefault="001C4D71" w:rsidP="003B3B17">
      <w:pPr>
        <w:rPr>
          <w:rFonts w:ascii="Avenir Book" w:hAnsi="Avenir Book"/>
          <w:b/>
          <w:sz w:val="20"/>
          <w:szCs w:val="24"/>
        </w:rPr>
      </w:pPr>
      <w:r w:rsidRPr="00B06331">
        <w:rPr>
          <w:rFonts w:ascii="Avenir Book" w:hAnsi="Avenir Book"/>
          <w:b/>
          <w:sz w:val="20"/>
          <w:szCs w:val="24"/>
        </w:rPr>
        <w:lastRenderedPageBreak/>
        <w:t>Table 4. 3</w:t>
      </w:r>
      <w:r w:rsidR="003B3B17" w:rsidRPr="00B06331">
        <w:rPr>
          <w:rFonts w:ascii="Avenir Book" w:hAnsi="Avenir Book"/>
          <w:b/>
          <w:sz w:val="20"/>
          <w:szCs w:val="24"/>
        </w:rPr>
        <w:t xml:space="preserve">: Key Issues to address Education, Health, Nutrition, WASH, Social Protection, Women Empowerment, and Youth Empowerment. </w:t>
      </w:r>
    </w:p>
    <w:tbl>
      <w:tblPr>
        <w:tblStyle w:val="GridTable4-Accent12"/>
        <w:tblW w:w="0" w:type="auto"/>
        <w:tblLook w:val="04A0"/>
      </w:tblPr>
      <w:tblGrid>
        <w:gridCol w:w="1918"/>
        <w:gridCol w:w="10610"/>
      </w:tblGrid>
      <w:tr w:rsidR="003B3B17" w:rsidRPr="00B06331" w:rsidTr="003B3B17">
        <w:trPr>
          <w:cnfStyle w:val="100000000000"/>
        </w:trPr>
        <w:tc>
          <w:tcPr>
            <w:cnfStyle w:val="001000000000"/>
            <w:tcW w:w="1918" w:type="dxa"/>
          </w:tcPr>
          <w:p w:rsidR="003B3B17" w:rsidRPr="00B06331" w:rsidRDefault="003B3B17" w:rsidP="003B3B17">
            <w:pPr>
              <w:spacing w:after="0" w:line="240" w:lineRule="auto"/>
              <w:rPr>
                <w:rFonts w:ascii="Avenir Book" w:hAnsi="Avenir Book"/>
                <w:bCs w:val="0"/>
                <w:color w:val="FFFFFF"/>
                <w:sz w:val="22"/>
                <w:szCs w:val="24"/>
              </w:rPr>
            </w:pPr>
            <w:r w:rsidRPr="00B06331">
              <w:rPr>
                <w:rFonts w:ascii="Avenir Book" w:hAnsi="Avenir Book"/>
                <w:bCs w:val="0"/>
                <w:color w:val="FFFFFF"/>
                <w:sz w:val="22"/>
                <w:szCs w:val="24"/>
              </w:rPr>
              <w:t>Thematic Area</w:t>
            </w:r>
          </w:p>
        </w:tc>
        <w:tc>
          <w:tcPr>
            <w:tcW w:w="10610" w:type="dxa"/>
          </w:tcPr>
          <w:p w:rsidR="003B3B17" w:rsidRPr="00B06331" w:rsidRDefault="003B3B17" w:rsidP="003B3B17">
            <w:pPr>
              <w:spacing w:after="0" w:line="240" w:lineRule="auto"/>
              <w:cnfStyle w:val="100000000000"/>
              <w:rPr>
                <w:rFonts w:ascii="Avenir Book" w:hAnsi="Avenir Book"/>
                <w:bCs w:val="0"/>
                <w:color w:val="FFFFFF"/>
                <w:sz w:val="22"/>
                <w:szCs w:val="24"/>
              </w:rPr>
            </w:pPr>
            <w:r w:rsidRPr="00B06331">
              <w:rPr>
                <w:rFonts w:ascii="Avenir Book" w:hAnsi="Avenir Book"/>
                <w:bCs w:val="0"/>
                <w:color w:val="FFFFFF"/>
                <w:sz w:val="22"/>
                <w:szCs w:val="24"/>
              </w:rPr>
              <w:t xml:space="preserve">Key Issues to Address </w:t>
            </w:r>
          </w:p>
          <w:p w:rsidR="003B3B17" w:rsidRPr="00B06331" w:rsidRDefault="003B3B17" w:rsidP="003B3B17">
            <w:pPr>
              <w:spacing w:after="0" w:line="240" w:lineRule="auto"/>
              <w:cnfStyle w:val="100000000000"/>
              <w:rPr>
                <w:rFonts w:ascii="Avenir Book" w:hAnsi="Avenir Book"/>
                <w:bCs w:val="0"/>
                <w:color w:val="FFFFFF"/>
                <w:sz w:val="22"/>
                <w:szCs w:val="24"/>
              </w:rPr>
            </w:pPr>
          </w:p>
        </w:tc>
      </w:tr>
      <w:tr w:rsidR="003B3B17" w:rsidRPr="00B06331" w:rsidTr="003B3B17">
        <w:trPr>
          <w:cnfStyle w:val="000000100000"/>
        </w:trPr>
        <w:tc>
          <w:tcPr>
            <w:cnfStyle w:val="001000000000"/>
            <w:tcW w:w="1918" w:type="dxa"/>
          </w:tcPr>
          <w:p w:rsidR="003B3B17" w:rsidRPr="00B06331" w:rsidRDefault="003B3B17" w:rsidP="003B3B17">
            <w:pPr>
              <w:spacing w:after="0" w:line="240" w:lineRule="auto"/>
              <w:rPr>
                <w:bCs w:val="0"/>
                <w:i/>
              </w:rPr>
            </w:pPr>
            <w:r w:rsidRPr="00B06331">
              <w:rPr>
                <w:bCs w:val="0"/>
                <w:i/>
              </w:rPr>
              <w:t xml:space="preserve">Education </w:t>
            </w:r>
          </w:p>
        </w:tc>
        <w:tc>
          <w:tcPr>
            <w:tcW w:w="10610" w:type="dxa"/>
          </w:tcPr>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Government increasing expenditure is skewed towards salaries and has resulted to inadequate facilities and high household contributions especially on TVET and ECD.</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Due to this interaction of costs and gendered roles, girls are often withdrawn from school at the very time that education can provide them with the much-needed skills and assets to empower them during the vulnerable period of adolescence.</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When a school does not offer all grades/subjects, the supply side constraint relating to distance to school becomes an important factor which when combined with demand side constraints (religious, financial, and age) negatively affect access to education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Sending a child to school remains a significant financial investment (due to hidden costs) for families especially for those in poor rural communities</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Due to retention problems and low performance in mathematics and science subjects, students especially girls have a lower chance of transitioning to tertiary institutions since not meeting the minimum entry requirements may hinder access</w:t>
            </w:r>
            <w:r w:rsidRPr="00B06331">
              <w:rPr>
                <w:rFonts w:ascii="Avenir Book" w:hAnsi="Avenir Book"/>
                <w:szCs w:val="24"/>
              </w:rPr>
              <w:footnoteReference w:id="22"/>
            </w:r>
            <w:r w:rsidRPr="00B06331">
              <w:rPr>
                <w:rFonts w:ascii="Avenir Book" w:hAnsi="Avenir Book"/>
                <w:szCs w:val="24"/>
              </w:rPr>
              <w:t>.</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The issue of quality and relevance of the curriculum and learning materials continues to be a concern for teachers and parents alike</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The proportion of out-of-school children is high at 31.6% (aged 7-15 years) with parents citing religious (48% of cases), the cost (26%), and being too young (13%) as reasons for keeping children from school</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Disability is a hindrance to enrolment and the retention of both girls and boys in schools who still face socio-cultural and physical barriers </w:t>
            </w:r>
          </w:p>
          <w:p w:rsidR="003B3B17" w:rsidRPr="00B06331" w:rsidRDefault="003B3B17" w:rsidP="004143E3">
            <w:pPr>
              <w:numPr>
                <w:ilvl w:val="0"/>
                <w:numId w:val="102"/>
              </w:numPr>
              <w:spacing w:after="0" w:line="240" w:lineRule="auto"/>
              <w:cnfStyle w:val="000000100000"/>
              <w:rPr>
                <w:rFonts w:ascii="Avenir Book" w:hAnsi="Avenir Book"/>
                <w:szCs w:val="24"/>
              </w:rPr>
            </w:pPr>
            <w:r w:rsidRPr="00B06331">
              <w:rPr>
                <w:rFonts w:ascii="Avenir Book" w:hAnsi="Avenir Book"/>
                <w:szCs w:val="24"/>
              </w:rPr>
              <w:t>There is great inequity in access and learning between regions, districts, and income levels.</w:t>
            </w:r>
          </w:p>
          <w:p w:rsidR="003B3B17" w:rsidRPr="00B06331" w:rsidRDefault="003B3B17" w:rsidP="004143E3">
            <w:pPr>
              <w:numPr>
                <w:ilvl w:val="0"/>
                <w:numId w:val="102"/>
              </w:numPr>
              <w:spacing w:after="0" w:line="240" w:lineRule="auto"/>
              <w:cnfStyle w:val="000000100000"/>
              <w:rPr>
                <w:rFonts w:ascii="Avenir Book" w:hAnsi="Avenir Book"/>
                <w:szCs w:val="24"/>
              </w:rPr>
            </w:pPr>
            <w:r w:rsidRPr="00B06331">
              <w:rPr>
                <w:rFonts w:ascii="Avenir Book" w:hAnsi="Avenir Book"/>
                <w:szCs w:val="24"/>
              </w:rPr>
              <w:t>Low learning outcomes are a major challenge to education with school completion rates generally low.</w:t>
            </w:r>
          </w:p>
          <w:p w:rsidR="003B3B17" w:rsidRPr="00B06331" w:rsidRDefault="003B3B17" w:rsidP="004143E3">
            <w:pPr>
              <w:numPr>
                <w:ilvl w:val="0"/>
                <w:numId w:val="102"/>
              </w:numPr>
              <w:spacing w:after="0" w:line="240" w:lineRule="auto"/>
              <w:cnfStyle w:val="000000100000"/>
            </w:pPr>
            <w:r w:rsidRPr="00B06331">
              <w:rPr>
                <w:rFonts w:ascii="Avenir Book" w:hAnsi="Avenir Book"/>
                <w:szCs w:val="24"/>
              </w:rPr>
              <w:t>• Weak teaching skills and inadequate teaching and learning materials contribute to poor quality of education</w:t>
            </w:r>
          </w:p>
        </w:tc>
      </w:tr>
      <w:tr w:rsidR="003B3B17" w:rsidRPr="00B06331" w:rsidTr="003B3B17">
        <w:tc>
          <w:tcPr>
            <w:cnfStyle w:val="001000000000"/>
            <w:tcW w:w="1918" w:type="dxa"/>
          </w:tcPr>
          <w:p w:rsidR="003B3B17" w:rsidRPr="00B06331" w:rsidRDefault="003B3B17" w:rsidP="003B3B17">
            <w:pPr>
              <w:spacing w:after="0" w:line="240" w:lineRule="auto"/>
              <w:rPr>
                <w:bCs w:val="0"/>
                <w:i/>
              </w:rPr>
            </w:pPr>
            <w:r w:rsidRPr="00B06331">
              <w:rPr>
                <w:bCs w:val="0"/>
                <w:i/>
              </w:rPr>
              <w:t xml:space="preserve">Health, Nutrition and WASH   </w:t>
            </w:r>
          </w:p>
        </w:tc>
        <w:tc>
          <w:tcPr>
            <w:tcW w:w="10610" w:type="dxa"/>
          </w:tcPr>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The Gambia’ strong primary healthcare (PHC) which was a model for other countries has deteriorated over the past years and is no longer able to serve the population adequately</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Government budgetary allocations to the health sector currently stands at 10.5%, but is still below the 15 % Abuja declaration</w:t>
            </w:r>
          </w:p>
          <w:p w:rsidR="00667CEB" w:rsidRPr="00B06331" w:rsidRDefault="00667CEB"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The absence of robust heath governance framework is a major bottleneck in improving the health system of the country</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Out-of-Pocket expenditure” constitutes 21.2% of the total health expenditure (NHA, 2013) and continues to be a huge burden on households, impacting negatively on the livelihood of the ordinary Gambians</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The sector continues to face serious challenges relating to maternal and women’s health. The percentage of women who had skilled attendance at delivery (57 percent) has remained stagnant since 2000 while experiencing a drop to 86 percent </w:t>
            </w:r>
            <w:r w:rsidRPr="00B06331">
              <w:rPr>
                <w:rFonts w:ascii="Avenir Book" w:hAnsi="Avenir Book"/>
                <w:szCs w:val="24"/>
              </w:rPr>
              <w:lastRenderedPageBreak/>
              <w:t>of ensuring at least one antenatal care visit by a skilled provider which was nearly universal in 2005/06</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Delayed access to referral services for pregnant women is a major contributory factor to high maternal mortality The proportion of various health care professionals per 10,000 population remains critically low</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Shortage of skilled health personnel and high attrition rates </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Considerable growth in non-communicable diseases such as diabetes, hypertension, coronary heart disease, obesity, cancer, </w:t>
            </w:r>
            <w:r w:rsidR="00FB254A" w:rsidRPr="00B06331">
              <w:rPr>
                <w:rFonts w:ascii="Avenir Book" w:hAnsi="Avenir Book"/>
                <w:szCs w:val="24"/>
              </w:rPr>
              <w:t>etc.</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A double burden of malnutrition – overweight and obesity coexisting with under-nutrition and micro nutrient deficiencies  </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Only 8% of children aged 6-23 months are fed in accordance with all infant and young child feeding practices</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22% of children are chronically malnourished or stunted with 6.2% severe risk stunted  </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73% of Gambian suffer from some level of anemia</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Obesity and overweight affects 25% and 17% of women living in urban areas of Banjul and Kanifing </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Diet-related NCDs account for17% of total deaths</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Due to high rate of population growth and urbanization, water and sanitation services are unable to keep pace with the demand because of poor maintenance culture, inadequate investment and funding, and weak institutional capacities and poor coordination</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Rural populace is disadvantaged as the proportion of the population with access to pipe borne drinking water increased in urban areas and decreased in rural area</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National coverage for improved sanitation has dropped from 42.1% in 2013 to 40.3% in 2015</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The per capita waste generation is above the capacity of the municipal councils resulting in severe challenges in waste management  </w:t>
            </w:r>
          </w:p>
        </w:tc>
      </w:tr>
      <w:tr w:rsidR="003B3B17" w:rsidRPr="00B06331" w:rsidTr="003B3B17">
        <w:trPr>
          <w:cnfStyle w:val="000000100000"/>
        </w:trPr>
        <w:tc>
          <w:tcPr>
            <w:cnfStyle w:val="001000000000"/>
            <w:tcW w:w="1918" w:type="dxa"/>
          </w:tcPr>
          <w:p w:rsidR="003B3B17" w:rsidRPr="00B06331" w:rsidRDefault="003B3B17" w:rsidP="003B3B17">
            <w:pPr>
              <w:spacing w:after="0" w:line="240" w:lineRule="auto"/>
              <w:rPr>
                <w:bCs w:val="0"/>
                <w:i/>
              </w:rPr>
            </w:pPr>
            <w:r w:rsidRPr="00B06331">
              <w:rPr>
                <w:bCs w:val="0"/>
                <w:i/>
              </w:rPr>
              <w:lastRenderedPageBreak/>
              <w:t xml:space="preserve">Social Protection </w:t>
            </w:r>
          </w:p>
        </w:tc>
        <w:tc>
          <w:tcPr>
            <w:tcW w:w="10610" w:type="dxa"/>
          </w:tcPr>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The current social protection system is fragmented and focuses on social assistance. There is less attention to healthcare and reliable income support</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There is no universal social pension for the elderly and no child support allowance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Preventive social protection is limited as social security schemes target those employed in the formal sector, but most of the population works in the informal sector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A notable gap is the absence of a national health insurance scheme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State-led crop insurance schemes to shield farmers from natural disasters is undeveloped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Long-term and predictable institutionalized social transfers and promotion initiatives targeting the extremely poor are rare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Many social transfers are transitory and project-based, characterized by unreliable funding </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The Legislative framework is weak and does not include a national minimum wage, disability bill and has inadequate and sporadic coverage and support to vulnerable groups</w:t>
            </w:r>
          </w:p>
          <w:p w:rsidR="003B3B17" w:rsidRPr="00B06331" w:rsidRDefault="003B3B17" w:rsidP="003B3B17">
            <w:pPr>
              <w:spacing w:after="0" w:line="240" w:lineRule="auto"/>
              <w:jc w:val="both"/>
              <w:cnfStyle w:val="000000100000"/>
              <w:rPr>
                <w:rFonts w:ascii="Avenir Book" w:hAnsi="Avenir Book"/>
                <w:szCs w:val="24"/>
              </w:rPr>
            </w:pPr>
          </w:p>
        </w:tc>
      </w:tr>
      <w:tr w:rsidR="003B3B17" w:rsidRPr="00B06331" w:rsidTr="003B3B17">
        <w:tc>
          <w:tcPr>
            <w:cnfStyle w:val="001000000000"/>
            <w:tcW w:w="1918" w:type="dxa"/>
          </w:tcPr>
          <w:p w:rsidR="003B3B17" w:rsidRPr="00B06331" w:rsidRDefault="003B3B17" w:rsidP="003B3B17">
            <w:pPr>
              <w:spacing w:after="0" w:line="240" w:lineRule="auto"/>
              <w:rPr>
                <w:bCs w:val="0"/>
                <w:i/>
              </w:rPr>
            </w:pPr>
            <w:r w:rsidRPr="00B06331">
              <w:rPr>
                <w:bCs w:val="0"/>
                <w:i/>
              </w:rPr>
              <w:t>Women Empowerment</w:t>
            </w:r>
          </w:p>
        </w:tc>
        <w:tc>
          <w:tcPr>
            <w:tcW w:w="10610" w:type="dxa"/>
          </w:tcPr>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Limited awareness of gender issues among the populace </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Weak support, advocacy, awareness raising, coordination and monitoring by other stakeholders</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 xml:space="preserve">Cultural patterns, traditional roles, and stereotypes which continue to prevent women from exercising their rights  </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lastRenderedPageBreak/>
              <w:t>Low representation of females in decision-making positions</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The general low self-esteem of women</w:t>
            </w:r>
          </w:p>
          <w:p w:rsidR="003B3B17" w:rsidRPr="00B06331" w:rsidRDefault="003B3B17" w:rsidP="004143E3">
            <w:pPr>
              <w:numPr>
                <w:ilvl w:val="0"/>
                <w:numId w:val="102"/>
              </w:numPr>
              <w:spacing w:after="0" w:line="240" w:lineRule="auto"/>
              <w:jc w:val="both"/>
              <w:cnfStyle w:val="000000000000"/>
              <w:rPr>
                <w:rFonts w:ascii="Avenir Book" w:hAnsi="Avenir Book"/>
                <w:szCs w:val="24"/>
              </w:rPr>
            </w:pPr>
            <w:r w:rsidRPr="00B06331">
              <w:rPr>
                <w:rFonts w:ascii="Avenir Book" w:hAnsi="Avenir Book"/>
                <w:szCs w:val="24"/>
              </w:rPr>
              <w:t>The highly patriarchal nature of Gambian society characterized by male hegemony, poor access to social services, low wage employment, little control over productive resources and Inadequate capacity at all levels to mainstream gender and apply gender analysis skills.</w:t>
            </w:r>
          </w:p>
        </w:tc>
      </w:tr>
      <w:tr w:rsidR="003B3B17" w:rsidRPr="00B06331" w:rsidTr="003B3B17">
        <w:trPr>
          <w:cnfStyle w:val="000000100000"/>
        </w:trPr>
        <w:tc>
          <w:tcPr>
            <w:cnfStyle w:val="001000000000"/>
            <w:tcW w:w="1918" w:type="dxa"/>
          </w:tcPr>
          <w:p w:rsidR="003B3B17" w:rsidRPr="00B06331" w:rsidRDefault="003B3B17" w:rsidP="003B3B17">
            <w:pPr>
              <w:spacing w:after="0" w:line="240" w:lineRule="auto"/>
              <w:rPr>
                <w:bCs w:val="0"/>
                <w:i/>
              </w:rPr>
            </w:pPr>
            <w:r w:rsidRPr="00B06331">
              <w:rPr>
                <w:bCs w:val="0"/>
                <w:i/>
              </w:rPr>
              <w:lastRenderedPageBreak/>
              <w:t xml:space="preserve">Youth Empowerment and Development </w:t>
            </w:r>
          </w:p>
        </w:tc>
        <w:tc>
          <w:tcPr>
            <w:tcW w:w="10610" w:type="dxa"/>
          </w:tcPr>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xml:space="preserve">The 2013 Census results indicated that 42.7% and 64% of the population are below the ages of 15 and 24 years respectively, with young people aged 15-24 years representing 21.4% of the </w:t>
            </w:r>
            <w:r w:rsidR="00FB254A" w:rsidRPr="00B06331">
              <w:rPr>
                <w:rFonts w:ascii="Avenir Book" w:hAnsi="Avenir Book"/>
                <w:szCs w:val="24"/>
              </w:rPr>
              <w:t>population. T</w:t>
            </w:r>
            <w:r w:rsidRPr="00B06331">
              <w:rPr>
                <w:rFonts w:ascii="Avenir Book" w:hAnsi="Avenir Book"/>
                <w:szCs w:val="24"/>
              </w:rPr>
              <w:t>he share of youth unemployment in total unemployment is about 70 per cent while the ratio of youth unemployment to adult unemployment is 2.3. This reveals a high dependency factor in the society and has serious implications for development programming including social protection</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Poor and inadequate education continues to limit the youth’s productivity and acquisition of skills, while insufficient access to knowledge and information (including business development services for the entrepreneurial youth) is hindering their gainful engagement in entrepreneurial ventures</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Most financial service providers are reluctant to provide their services – including credit, savings and insurance – to the youth due to their lack of collateral and financial literacy, among other reasons</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The youth have limited access to land for farming and to other productive assets such as business space and equipment</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Young people have limited access to markets which curtails their engagement in viable and sustainable agricultural and other business ventures</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Young people suffer from limited involvement in policy dialogue and too often their voices are not heard during the policy process, and so their complex and multifaceted needs are not met</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While jobs contribute to economic empowerment, many of the youth lack the skills or access to the necessary skills-upgrading opportunities to partake in the labour market.</w:t>
            </w:r>
          </w:p>
          <w:p w:rsidR="003B3B17" w:rsidRPr="00B06331" w:rsidRDefault="003B3B17" w:rsidP="004143E3">
            <w:pPr>
              <w:numPr>
                <w:ilvl w:val="0"/>
                <w:numId w:val="102"/>
              </w:numPr>
              <w:spacing w:after="0" w:line="240" w:lineRule="auto"/>
              <w:jc w:val="both"/>
              <w:cnfStyle w:val="000000100000"/>
              <w:rPr>
                <w:rFonts w:ascii="Avenir Book" w:hAnsi="Avenir Book"/>
                <w:szCs w:val="24"/>
              </w:rPr>
            </w:pPr>
            <w:r w:rsidRPr="00B06331">
              <w:rPr>
                <w:rFonts w:ascii="Avenir Book" w:hAnsi="Avenir Book"/>
                <w:szCs w:val="24"/>
              </w:rPr>
              <w:t>• High adolescent fertility rate and unmet need for family planning</w:t>
            </w:r>
            <w:r w:rsidRPr="00B06331">
              <w:rPr>
                <w:rFonts w:ascii="Avenir Book" w:hAnsi="Avenir Book" w:cs="Arial"/>
                <w:lang w:val="en-GB"/>
              </w:rPr>
              <w:t>, despite the high demand for example, is one of the reasons for high fertility rates that could delay or jeopardize the harnessing of the demographic dividend</w:t>
            </w:r>
          </w:p>
        </w:tc>
      </w:tr>
    </w:tbl>
    <w:p w:rsidR="003B3B17" w:rsidRPr="00B06331" w:rsidRDefault="003B3B17" w:rsidP="003B3B17"/>
    <w:p w:rsidR="003B3B17" w:rsidRPr="00B06331" w:rsidRDefault="003B3B17" w:rsidP="003B3B17">
      <w:pPr>
        <w:sectPr w:rsidR="003B3B17" w:rsidRPr="00B06331" w:rsidSect="003B3B17">
          <w:pgSz w:w="15840" w:h="12240" w:orient="landscape"/>
          <w:pgMar w:top="1440" w:right="1440" w:bottom="1440" w:left="1440" w:header="720" w:footer="720" w:gutter="0"/>
          <w:cols w:space="720"/>
          <w:docGrid w:linePitch="360"/>
        </w:sectPr>
      </w:pPr>
    </w:p>
    <w:p w:rsidR="003B3B17" w:rsidRPr="00B06331" w:rsidRDefault="003B3B17" w:rsidP="001C4D71">
      <w:pPr>
        <w:pStyle w:val="Heading1"/>
        <w:rPr>
          <w:rFonts w:asciiTheme="minorHAnsi" w:hAnsiTheme="minorHAnsi" w:cstheme="minorHAnsi"/>
          <w:b/>
          <w:sz w:val="22"/>
          <w:szCs w:val="22"/>
        </w:rPr>
      </w:pPr>
      <w:bookmarkStart w:id="92" w:name="_Toc488689311"/>
      <w:bookmarkStart w:id="93" w:name="_Toc492364758"/>
      <w:r w:rsidRPr="00B06331">
        <w:rPr>
          <w:rFonts w:asciiTheme="minorHAnsi" w:hAnsiTheme="minorHAnsi" w:cstheme="minorHAnsi"/>
          <w:b/>
          <w:sz w:val="22"/>
          <w:szCs w:val="22"/>
        </w:rPr>
        <w:lastRenderedPageBreak/>
        <w:t>Chapter 5: Environment, Land Use Planning, and Decentralization</w:t>
      </w:r>
      <w:bookmarkStart w:id="94" w:name="_Toc488689312"/>
      <w:bookmarkEnd w:id="92"/>
      <w:bookmarkEnd w:id="93"/>
    </w:p>
    <w:p w:rsidR="003B3B17" w:rsidRPr="00B06331" w:rsidRDefault="003B3B17" w:rsidP="001C4D71">
      <w:pPr>
        <w:pStyle w:val="Heading2"/>
        <w:rPr>
          <w:rFonts w:asciiTheme="minorHAnsi" w:hAnsiTheme="minorHAnsi" w:cstheme="minorHAnsi"/>
          <w:sz w:val="22"/>
          <w:szCs w:val="22"/>
        </w:rPr>
      </w:pPr>
      <w:bookmarkStart w:id="95" w:name="_Toc492364759"/>
      <w:r w:rsidRPr="00B06331">
        <w:rPr>
          <w:rFonts w:asciiTheme="minorHAnsi" w:hAnsiTheme="minorHAnsi" w:cstheme="minorHAnsi"/>
          <w:sz w:val="22"/>
          <w:szCs w:val="22"/>
        </w:rPr>
        <w:t>5.1 Introduction</w:t>
      </w:r>
      <w:bookmarkEnd w:id="95"/>
    </w:p>
    <w:p w:rsidR="003B3B17" w:rsidRPr="00B06331" w:rsidRDefault="003B3B17" w:rsidP="003B3B17">
      <w:pPr>
        <w:rPr>
          <w:rFonts w:ascii="Avenir Book" w:eastAsia="Cambria" w:hAnsi="Avenir Book"/>
          <w:szCs w:val="24"/>
        </w:rPr>
      </w:pPr>
      <w:r w:rsidRPr="00B06331">
        <w:rPr>
          <w:rFonts w:ascii="Avenir Book" w:eastAsia="Cambria" w:hAnsi="Avenir Book"/>
          <w:szCs w:val="24"/>
        </w:rPr>
        <w:t xml:space="preserve">Chapter 5 analyzes the main trends in Gambia’s environment and natural resources and identifies the key issues to address in the plan. Land use planning and decentralization are also treated in the chapter. </w:t>
      </w:r>
    </w:p>
    <w:p w:rsidR="003B3B17" w:rsidRPr="00B06331" w:rsidRDefault="003B3B17" w:rsidP="001C4D71">
      <w:pPr>
        <w:pStyle w:val="Heading2"/>
        <w:rPr>
          <w:rFonts w:asciiTheme="minorHAnsi" w:hAnsiTheme="minorHAnsi" w:cstheme="minorHAnsi"/>
          <w:sz w:val="22"/>
          <w:szCs w:val="22"/>
        </w:rPr>
      </w:pPr>
      <w:bookmarkStart w:id="96" w:name="_Toc492364760"/>
      <w:r w:rsidRPr="00B06331">
        <w:rPr>
          <w:rFonts w:asciiTheme="minorHAnsi" w:hAnsiTheme="minorHAnsi" w:cstheme="minorHAnsi"/>
          <w:sz w:val="22"/>
          <w:szCs w:val="22"/>
        </w:rPr>
        <w:t>5.2 Environment, Natural Resources, and Climate Change</w:t>
      </w:r>
      <w:bookmarkEnd w:id="94"/>
      <w:bookmarkEnd w:id="96"/>
    </w:p>
    <w:p w:rsidR="003B3B17" w:rsidRPr="00B06331" w:rsidRDefault="003B3B17" w:rsidP="003B3B17">
      <w:pPr>
        <w:spacing w:after="0"/>
        <w:jc w:val="both"/>
        <w:rPr>
          <w:rFonts w:ascii="Avenir Book" w:eastAsia="Cambria" w:hAnsi="Avenir Book"/>
          <w:szCs w:val="24"/>
        </w:rPr>
      </w:pPr>
      <w:r w:rsidRPr="00B06331">
        <w:rPr>
          <w:rFonts w:ascii="Avenir Book" w:eastAsia="Cambria" w:hAnsi="Avenir Book"/>
          <w:szCs w:val="24"/>
        </w:rPr>
        <w:t xml:space="preserve">The Gambia is susceptible to the vagaries of the environment and climate change, droughts and flooding which cause a lot of damage to farmlands, settlements, and livestock. The major issues affecting the environmental sector are land degradation, coastal erosion, loss of forest cover, biodiversity loss, ineffective waste management and the management of pesticides. Deforestation through illegal logging and bushfires, and sand mining and illegal settlements and other uncontrolled activities are the main contributing factors in a situation already made precarious by climate change. </w:t>
      </w:r>
    </w:p>
    <w:p w:rsidR="00E44573" w:rsidRPr="00B06331" w:rsidRDefault="00E44573" w:rsidP="003B3B17">
      <w:pPr>
        <w:jc w:val="both"/>
        <w:rPr>
          <w:rFonts w:ascii="Avenir Book" w:eastAsia="Cambria" w:hAnsi="Avenir Book"/>
          <w:szCs w:val="24"/>
        </w:rPr>
      </w:pP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The impact of Climate Change (CC) has emerged as one of the most significant external factor hindering the performance of the growth driving sectors, especially agriculture, tourism and industry which have the greatest impact on the economy. Because of the CC manifestations of droughts, floods, soil degradation, coastal erosion, erratic rainfall patterns and global warming, The Gambia has experienced poor yields, pest and disease incidences, infrastructural damages and even loss of lives in extreme cases.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The specific geophysical and hydrological characteristics (low-lying areas adjacent to the sea) make The Gambia one of most vulnerable low-income countries to climate change. According to the International Panel on Climate Change (IPCC) The Gambia is top on the list of 100 countries that are most vulnerable to the effects of climate change, especially weather related hazards such as drought, windstorm, floods including in urban areas and sea level rise.</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Climate change and variation places a major burden on inclusive growth and ultimate national development because the productive base of the economy thrives on climate-sensitive activities. The Gambia is experiencing the negative impact of climate change, global warming characterized by a noticeable increase in mean annual temperature from 25.8°C in 1947 to 32.6°C in 2010. Similarly, average relative humidity (RH) has also been decreasing since the 1940s, with annual average of over 75% in 1945 dropping to a little over 55% in 2010. On the other hand, climate change induced windstorms and flash floods which are increasing in strength and severity are causing damage to property in The Gambia.</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The increase in temperature and decrease in rainfall resulted in a 3% overall reduction in groundwater recharge and the migration of the River Gambia’s Saline Front by about 250m upstream. This has ultimately caused water shortage as well as a reduction in arable land available for agriculture and </w:t>
      </w:r>
      <w:r w:rsidRPr="00B06331">
        <w:rPr>
          <w:rFonts w:ascii="Avenir Book" w:eastAsia="Cambria" w:hAnsi="Avenir Book"/>
          <w:szCs w:val="24"/>
        </w:rPr>
        <w:lastRenderedPageBreak/>
        <w:t xml:space="preserve">therefore a 21 to 44% decrease in food crop production. Consequently, some of the water points have dried up – adversely affecting livestock production in the country.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It is estimated that each year property damage from climate change induced windstorm, floods, and loss of crop yield amount to tens of millions of Gambia Dalasi. In 2010 alone, urban floods affected more than 35,000 people and damaged 2,371 houses with a quantified loss of food and cash crops. The wider impacts from extreme climate events also include flooding in urban areas, damage to roads, bridges, power lines and telecommunications infrastructure especially the Greater Banjul Area, and in the unregulated housing settlements in Banjul, Bakau, Ebo Town, Jeshwang, Tallinding Kunjang and Fagikunda.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Consequently, these conditions have exposed the communities to serious health risks associated with flooding such as malaria and diarrheal diseases. Put together, climate change negatively affects the economic activities and poverty levels of those affected, leads to food insecurity, and increases the disease vulnerability of communities most affected by its impact. Left unchecked, rainfall is projected to decrease from about 1% in 2010 to about 54% in 2100; increase in temperature is projected to range from about 0.3OC in 2010 to about 3.9OC in 2100. (GoTG-NCC, 2012),</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Decrease in fish productivity of the River Gambia will be about 4% by 2100. Climate change and sea level rise will lead to increase in water and soil salinity. Hyper-salinity in mangroves and other wetland ecosystems on the coastal zone could result in systematic spawning and recruitment failures and reduced population of economically important fisheries species. Fish habitat availability, quality, and potential for the habitat to sustain fish communities will be altered. Baseline fisheries biomass productivity of the River Gambia based on a temperature of 27.8OC is estimated at 18.9*106 kg/km. Results from a riverine production model indicate that productivity will increase above current values by 4% by 2030, 6 to 7% by 2050 and 10 to 12% by 2100. Temperature increases will destroy marine and riverine ecosystems, and increase toxicity in fish stocks having a deleterious impact on human health as a consequence. Moreover, storms and other severe climate events will impact fisher folk safety at sea and impact coastal livelihoods. As it is, fish production is negatively impacted by the monsoons and increasing variability in rainfall and other weather patterns thus threatening food security in The Gambia.</w:t>
      </w:r>
    </w:p>
    <w:p w:rsidR="003B3B17" w:rsidRPr="00B06331" w:rsidRDefault="003B3B17" w:rsidP="003B3B17">
      <w:pPr>
        <w:pStyle w:val="ListParagraph"/>
        <w:tabs>
          <w:tab w:val="left" w:pos="426"/>
        </w:tabs>
        <w:spacing w:after="120"/>
        <w:ind w:left="0"/>
        <w:jc w:val="both"/>
        <w:rPr>
          <w:rFonts w:ascii="Avenir Book" w:eastAsia="Cambria" w:hAnsi="Avenir Book"/>
          <w:szCs w:val="24"/>
        </w:rPr>
      </w:pPr>
      <w:r w:rsidRPr="00B06331">
        <w:rPr>
          <w:rFonts w:ascii="Avenir Book" w:eastAsia="Cambria" w:hAnsi="Avenir Book"/>
          <w:szCs w:val="24"/>
        </w:rPr>
        <w:t xml:space="preserve">Coastal Climate Vulnerability: The Coastline of The Gambia is approximately 80 km in length of which nearly 2.5 km is situated around the estuary of the Gambia River. The Gambia in many parts is at below sea level. Approximately 3,515km2 (≈32%) of the total land area are below 10m of sea level. For Banjul, about 11km2 (≈92%) of the total land area are below 10m of sea level (NAPA, 2007, GBoS, 2003). Different scenarios being used to assess the vulnerability of the country’s coastal zone to sea level rise predict that a 1 meter sea level rise in The Gambia will lead to inundation of about 92km2 of the coastal zone which estimates that about 50% (47 km2) of land loss to inundation will come from the sheltered coast with submerged beaches and its concomitants. The manifestation of climate change in the coastal areas include sea level rise, submerged beaches, flooding, damage to mangroves and other coastal ecosystems, fish contamination, salt intrusion into mangroves and estuaries as well as damage to infrastructures. Beach erosion is a significant problem along the southern coastline, threatening </w:t>
      </w:r>
      <w:r w:rsidRPr="00B06331">
        <w:rPr>
          <w:rFonts w:ascii="Avenir Book" w:eastAsia="Cambria" w:hAnsi="Avenir Book"/>
          <w:szCs w:val="24"/>
        </w:rPr>
        <w:lastRenderedPageBreak/>
        <w:t>tourism facilities one of the drivers of the economic growth, human communities, their fisheries and agricultural activities particularly horticulture, cultural and historical sites. The occurrences of these hazards lead to high levels of exposure and vulnerability of communities that eventually result to the impediment of development progress.</w:t>
      </w:r>
    </w:p>
    <w:p w:rsidR="003B3B17" w:rsidRPr="00B06331" w:rsidRDefault="003B3B17" w:rsidP="003B3B17">
      <w:pPr>
        <w:pStyle w:val="ListParagraph"/>
        <w:tabs>
          <w:tab w:val="left" w:pos="426"/>
        </w:tabs>
        <w:spacing w:after="120"/>
        <w:ind w:left="0"/>
        <w:jc w:val="both"/>
        <w:rPr>
          <w:rFonts w:ascii="Avenir Book" w:eastAsia="Cambria" w:hAnsi="Avenir Book"/>
          <w:szCs w:val="24"/>
        </w:rPr>
      </w:pP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Given that the mangrove systems serve as protection buffer against storms for most of the coastal settlements, this will disrupt the livelihoods of these communities. The suitability of the habitats for the Dwarf Crocodile and Osprey will be highly reduced. Biomass production in Forests will be lower as temperatures continue to increase. Production of biomass in rangelands will increase but some of the grasses will not survive the climate after 40 years. Nitrogen Uptake by grasses will be reduced, the vegetation will not be palatable and so milk production in livestock will reduce.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Considering the threats and potential impacts of climate change, Government has adopted a comprehensive strategy to adapt to and mitigate against the impact of climate change. During the PAGE 2012 - 2015 period, a Climate Change Priority Action Plan (CCPAP) estimated at US$47 Million was developed and many projects implemented including, (a) mainstreaming of Climate Change into the Education Curricula, (b) development of Climate Change Policy and Strategy and (c) the development of a Low Emissions Climate Resilient Strategy (LECRDS).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The National Climate Change Policy has been developed with funds from the EU and a Background Paper on the LECRDS has been developed. A full LECRDS is expected in 2016. Under the GEF/UNDP Adaptation to Climate Change – Responding to Coastline Change project, The Gambia developed and piloted a range of effective coping mechanisms to reduce the impact of climate change induced coastal erosion in vulnerable areas, mainly habitats. Other outputs of the project include various studies on coastal zone management and the construction of Eco-tourism camps as an alternative livelihood for communities in Brufut, Ghana town, Madiyana and Tanji and a coastal management plan.</w:t>
      </w:r>
    </w:p>
    <w:p w:rsidR="00472F60" w:rsidRPr="00B06331" w:rsidRDefault="00472F60" w:rsidP="00472F60">
      <w:pPr>
        <w:jc w:val="both"/>
        <w:rPr>
          <w:rFonts w:ascii="Avenir Book" w:eastAsia="Cambria" w:hAnsi="Avenir Book"/>
          <w:szCs w:val="24"/>
          <w:lang/>
        </w:rPr>
      </w:pPr>
      <w:r w:rsidRPr="00B06331">
        <w:rPr>
          <w:rFonts w:ascii="Avenir Book" w:eastAsia="Cambria" w:hAnsi="Avenir Book"/>
          <w:szCs w:val="24"/>
          <w:lang/>
        </w:rPr>
        <w:t>Other notable projects implemented during the PAGE focused on better environmental management of tourism activities in coastal areas; strengthening of Climate Change Early Warning Systems; mainstreaming energy and environment concerns into national, regional, and local policies, strategies, programmes and plans to reverse the current trend of natural resources degradation; identifying and addressing problems in disaster hotspots; and enhancing resilience of coastal and vulnerable communities.</w:t>
      </w:r>
    </w:p>
    <w:p w:rsidR="00472F60" w:rsidRPr="00B06331" w:rsidRDefault="00472F60" w:rsidP="00472F60">
      <w:pPr>
        <w:jc w:val="both"/>
        <w:rPr>
          <w:rFonts w:ascii="Avenir Book" w:eastAsia="Cambria" w:hAnsi="Avenir Book"/>
          <w:szCs w:val="24"/>
          <w:lang/>
        </w:rPr>
      </w:pPr>
      <w:r w:rsidRPr="00B06331">
        <w:rPr>
          <w:rFonts w:ascii="Avenir Book" w:eastAsia="Cambria" w:hAnsi="Avenir Book"/>
          <w:szCs w:val="24"/>
          <w:lang/>
        </w:rPr>
        <w:t xml:space="preserve">Notwithstanding the success registered in developing and implementing climate change projects, The Gambia continues to grapple with unequal access to the Kyoto Protocol Clean Development Mechanism (CDM) because of low potential for cost effectiveness due to the size of its economy. </w:t>
      </w:r>
    </w:p>
    <w:p w:rsidR="00472F60" w:rsidRPr="00B06331" w:rsidRDefault="00472F60" w:rsidP="00472F60">
      <w:pPr>
        <w:jc w:val="both"/>
        <w:rPr>
          <w:rFonts w:ascii="Avenir Book" w:eastAsia="Cambria" w:hAnsi="Avenir Book"/>
          <w:szCs w:val="24"/>
          <w:lang/>
        </w:rPr>
      </w:pPr>
      <w:r w:rsidRPr="00B06331">
        <w:rPr>
          <w:rFonts w:ascii="Avenir Book" w:eastAsia="Cambria" w:hAnsi="Avenir Book"/>
          <w:szCs w:val="24"/>
          <w:lang/>
        </w:rPr>
        <w:t xml:space="preserve">The Gambia recognizes prominent role climate change in its development. Despite its size, Gambia has put a lot of efforts and continues to do so within its technical, technological capacity and financial limits. It has also forged cooperation with bilateral and multilateral partners. Climate issues still pose challenges to development, particularly in addressing poverty. In 2011, the Government decided to move climate change to the forefront of its development agenda by integrating climate change into the </w:t>
      </w:r>
      <w:r w:rsidRPr="00B06331">
        <w:rPr>
          <w:rFonts w:ascii="Avenir Book" w:eastAsia="Cambria" w:hAnsi="Avenir Book"/>
          <w:szCs w:val="24"/>
          <w:lang/>
        </w:rPr>
        <w:lastRenderedPageBreak/>
        <w:t xml:space="preserve">Medium-Term Strategy; development of the National Climate Change Policy; formulation of the Low Emissions Climate Resilient Development Strategy (LECRDS) (ongoing); engagement of the private sector and mainstreaming of climate change in policy frameworks (ANR Policy, Forest Policy, Fisheries Strategy). </w:t>
      </w:r>
    </w:p>
    <w:p w:rsidR="003B3B17" w:rsidRPr="00B06331" w:rsidRDefault="003B3B17" w:rsidP="003B3B17">
      <w:pPr>
        <w:jc w:val="both"/>
        <w:rPr>
          <w:rFonts w:ascii="Avenir Book" w:eastAsia="Cambria" w:hAnsi="Avenir Book"/>
          <w:szCs w:val="24"/>
        </w:rPr>
      </w:pPr>
      <w:r w:rsidRPr="00B06331">
        <w:rPr>
          <w:rFonts w:ascii="Avenir Book" w:eastAsia="Cambria" w:hAnsi="Avenir Book"/>
          <w:szCs w:val="24"/>
        </w:rPr>
        <w:t xml:space="preserve">Where government policies provide appropriate incentives that harmonize economic, environmental, and social goals, conflict between economic growth and environmental sustainability will never exist. Economic growth depends on the sustainable management of natural resources (water, air, soil, fish stocks, and biodiversity) and ecosystem services. </w:t>
      </w:r>
    </w:p>
    <w:p w:rsidR="003B3B17" w:rsidRPr="00B06331" w:rsidRDefault="003B3B17" w:rsidP="001C4D71">
      <w:pPr>
        <w:jc w:val="both"/>
        <w:rPr>
          <w:rFonts w:ascii="Avenir Book" w:eastAsia="Cambria" w:hAnsi="Avenir Book"/>
          <w:szCs w:val="24"/>
        </w:rPr>
      </w:pPr>
      <w:r w:rsidRPr="00B06331">
        <w:rPr>
          <w:rFonts w:ascii="Avenir Book" w:eastAsia="Cambria" w:hAnsi="Avenir Book"/>
          <w:szCs w:val="24"/>
        </w:rPr>
        <w:t>The green growth model recognizes that steps to protect and conserve environmental resources can be sufficient drivers for national economic progress. Environmental protection not only enhances long-term economic performance through a more sustainable use of the resource base, but can also contribute to equity. Natural resource and environmental degradation (especially the pollution of fresh water, the mining of soil fertility and depletion of fish stocks) impact most heavily on the poor.</w:t>
      </w:r>
      <w:bookmarkStart w:id="97" w:name="_Toc488689313"/>
    </w:p>
    <w:p w:rsidR="003B3B17" w:rsidRPr="00B06331" w:rsidRDefault="003B3B17" w:rsidP="001C4D71">
      <w:pPr>
        <w:pStyle w:val="Heading2"/>
        <w:rPr>
          <w:rFonts w:asciiTheme="minorHAnsi" w:hAnsiTheme="minorHAnsi" w:cstheme="minorHAnsi"/>
          <w:sz w:val="22"/>
          <w:szCs w:val="22"/>
          <w:lang w:val="en-US"/>
        </w:rPr>
      </w:pPr>
      <w:bookmarkStart w:id="98" w:name="_Toc492364761"/>
      <w:r w:rsidRPr="00B06331">
        <w:rPr>
          <w:rFonts w:asciiTheme="minorHAnsi" w:hAnsiTheme="minorHAnsi" w:cstheme="minorHAnsi"/>
          <w:sz w:val="22"/>
          <w:szCs w:val="22"/>
        </w:rPr>
        <w:t>5.</w:t>
      </w:r>
      <w:r w:rsidRPr="00B06331">
        <w:rPr>
          <w:rFonts w:asciiTheme="minorHAnsi" w:hAnsiTheme="minorHAnsi" w:cstheme="minorHAnsi"/>
          <w:sz w:val="22"/>
          <w:szCs w:val="22"/>
          <w:lang w:val="en-US"/>
        </w:rPr>
        <w:t>3</w:t>
      </w:r>
      <w:r w:rsidRPr="00B06331">
        <w:rPr>
          <w:rFonts w:asciiTheme="minorHAnsi" w:hAnsiTheme="minorHAnsi" w:cstheme="minorHAnsi"/>
          <w:sz w:val="22"/>
          <w:szCs w:val="22"/>
        </w:rPr>
        <w:t xml:space="preserve"> Land Use Planning and Decentralization</w:t>
      </w:r>
      <w:bookmarkEnd w:id="97"/>
      <w:bookmarkEnd w:id="98"/>
    </w:p>
    <w:p w:rsidR="003B3B17" w:rsidRPr="00B06331" w:rsidRDefault="003B3B17" w:rsidP="001C4D71">
      <w:pPr>
        <w:pStyle w:val="Heading3"/>
        <w:rPr>
          <w:rFonts w:asciiTheme="minorHAnsi" w:hAnsiTheme="minorHAnsi" w:cstheme="minorHAnsi"/>
          <w:b/>
          <w:sz w:val="22"/>
          <w:szCs w:val="22"/>
        </w:rPr>
      </w:pPr>
      <w:bookmarkStart w:id="99" w:name="_Toc492364762"/>
      <w:r w:rsidRPr="00B06331">
        <w:rPr>
          <w:rFonts w:asciiTheme="minorHAnsi" w:hAnsiTheme="minorHAnsi" w:cstheme="minorHAnsi"/>
          <w:b/>
          <w:sz w:val="22"/>
          <w:szCs w:val="22"/>
        </w:rPr>
        <w:t>5.3.1 Decentralization</w:t>
      </w:r>
      <w:bookmarkEnd w:id="99"/>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The 1997 Constitution provides for decentralization by devolution of some central government functions to local governments. These constitutional provisions led to the Enabling Policy and Legal Framework on Local Government Reform in The Gambia. This led to the enactment of the Local Government Act (2002), the Local Government Staff Service Rules (2003), the Local Government Finance and Audit Act (2004), the Decentralization Policy (2007) and Local Government Service Commission Regulations (2010).</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The objectives of the decentralization program, established in 1980 are to give communities a more inclusive role on the utilization of resources. This has undoubtedly increased participation and accountability of decision makers to the public. The decentralization agenda extends the process of democratization to the local levels and promotes a community-based development approach. The decentralization of central functions to divisional levels and to autonomous elected local governments is a key part of the Local Government Act 2002 (amended in 2015). It brings decision making closer to the people (as voters, consumers, and tax payers) to ensure that decisions made reflect local needs and priorities, resulting in more economical and efficient allocation of resources and service delivery. </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Hence, decentralization was conceived as a national structure derived from a broad consultative process that involved local, national, and international stakeholders. </w:t>
      </w:r>
    </w:p>
    <w:p w:rsidR="001C4D71" w:rsidRPr="00B06331" w:rsidRDefault="003B3B17" w:rsidP="001C4D71">
      <w:pPr>
        <w:tabs>
          <w:tab w:val="left" w:pos="720"/>
        </w:tabs>
        <w:spacing w:before="120" w:after="120"/>
        <w:jc w:val="both"/>
        <w:rPr>
          <w:rFonts w:ascii="Avenir Book" w:hAnsi="Avenir Book"/>
        </w:rPr>
      </w:pPr>
      <w:r w:rsidRPr="00B06331">
        <w:rPr>
          <w:rFonts w:ascii="Avenir Book" w:hAnsi="Avenir Book"/>
        </w:rPr>
        <w:t xml:space="preserve">The decentralization program started well with the initial surge in international development partner support, strong political will, and commitment from government. However, in the past few years, with a gradual waning of donor support and a tight government budget, the much-anticipated government support has not been forthcoming; as </w:t>
      </w:r>
      <w:r w:rsidR="00010603" w:rsidRPr="00B06331">
        <w:rPr>
          <w:rFonts w:ascii="Avenir Book" w:hAnsi="Avenir Book"/>
        </w:rPr>
        <w:t>such,</w:t>
      </w:r>
      <w:r w:rsidRPr="00B06331">
        <w:rPr>
          <w:rFonts w:ascii="Avenir Book" w:hAnsi="Avenir Book"/>
        </w:rPr>
        <w:t xml:space="preserve"> the decentralization process has stalled. In addition, the momentum waned due to domestic issues around political will, inadequate funding, low competences </w:t>
      </w:r>
      <w:r w:rsidRPr="00B06331">
        <w:rPr>
          <w:rFonts w:ascii="Avenir Book" w:hAnsi="Avenir Book"/>
        </w:rPr>
        <w:lastRenderedPageBreak/>
        <w:t xml:space="preserve">in councils, role conflicts between the centre and the periphery and between councils and new semi-autonomous entities. </w:t>
      </w:r>
    </w:p>
    <w:p w:rsidR="003B3B17" w:rsidRPr="00B06331" w:rsidRDefault="003B3B17" w:rsidP="001C4D71">
      <w:pPr>
        <w:pStyle w:val="Heading3"/>
        <w:rPr>
          <w:rFonts w:asciiTheme="minorHAnsi" w:hAnsiTheme="minorHAnsi" w:cstheme="minorHAnsi"/>
          <w:b/>
          <w:color w:val="auto"/>
          <w:sz w:val="22"/>
          <w:szCs w:val="22"/>
        </w:rPr>
      </w:pPr>
      <w:bookmarkStart w:id="100" w:name="_Toc492364763"/>
      <w:r w:rsidRPr="00B06331">
        <w:rPr>
          <w:rFonts w:asciiTheme="minorHAnsi" w:hAnsiTheme="minorHAnsi" w:cstheme="minorHAnsi"/>
          <w:b/>
          <w:sz w:val="22"/>
          <w:szCs w:val="22"/>
        </w:rPr>
        <w:t>5.3.2 Land use Planning &amp; Management</w:t>
      </w:r>
      <w:bookmarkEnd w:id="100"/>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Land use planning in The Gambia began in 1985 with the preparation of the Greater Banjul Area (GBA) Physical Development Plan and that of three identified provincial growth centres of Brikama, Basse and Farafenni through a Technical Assistance Grant by the German International Cooperation Agency (GIZ).  The main reasons for the creation of these growth centres were to manage the available land for competing uses which had emerged because of rapid rate of population growth causing unplanned expansion of settlements on land best suited for other uses like agriculture, forestry, tourism, etc. or on fragile ecosystems. Given its geographical location and relatively small size, only about 38% of the country is cultivable which puts pressure on land and ultimately causes land degradation, loss of forest cover, loss of biodiversity and habitat loss, improper disposal of solid wastes and increasing effects of climate variability and change.</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A surge on competition over land use and resources has put the issue of land use planning high on the national development agenda. In some instances, the competition threatens not only sustainable land management but also deprives local rural communities control over and access to land and natural resources upon which their livelihoods depend. </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Constraints in the management of land in the country include inadequate institutional capacities and instruments (e.g. land-use and soil maps, and human resources and expertise), lack of guidelines, legislation, and monitoring systems for the use and management of land. In the past, the customary tenure system ensured that the poor were not excluded from access to land. However, due to population pressures, land in the Kanifing and Brikama municipalities has appreciated in value forcing many poor people to relocate elsewhere, thus excluding them from easy access to land.</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Most urban land is registered, but procedures for the registration of customary lands and transforming them into leaseholds are weak and need to be improved and made more transparent. Access and registration of land for industrial estates and other investments is slow and cumbersome. Moreover, the urban master plan of Banjul  (last one expired in 2000) and the GBA master plan are not sensitive to climate change and doesn’t address sea level rise, storm water management, flood prone areas mapping and waste management aspect. This is despite that fact that between 2002 and 2006 there were 65 floods related disasters in the West Coast Region (WCR) only, a highly populated and urbanized region in the country. There were severe floods in 1999 and 2003 in most of the regions of the country which affected 13.1% of the population (NDMA 2015). Land-related information, including land use plans, large-scale cadastral and thematic map information need to be updated to adequately guide the fast expansion of urban development as well as the provision and availability of housing. The Gambia National Agricultural Policy calls for the judicious and prudent utilization of land available for agriculture, especially guarding against the encroachment by residential facilities into agricultural land. </w:t>
      </w:r>
    </w:p>
    <w:p w:rsidR="003B3B17" w:rsidRPr="00B06331" w:rsidRDefault="003B3B17" w:rsidP="003B3B17">
      <w:pPr>
        <w:pStyle w:val="ListParagraph"/>
        <w:tabs>
          <w:tab w:val="left" w:pos="720"/>
        </w:tabs>
        <w:spacing w:before="120" w:after="120"/>
        <w:ind w:left="0"/>
        <w:jc w:val="both"/>
        <w:rPr>
          <w:rFonts w:ascii="Avenir Book" w:hAnsi="Avenir Book"/>
        </w:rPr>
      </w:pPr>
      <w:r w:rsidRPr="00B06331">
        <w:rPr>
          <w:rFonts w:ascii="Avenir Book" w:hAnsi="Avenir Book"/>
        </w:rPr>
        <w:t xml:space="preserve">In both the Forestry Act and the National Policy on Forest Management, provision is made for sustainable community management of forest land. The Gambia had a total forest area of 423,000 ha in 2010 compared to 520,400 ha in 1998, largely because of increasing population, and an increase in </w:t>
      </w:r>
      <w:r w:rsidRPr="00B06331">
        <w:rPr>
          <w:rFonts w:ascii="Avenir Book" w:hAnsi="Avenir Book"/>
        </w:rPr>
        <w:lastRenderedPageBreak/>
        <w:t xml:space="preserve">demand for agricultural land caused by increased mechanization of farming. In addition, government has declared 222,000 ha as forest reserves, 40,000 ha as forest </w:t>
      </w:r>
      <w:r w:rsidR="00010603" w:rsidRPr="00B06331">
        <w:rPr>
          <w:rFonts w:ascii="Avenir Book" w:hAnsi="Avenir Book"/>
        </w:rPr>
        <w:t>parks</w:t>
      </w:r>
      <w:r w:rsidRPr="00B06331">
        <w:rPr>
          <w:rFonts w:ascii="Avenir Book" w:hAnsi="Avenir Book"/>
        </w:rPr>
        <w:t xml:space="preserve"> and 18,000 ha as community forests. Significant efforts have been put in reducing bush fires, but remaining challenges </w:t>
      </w:r>
      <w:r w:rsidR="00010603" w:rsidRPr="00B06331">
        <w:rPr>
          <w:rFonts w:ascii="Avenir Book" w:hAnsi="Avenir Book"/>
        </w:rPr>
        <w:t>include</w:t>
      </w:r>
      <w:r w:rsidRPr="00B06331">
        <w:rPr>
          <w:rFonts w:ascii="Avenir Book" w:hAnsi="Avenir Book"/>
        </w:rPr>
        <w:t xml:space="preserve"> frequent forest fires, over exploitation of forest resources for biomass, illegal logging, rapid land use change patterns (conflict with agriculture, development of road networks and other infrastructure, etc.) and institutional capacity constraints. </w:t>
      </w:r>
    </w:p>
    <w:p w:rsidR="003B3B17" w:rsidRPr="00B06331" w:rsidRDefault="003B3B17" w:rsidP="003B3B17">
      <w:pPr>
        <w:tabs>
          <w:tab w:val="left" w:pos="720"/>
        </w:tabs>
        <w:spacing w:before="120" w:after="120"/>
        <w:jc w:val="both"/>
        <w:rPr>
          <w:rFonts w:ascii="Avenir Book" w:hAnsi="Avenir Book"/>
        </w:rPr>
      </w:pPr>
      <w:r w:rsidRPr="00B06331">
        <w:rPr>
          <w:rFonts w:ascii="Avenir Book" w:hAnsi="Avenir Book"/>
        </w:rPr>
        <w:t xml:space="preserve">During GNAIP implementation period, state, community and private forests are sustainably managed and the area under forest cover increased slightly with improvement in diversity of fauna and flora. </w:t>
      </w:r>
    </w:p>
    <w:p w:rsidR="003B3B17" w:rsidRPr="00B06331" w:rsidRDefault="005140CE" w:rsidP="00E67D33">
      <w:pPr>
        <w:pStyle w:val="ListParagraph"/>
        <w:tabs>
          <w:tab w:val="left" w:pos="720"/>
        </w:tabs>
        <w:spacing w:before="120" w:after="120"/>
        <w:ind w:left="0"/>
        <w:jc w:val="both"/>
        <w:rPr>
          <w:rFonts w:ascii="Avenir Book" w:hAnsi="Avenir Book"/>
        </w:rPr>
      </w:pPr>
      <w:r w:rsidRPr="00B06331">
        <w:rPr>
          <w:rFonts w:ascii="Avenir Book" w:hAnsi="Avenir Book"/>
        </w:rPr>
        <w:t>T</w:t>
      </w:r>
      <w:r w:rsidR="003B3B17" w:rsidRPr="00B06331">
        <w:rPr>
          <w:rFonts w:ascii="Avenir Book" w:hAnsi="Avenir Book"/>
        </w:rPr>
        <w:t xml:space="preserve">he ANR sector has emerged as one of the sectors where poor planning has put farmers on a collision path with pastoralists, ecology, industrialists, </w:t>
      </w:r>
      <w:r w:rsidR="00E67D33" w:rsidRPr="00B06331">
        <w:rPr>
          <w:rFonts w:ascii="Avenir Book" w:hAnsi="Avenir Book"/>
        </w:rPr>
        <w:t>and urbanization. T</w:t>
      </w:r>
      <w:r w:rsidR="003B3B17" w:rsidRPr="00B06331">
        <w:rPr>
          <w:rFonts w:ascii="Avenir Book" w:hAnsi="Avenir Book"/>
        </w:rPr>
        <w:t>he result of unregulated rural–urban migration over the past decades has been inappropriate land use including settlement by people on flood prone areas and dumping of w</w:t>
      </w:r>
      <w:r w:rsidR="00E67D33" w:rsidRPr="00B06331">
        <w:rPr>
          <w:rFonts w:ascii="Avenir Book" w:hAnsi="Avenir Book"/>
        </w:rPr>
        <w:t>aste i</w:t>
      </w:r>
      <w:r w:rsidR="003B3B17" w:rsidRPr="00B06331">
        <w:rPr>
          <w:rFonts w:ascii="Avenir Book" w:hAnsi="Avenir Book"/>
        </w:rPr>
        <w:t>n fra</w:t>
      </w:r>
      <w:r w:rsidR="00E67D33" w:rsidRPr="00B06331">
        <w:rPr>
          <w:rFonts w:ascii="Avenir Book" w:hAnsi="Avenir Book"/>
        </w:rPr>
        <w:t>gile ecologies. L</w:t>
      </w:r>
      <w:r w:rsidR="003B3B17" w:rsidRPr="00B06331">
        <w:rPr>
          <w:rFonts w:ascii="Avenir Book" w:hAnsi="Avenir Book"/>
        </w:rPr>
        <w:t xml:space="preserve">and rights are governed by customary law, which tends to discriminate against women who constitute the majority in agriculture. This has negative implications for investments and ultimately on the productivity of </w:t>
      </w:r>
      <w:r w:rsidR="00E67D33" w:rsidRPr="00B06331">
        <w:rPr>
          <w:rFonts w:ascii="Avenir Book" w:hAnsi="Avenir Book"/>
        </w:rPr>
        <w:t>the land. P</w:t>
      </w:r>
      <w:r w:rsidR="003B3B17" w:rsidRPr="00B06331">
        <w:rPr>
          <w:rFonts w:ascii="Avenir Book" w:hAnsi="Avenir Book"/>
        </w:rPr>
        <w:t>arks and wildlife faces peculiar problems relating to degradation of the habitat resulting to biodiversity loss, human wildlife conflict, inadequate capacity, and limited private sector involvement in biological resources management.</w:t>
      </w:r>
    </w:p>
    <w:p w:rsidR="005D5E1C" w:rsidRPr="00B06331" w:rsidRDefault="005D5E1C">
      <w:pPr>
        <w:spacing w:after="160" w:line="259" w:lineRule="auto"/>
        <w:sectPr w:rsidR="005D5E1C" w:rsidRPr="00B06331" w:rsidSect="003B3B17">
          <w:pgSz w:w="12240" w:h="15840"/>
          <w:pgMar w:top="1440" w:right="1440" w:bottom="1440" w:left="1440" w:header="720" w:footer="720" w:gutter="0"/>
          <w:cols w:space="720"/>
          <w:docGrid w:linePitch="360"/>
        </w:sectPr>
      </w:pPr>
    </w:p>
    <w:p w:rsidR="005D5E1C" w:rsidRPr="00B06331" w:rsidRDefault="005D5E1C" w:rsidP="005D5E1C">
      <w:pPr>
        <w:rPr>
          <w:rFonts w:ascii="Avenir Book" w:hAnsi="Avenir Book"/>
          <w:b/>
          <w:sz w:val="20"/>
          <w:szCs w:val="24"/>
        </w:rPr>
      </w:pPr>
      <w:r w:rsidRPr="00B06331">
        <w:rPr>
          <w:rFonts w:ascii="Avenir Book" w:hAnsi="Avenir Book"/>
          <w:b/>
          <w:sz w:val="20"/>
          <w:szCs w:val="24"/>
        </w:rPr>
        <w:lastRenderedPageBreak/>
        <w:t xml:space="preserve">Table 5. 1: Key Issues to address in Environment, Natural Resources, Climate Change, Land Use Planning, and Decentralization </w:t>
      </w:r>
    </w:p>
    <w:tbl>
      <w:tblPr>
        <w:tblStyle w:val="GridTable4-Accent12"/>
        <w:tblW w:w="0" w:type="auto"/>
        <w:tblLook w:val="04A0"/>
      </w:tblPr>
      <w:tblGrid>
        <w:gridCol w:w="1918"/>
        <w:gridCol w:w="10610"/>
      </w:tblGrid>
      <w:tr w:rsidR="005D5E1C" w:rsidRPr="00B06331" w:rsidTr="000B4D46">
        <w:trPr>
          <w:cnfStyle w:val="100000000000"/>
        </w:trPr>
        <w:tc>
          <w:tcPr>
            <w:cnfStyle w:val="001000000000"/>
            <w:tcW w:w="1918" w:type="dxa"/>
          </w:tcPr>
          <w:p w:rsidR="005D5E1C" w:rsidRPr="00B06331" w:rsidRDefault="005D5E1C" w:rsidP="000B4D46">
            <w:pPr>
              <w:spacing w:after="0" w:line="240" w:lineRule="auto"/>
              <w:rPr>
                <w:rFonts w:ascii="Avenir Book" w:hAnsi="Avenir Book"/>
                <w:bCs w:val="0"/>
                <w:color w:val="FFFFFF"/>
                <w:szCs w:val="24"/>
              </w:rPr>
            </w:pPr>
            <w:r w:rsidRPr="00B06331">
              <w:rPr>
                <w:rFonts w:ascii="Avenir Book" w:hAnsi="Avenir Book"/>
                <w:bCs w:val="0"/>
                <w:color w:val="FFFFFF"/>
                <w:szCs w:val="24"/>
              </w:rPr>
              <w:t>Thematic Area</w:t>
            </w:r>
          </w:p>
        </w:tc>
        <w:tc>
          <w:tcPr>
            <w:tcW w:w="10610" w:type="dxa"/>
          </w:tcPr>
          <w:p w:rsidR="005D5E1C" w:rsidRPr="00B06331" w:rsidRDefault="005D5E1C" w:rsidP="000B4D46">
            <w:pPr>
              <w:spacing w:after="0" w:line="240" w:lineRule="auto"/>
              <w:cnfStyle w:val="100000000000"/>
              <w:rPr>
                <w:rFonts w:ascii="Avenir Book" w:hAnsi="Avenir Book"/>
                <w:bCs w:val="0"/>
                <w:color w:val="FFFFFF"/>
                <w:szCs w:val="24"/>
              </w:rPr>
            </w:pPr>
            <w:r w:rsidRPr="00B06331">
              <w:rPr>
                <w:rFonts w:ascii="Avenir Book" w:hAnsi="Avenir Book"/>
                <w:bCs w:val="0"/>
                <w:color w:val="FFFFFF"/>
                <w:szCs w:val="24"/>
              </w:rPr>
              <w:t xml:space="preserve">Key Issues to Address </w:t>
            </w:r>
          </w:p>
        </w:tc>
      </w:tr>
      <w:tr w:rsidR="005D5E1C" w:rsidRPr="00B06331" w:rsidTr="000B4D46">
        <w:trPr>
          <w:cnfStyle w:val="000000100000"/>
        </w:trPr>
        <w:tc>
          <w:tcPr>
            <w:cnfStyle w:val="001000000000"/>
            <w:tcW w:w="1918" w:type="dxa"/>
          </w:tcPr>
          <w:p w:rsidR="005D5E1C" w:rsidRPr="00B06331" w:rsidRDefault="005D5E1C" w:rsidP="000B4D46">
            <w:pPr>
              <w:spacing w:after="0" w:line="240" w:lineRule="auto"/>
              <w:rPr>
                <w:bCs w:val="0"/>
                <w:i/>
              </w:rPr>
            </w:pPr>
            <w:r w:rsidRPr="00B06331">
              <w:rPr>
                <w:rFonts w:ascii="Avenir Book" w:hAnsi="Avenir Book"/>
                <w:bCs w:val="0"/>
                <w:i/>
                <w:szCs w:val="24"/>
              </w:rPr>
              <w:t>Environment, Natural Resources, and Climate Change</w:t>
            </w:r>
          </w:p>
        </w:tc>
        <w:tc>
          <w:tcPr>
            <w:tcW w:w="10610" w:type="dxa"/>
          </w:tcPr>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 xml:space="preserve">The Gambia is susceptible to the vagaries of the environment and climate change, droughts and flooding which cause much damage to farmlands, settlements, and livestock. </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 xml:space="preserve">The major issues affecting the environmental sector are land degradation, coastal erosion, loss of forest cover, biodiversity loss, ineffective waste management and the management of pesticides. </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 xml:space="preserve">Deforestation through illegal logging and bushfires, and sand mining and illegal settlements and other uncontrolled activities are the main contributing factors in a situation already made precarious by climate change. </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The impact of Climate Change (CC) has emerged as one of the most significant external factor hindering the performance of the growth driving sectors, especially agriculture, tourism and industry which have the greatest impact on the economy.</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 xml:space="preserve">The increase in temperature and decrease in rainfall resulted in a 3% overall reduction in groundwater recharge and the migration of the River Gambia’s Saline Front by about 250m upstream. This has ultimately caused water shortage as well as a reduction in arable land available for agriculture and therefore a 21 to 44% decrease in food crop production. </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Some of the water points have dried up – adversely affecting livestock production in the country. CC has exposed the communities to serious health risks associated with flooding such as malaria and diarrheal diseases.</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 xml:space="preserve">About 92 square km of the coastal zone, including the city of Banjul, risk being inundated and the mangrove systems on St. Mary’s Island and </w:t>
            </w:r>
            <w:r w:rsidR="00010603" w:rsidRPr="00B06331">
              <w:rPr>
                <w:rFonts w:ascii="Avenir Book" w:hAnsi="Avenir Book"/>
                <w:szCs w:val="24"/>
              </w:rPr>
              <w:t>Combo</w:t>
            </w:r>
            <w:r w:rsidRPr="00B06331">
              <w:rPr>
                <w:rFonts w:ascii="Avenir Book" w:hAnsi="Avenir Book"/>
                <w:szCs w:val="24"/>
              </w:rPr>
              <w:t xml:space="preserve"> St. Mary and the strand plains from Barra to </w:t>
            </w:r>
            <w:r w:rsidR="00010603" w:rsidRPr="00B06331">
              <w:rPr>
                <w:rFonts w:ascii="Avenir Book" w:hAnsi="Avenir Book"/>
                <w:szCs w:val="24"/>
              </w:rPr>
              <w:t>Bundied</w:t>
            </w:r>
            <w:r w:rsidRPr="00B06331">
              <w:rPr>
                <w:rFonts w:ascii="Avenir Book" w:hAnsi="Avenir Book"/>
                <w:szCs w:val="24"/>
              </w:rPr>
              <w:t xml:space="preserve"> Point risk being be lost because of CC.</w:t>
            </w:r>
          </w:p>
          <w:p w:rsidR="005D5E1C" w:rsidRPr="00B06331" w:rsidRDefault="005D5E1C" w:rsidP="000B4D46">
            <w:pPr>
              <w:pStyle w:val="ListParagraph"/>
              <w:numPr>
                <w:ilvl w:val="0"/>
                <w:numId w:val="103"/>
              </w:numPr>
              <w:spacing w:after="0"/>
              <w:jc w:val="both"/>
              <w:cnfStyle w:val="000000100000"/>
              <w:rPr>
                <w:rFonts w:ascii="Avenir Book" w:hAnsi="Avenir Book"/>
                <w:szCs w:val="24"/>
              </w:rPr>
            </w:pPr>
            <w:r w:rsidRPr="00B06331">
              <w:rPr>
                <w:rFonts w:ascii="Avenir Book" w:hAnsi="Avenir Book"/>
                <w:szCs w:val="24"/>
              </w:rPr>
              <w:t xml:space="preserve">The Gambia continues to grapple with unequal access to the Kyoto Protocol Clean Development Mechanism (CDM) because of low potential for cost effectiveness due to the size of its economy. </w:t>
            </w:r>
          </w:p>
          <w:p w:rsidR="005D5E1C" w:rsidRPr="00B06331" w:rsidRDefault="005D5E1C" w:rsidP="000B4D46">
            <w:pPr>
              <w:pStyle w:val="ListParagraph"/>
              <w:spacing w:after="0"/>
              <w:ind w:left="0"/>
              <w:jc w:val="both"/>
              <w:cnfStyle w:val="000000100000"/>
            </w:pPr>
          </w:p>
        </w:tc>
      </w:tr>
      <w:tr w:rsidR="005D5E1C" w:rsidRPr="00B06331" w:rsidTr="000B4D46">
        <w:tc>
          <w:tcPr>
            <w:cnfStyle w:val="001000000000"/>
            <w:tcW w:w="1918" w:type="dxa"/>
          </w:tcPr>
          <w:p w:rsidR="005D5E1C" w:rsidRPr="00B06331" w:rsidRDefault="005D5E1C" w:rsidP="000B4D46">
            <w:pPr>
              <w:spacing w:after="0" w:line="240" w:lineRule="auto"/>
              <w:rPr>
                <w:rFonts w:ascii="Avenir Book" w:hAnsi="Avenir Book"/>
                <w:bCs w:val="0"/>
                <w:i/>
                <w:szCs w:val="24"/>
              </w:rPr>
            </w:pPr>
            <w:r w:rsidRPr="00B06331">
              <w:rPr>
                <w:rFonts w:ascii="Avenir Book" w:hAnsi="Avenir Book"/>
                <w:bCs w:val="0"/>
                <w:i/>
                <w:szCs w:val="24"/>
              </w:rPr>
              <w:t xml:space="preserve">Land Use Planning and Decentralization </w:t>
            </w:r>
          </w:p>
          <w:p w:rsidR="005D5E1C" w:rsidRPr="00B06331" w:rsidRDefault="005D5E1C" w:rsidP="000B4D46">
            <w:pPr>
              <w:spacing w:after="0" w:line="240" w:lineRule="auto"/>
              <w:rPr>
                <w:bCs w:val="0"/>
                <w:i/>
              </w:rPr>
            </w:pPr>
          </w:p>
        </w:tc>
        <w:tc>
          <w:tcPr>
            <w:tcW w:w="10610" w:type="dxa"/>
          </w:tcPr>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 xml:space="preserve">A surge in competition over land use and resources threatens not only sustainable land management but also deprives local rural communities control over and access to land and natural resources upon which their livelihoods depend. </w:t>
            </w:r>
          </w:p>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A gradual waning of political will, inadequate funding, low competences in councils, role conflicts between the centre and the periphery and between councils and new semi-autonomous entities,  dwindling donor support and a tight government budget has stalled the decentralization process in The Gambia</w:t>
            </w:r>
          </w:p>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Due to population pressures, land in the Kanifing and Brikama municipalities has appreciated in value forcing many poor people to relocate elsewhere, thus excluding them from easy access to land.</w:t>
            </w:r>
          </w:p>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The ANR sector’s poor planning has put farmers on a collision path with pastoralists, ecology, industrialists, and urbanization.</w:t>
            </w:r>
          </w:p>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 xml:space="preserve">Because of unregulated rural–urban migration over the past decades, there has been inappropriate land use including </w:t>
            </w:r>
            <w:r w:rsidRPr="00B06331">
              <w:rPr>
                <w:rFonts w:ascii="Avenir Book" w:hAnsi="Avenir Book"/>
                <w:szCs w:val="24"/>
              </w:rPr>
              <w:lastRenderedPageBreak/>
              <w:t xml:space="preserve">settlement by people on flood prone areas and dumping of waste on fragile ecologies. </w:t>
            </w:r>
          </w:p>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Land rights are governed by customary law, which tends to discriminate against women who constitute the majority in agriculture. This has negative implications for investments and ultimately on the productivity of the land.</w:t>
            </w:r>
          </w:p>
          <w:p w:rsidR="005D5E1C" w:rsidRPr="00B06331" w:rsidRDefault="005D5E1C" w:rsidP="000B4D46">
            <w:pPr>
              <w:pStyle w:val="ListParagraph"/>
              <w:numPr>
                <w:ilvl w:val="0"/>
                <w:numId w:val="104"/>
              </w:numPr>
              <w:spacing w:after="0"/>
              <w:jc w:val="both"/>
              <w:cnfStyle w:val="000000000000"/>
              <w:rPr>
                <w:rFonts w:ascii="Avenir Book" w:hAnsi="Avenir Book"/>
                <w:szCs w:val="24"/>
              </w:rPr>
            </w:pPr>
            <w:r w:rsidRPr="00B06331">
              <w:rPr>
                <w:rFonts w:ascii="Avenir Book" w:hAnsi="Avenir Book"/>
                <w:szCs w:val="24"/>
              </w:rPr>
              <w:t>The urban master plan of Banjul (last one expired in 2000) and the GBA master plan are not sensitive to climate change and doesn’t address sea level rise, storm water management, flood prone areas mapping and waste management aspect</w:t>
            </w:r>
          </w:p>
          <w:p w:rsidR="005D5E1C" w:rsidRPr="00B06331" w:rsidRDefault="005D5E1C" w:rsidP="000B4D46">
            <w:pPr>
              <w:pStyle w:val="ListParagraph"/>
              <w:numPr>
                <w:ilvl w:val="0"/>
                <w:numId w:val="104"/>
              </w:numPr>
              <w:spacing w:after="0"/>
              <w:jc w:val="both"/>
              <w:cnfStyle w:val="000000000000"/>
              <w:rPr>
                <w:rFonts w:ascii="Avenir Book" w:hAnsi="Avenir Book"/>
              </w:rPr>
            </w:pPr>
            <w:r w:rsidRPr="00B06331">
              <w:rPr>
                <w:rFonts w:ascii="Avenir Book" w:hAnsi="Avenir Book"/>
                <w:szCs w:val="24"/>
              </w:rPr>
              <w:t>Forestry continues to be challenged by frequent forest fires, over exploitation of forest resources for biomass, illegal logging, rapid land use change patterns (conflict with agriculture, development of road networks and other infrastructure, etc.) and institutional capacity constraints.</w:t>
            </w:r>
          </w:p>
        </w:tc>
      </w:tr>
    </w:tbl>
    <w:p w:rsidR="003B3B17" w:rsidRPr="00B06331" w:rsidRDefault="003B3B17" w:rsidP="005D5E1C">
      <w:pPr>
        <w:spacing w:after="160" w:line="259" w:lineRule="auto"/>
        <w:sectPr w:rsidR="003B3B17" w:rsidRPr="00B06331" w:rsidSect="005D5E1C">
          <w:type w:val="evenPage"/>
          <w:pgSz w:w="15840" w:h="12240" w:orient="landscape"/>
          <w:pgMar w:top="1440" w:right="1440" w:bottom="1440" w:left="1440" w:header="720" w:footer="720" w:gutter="0"/>
          <w:cols w:space="720"/>
          <w:docGrid w:linePitch="360"/>
        </w:sectPr>
      </w:pPr>
    </w:p>
    <w:p w:rsidR="00D90C92" w:rsidRPr="00B06331" w:rsidRDefault="00D90C92" w:rsidP="00D90C92">
      <w:pPr>
        <w:pStyle w:val="Heading1"/>
        <w:rPr>
          <w:rFonts w:asciiTheme="minorHAnsi" w:hAnsiTheme="minorHAnsi" w:cstheme="minorHAnsi"/>
          <w:b/>
          <w:sz w:val="22"/>
          <w:szCs w:val="22"/>
        </w:rPr>
      </w:pPr>
      <w:bookmarkStart w:id="101" w:name="_Toc492364764"/>
      <w:bookmarkStart w:id="102" w:name="_Toc488689314"/>
      <w:r w:rsidRPr="00B06331">
        <w:rPr>
          <w:rFonts w:asciiTheme="minorHAnsi" w:hAnsiTheme="minorHAnsi" w:cstheme="minorHAnsi"/>
          <w:b/>
          <w:sz w:val="22"/>
          <w:szCs w:val="22"/>
        </w:rPr>
        <w:lastRenderedPageBreak/>
        <w:t>Chapter 6 Regional Poverty, Demographic and Socio-Economic Profiles</w:t>
      </w:r>
      <w:bookmarkEnd w:id="101"/>
    </w:p>
    <w:bookmarkEnd w:id="102"/>
    <w:p w:rsidR="00D90C92" w:rsidRPr="00B06331" w:rsidRDefault="00D90C92" w:rsidP="00D90C92">
      <w:pPr>
        <w:contextualSpacing/>
        <w:jc w:val="both"/>
        <w:rPr>
          <w:rFonts w:ascii="Avenir Book" w:hAnsi="Avenir Book"/>
        </w:rPr>
      </w:pPr>
    </w:p>
    <w:p w:rsidR="00D90C92" w:rsidRPr="00B06331" w:rsidRDefault="00D90C92" w:rsidP="00D90C92">
      <w:pPr>
        <w:contextualSpacing/>
        <w:jc w:val="both"/>
        <w:rPr>
          <w:rFonts w:ascii="Avenir Book" w:hAnsi="Avenir Book"/>
        </w:rPr>
      </w:pPr>
      <w:r w:rsidRPr="00B06331">
        <w:rPr>
          <w:rFonts w:ascii="Avenir Book" w:hAnsi="Avenir Book"/>
        </w:rPr>
        <w:t>Drawing mainly on the Integrated Household Survey of The Gambia (2015/16), released in May 2017, the 2013 Population Census, the 2013 Demographic and Health Survey (DHS) and other sources, Chapter 6 provides  a detailed picture of the various economic and social indicators of households across different regions of the country. Thechapter covers the following aspects: demographic characteristics and migration; access to education and health; labor and employment; poverty and food security; access to basic services and household assets;and infrastructure.</w:t>
      </w:r>
    </w:p>
    <w:p w:rsidR="00D90C92" w:rsidRPr="00B06331" w:rsidRDefault="00D90C92" w:rsidP="00D90C92">
      <w:pPr>
        <w:contextualSpacing/>
        <w:jc w:val="both"/>
        <w:rPr>
          <w:rFonts w:ascii="Avenir Book" w:hAnsi="Avenir Book"/>
        </w:rPr>
      </w:pPr>
    </w:p>
    <w:p w:rsidR="00D90C92" w:rsidRPr="00B06331" w:rsidRDefault="00D90C92" w:rsidP="00D90C92">
      <w:pPr>
        <w:jc w:val="both"/>
        <w:rPr>
          <w:rFonts w:ascii="Avenir Book" w:hAnsi="Avenir Book"/>
        </w:rPr>
      </w:pPr>
      <w:r w:rsidRPr="00B06331">
        <w:rPr>
          <w:rFonts w:ascii="Avenir Book" w:hAnsi="Avenir Book"/>
        </w:rPr>
        <w:t>Differences between urban and rural Gambia, gender, as well as between the various administrative regions are highlighted as these have important policy implications and should inform the priorities of Government for the new National Development Plan (2018-2021).</w:t>
      </w:r>
    </w:p>
    <w:p w:rsidR="00D90C92" w:rsidRPr="00B06331" w:rsidRDefault="00D90C92" w:rsidP="00D90C92">
      <w:pPr>
        <w:pStyle w:val="Heading2"/>
        <w:rPr>
          <w:rFonts w:asciiTheme="minorHAnsi" w:hAnsiTheme="minorHAnsi" w:cstheme="minorHAnsi"/>
          <w:sz w:val="22"/>
          <w:szCs w:val="22"/>
        </w:rPr>
      </w:pPr>
      <w:bookmarkStart w:id="103" w:name="_Toc492364765"/>
      <w:r w:rsidRPr="00B06331">
        <w:rPr>
          <w:rFonts w:asciiTheme="minorHAnsi" w:hAnsiTheme="minorHAnsi" w:cstheme="minorHAnsi"/>
          <w:sz w:val="22"/>
          <w:szCs w:val="22"/>
        </w:rPr>
        <w:t>6.1 Demographic characteristics</w:t>
      </w:r>
      <w:bookmarkEnd w:id="103"/>
    </w:p>
    <w:tbl>
      <w:tblPr>
        <w:tblpPr w:leftFromText="180" w:rightFromText="180" w:vertAnchor="text" w:horzAnchor="margin" w:tblpXSpec="right" w:tblpY="541"/>
        <w:tblOverlap w:val="never"/>
        <w:tblW w:w="4644" w:type="dxa"/>
        <w:tblLook w:val="04A0"/>
      </w:tblPr>
      <w:tblGrid>
        <w:gridCol w:w="4644"/>
      </w:tblGrid>
      <w:tr w:rsidR="00D90C92" w:rsidRPr="00B06331" w:rsidTr="00C97931">
        <w:tc>
          <w:tcPr>
            <w:tcW w:w="4644" w:type="dxa"/>
            <w:shd w:val="clear" w:color="auto" w:fill="000000"/>
          </w:tcPr>
          <w:p w:rsidR="00D90C92" w:rsidRPr="00B06331" w:rsidRDefault="00D90C92" w:rsidP="00C97931">
            <w:pPr>
              <w:jc w:val="center"/>
              <w:rPr>
                <w:rFonts w:ascii="Avenir Book" w:hAnsi="Avenir Book"/>
                <w:b/>
                <w:sz w:val="20"/>
                <w:szCs w:val="24"/>
              </w:rPr>
            </w:pPr>
            <w:r w:rsidRPr="00B06331">
              <w:rPr>
                <w:rFonts w:ascii="Avenir Book" w:hAnsi="Avenir Book"/>
                <w:b/>
                <w:sz w:val="20"/>
                <w:szCs w:val="24"/>
              </w:rPr>
              <w:t>Box 6.1: Key Demographic Features</w:t>
            </w:r>
          </w:p>
        </w:tc>
      </w:tr>
      <w:tr w:rsidR="00D90C92" w:rsidRPr="00B06331" w:rsidTr="00C97931">
        <w:tc>
          <w:tcPr>
            <w:tcW w:w="4644" w:type="dxa"/>
          </w:tcPr>
          <w:p w:rsidR="00D90C92" w:rsidRPr="00B06331" w:rsidRDefault="00D90C92" w:rsidP="00991700">
            <w:pPr>
              <w:pStyle w:val="ListParagraph"/>
              <w:numPr>
                <w:ilvl w:val="0"/>
                <w:numId w:val="115"/>
              </w:numPr>
              <w:spacing w:after="0"/>
              <w:jc w:val="both"/>
              <w:rPr>
                <w:rFonts w:ascii="Avenir Book" w:hAnsi="Avenir Book"/>
                <w:b/>
                <w:color w:val="4F81BD"/>
                <w:szCs w:val="24"/>
              </w:rPr>
            </w:pPr>
            <w:r w:rsidRPr="00B06331">
              <w:rPr>
                <w:rFonts w:ascii="Avenir Book" w:hAnsi="Avenir Book"/>
                <w:b/>
                <w:color w:val="4F81BD"/>
                <w:szCs w:val="24"/>
              </w:rPr>
              <w:t>Total Population: 1,922,950</w:t>
            </w:r>
          </w:p>
          <w:p w:rsidR="00D90C92" w:rsidRPr="00B06331" w:rsidRDefault="00D90C92" w:rsidP="00991700">
            <w:pPr>
              <w:pStyle w:val="ListParagraph"/>
              <w:numPr>
                <w:ilvl w:val="0"/>
                <w:numId w:val="115"/>
              </w:numPr>
              <w:spacing w:after="0"/>
              <w:jc w:val="both"/>
              <w:rPr>
                <w:rFonts w:ascii="Avenir Book" w:hAnsi="Avenir Book"/>
                <w:b/>
                <w:color w:val="4F81BD"/>
                <w:szCs w:val="24"/>
              </w:rPr>
            </w:pPr>
            <w:r w:rsidRPr="00B06331">
              <w:rPr>
                <w:rFonts w:ascii="Avenir Book" w:hAnsi="Avenir Book"/>
                <w:b/>
                <w:color w:val="4F81BD"/>
                <w:szCs w:val="24"/>
              </w:rPr>
              <w:t>55% urban and 45% rural;</w:t>
            </w:r>
          </w:p>
          <w:p w:rsidR="00D90C92" w:rsidRPr="00B06331" w:rsidRDefault="00D90C92" w:rsidP="00991700">
            <w:pPr>
              <w:pStyle w:val="ListParagraph"/>
              <w:numPr>
                <w:ilvl w:val="0"/>
                <w:numId w:val="115"/>
              </w:numPr>
              <w:spacing w:after="0"/>
              <w:jc w:val="both"/>
              <w:rPr>
                <w:rFonts w:ascii="Avenir Book" w:hAnsi="Avenir Book"/>
                <w:b/>
                <w:color w:val="4F81BD"/>
                <w:szCs w:val="24"/>
              </w:rPr>
            </w:pPr>
            <w:r w:rsidRPr="00B06331">
              <w:rPr>
                <w:rFonts w:ascii="Avenir Book" w:hAnsi="Avenir Book"/>
                <w:b/>
                <w:color w:val="4F81BD"/>
                <w:szCs w:val="24"/>
              </w:rPr>
              <w:t>52.4% female and 47.6% male;</w:t>
            </w:r>
          </w:p>
          <w:p w:rsidR="00D90C92" w:rsidRPr="00B06331" w:rsidRDefault="00D90C92" w:rsidP="00991700">
            <w:pPr>
              <w:pStyle w:val="ListParagraph"/>
              <w:numPr>
                <w:ilvl w:val="0"/>
                <w:numId w:val="115"/>
              </w:numPr>
              <w:spacing w:after="0"/>
              <w:jc w:val="both"/>
              <w:rPr>
                <w:rFonts w:ascii="Avenir Book" w:hAnsi="Avenir Book"/>
                <w:b/>
                <w:color w:val="4F81BD"/>
                <w:szCs w:val="24"/>
              </w:rPr>
            </w:pPr>
            <w:r w:rsidRPr="00B06331">
              <w:rPr>
                <w:rFonts w:ascii="Avenir Book" w:hAnsi="Avenir Book"/>
                <w:b/>
                <w:color w:val="4F81BD"/>
                <w:szCs w:val="24"/>
              </w:rPr>
              <w:t>71% under the age of 30 years;</w:t>
            </w:r>
          </w:p>
          <w:p w:rsidR="00D90C92" w:rsidRPr="00B06331" w:rsidRDefault="00D90C92" w:rsidP="00991700">
            <w:pPr>
              <w:pStyle w:val="ListParagraph"/>
              <w:numPr>
                <w:ilvl w:val="0"/>
                <w:numId w:val="115"/>
              </w:numPr>
              <w:spacing w:after="0"/>
              <w:jc w:val="both"/>
              <w:rPr>
                <w:rFonts w:ascii="Avenir Book" w:hAnsi="Avenir Book"/>
                <w:b/>
                <w:color w:val="4F81BD"/>
                <w:szCs w:val="24"/>
              </w:rPr>
            </w:pPr>
            <w:r w:rsidRPr="00B06331">
              <w:rPr>
                <w:rFonts w:ascii="Avenir Book" w:hAnsi="Avenir Book"/>
                <w:b/>
                <w:color w:val="4F81BD"/>
                <w:szCs w:val="24"/>
              </w:rPr>
              <w:t>53.5% in the labor force bracket (15-64 years)</w:t>
            </w:r>
          </w:p>
          <w:p w:rsidR="00D90C92" w:rsidRPr="00B06331" w:rsidRDefault="00D90C92" w:rsidP="00991700">
            <w:pPr>
              <w:pStyle w:val="ListParagraph"/>
              <w:numPr>
                <w:ilvl w:val="0"/>
                <w:numId w:val="115"/>
              </w:numPr>
              <w:spacing w:after="0"/>
              <w:jc w:val="both"/>
              <w:rPr>
                <w:rFonts w:ascii="Avenir Book" w:hAnsi="Avenir Book"/>
                <w:szCs w:val="24"/>
              </w:rPr>
            </w:pPr>
            <w:r w:rsidRPr="00B06331">
              <w:rPr>
                <w:rFonts w:ascii="Avenir Book" w:hAnsi="Avenir Book"/>
                <w:b/>
                <w:color w:val="4F81BD"/>
                <w:szCs w:val="24"/>
              </w:rPr>
              <w:t>Age-dependency ratio of 87</w:t>
            </w:r>
          </w:p>
        </w:tc>
      </w:tr>
    </w:tbl>
    <w:p w:rsidR="00D90C92" w:rsidRPr="00B06331" w:rsidRDefault="00D90C92" w:rsidP="00D90C92">
      <w:pPr>
        <w:jc w:val="both"/>
        <w:rPr>
          <w:rFonts w:ascii="Avenir Book" w:hAnsi="Avenir Book"/>
        </w:rPr>
      </w:pPr>
      <w:r w:rsidRPr="00B06331">
        <w:rPr>
          <w:rFonts w:ascii="Avenir Book" w:hAnsi="Avenir Book"/>
        </w:rPr>
        <w:t xml:space="preserve">In 2013, the total estimated population of The Gambia stood at </w:t>
      </w:r>
      <w:r w:rsidRPr="00B06331">
        <w:rPr>
          <w:sz w:val="23"/>
          <w:szCs w:val="23"/>
        </w:rPr>
        <w:t>1,857,181</w:t>
      </w:r>
      <w:r w:rsidRPr="00B06331">
        <w:rPr>
          <w:rFonts w:ascii="Avenir Book" w:hAnsi="Avenir Book"/>
        </w:rPr>
        <w:t>, the key features of which are presented in the Box 2below.</w:t>
      </w:r>
    </w:p>
    <w:p w:rsidR="00D90C92" w:rsidRPr="00B06331" w:rsidRDefault="00D90C92" w:rsidP="00D90C92">
      <w:pPr>
        <w:jc w:val="both"/>
        <w:rPr>
          <w:rFonts w:ascii="Avenir Book" w:hAnsi="Avenir Book"/>
          <w:sz w:val="24"/>
          <w:szCs w:val="24"/>
        </w:rPr>
      </w:pPr>
      <w:r w:rsidRPr="00B06331">
        <w:rPr>
          <w:rFonts w:ascii="Avenir Book" w:hAnsi="Avenir Book"/>
          <w:szCs w:val="24"/>
        </w:rPr>
        <w:t>As can be noted, the country has a very youthful population with over 70% under the age of 30 years.Other demographic features that stand out are the very high concentration of the population in the urban centers and the variation in population density and household size across the different regions as shown in the figures below</w:t>
      </w:r>
      <w:r w:rsidRPr="00B06331">
        <w:rPr>
          <w:rFonts w:ascii="Avenir Book" w:hAnsi="Avenir Book"/>
          <w:sz w:val="24"/>
          <w:szCs w:val="24"/>
        </w:rPr>
        <w:t>.</w:t>
      </w:r>
    </w:p>
    <w:p w:rsidR="00D90C92" w:rsidRPr="00B06331" w:rsidRDefault="00D90C92" w:rsidP="00D90C92">
      <w:pPr>
        <w:spacing w:after="0"/>
        <w:jc w:val="both"/>
        <w:rPr>
          <w:rFonts w:ascii="Avenir Book" w:hAnsi="Avenir Book"/>
          <w:b/>
          <w:sz w:val="18"/>
          <w:szCs w:val="24"/>
        </w:rPr>
      </w:pPr>
    </w:p>
    <w:p w:rsidR="00D90C92" w:rsidRPr="00B06331" w:rsidRDefault="00D90C92" w:rsidP="00D90C92">
      <w:pPr>
        <w:spacing w:after="0"/>
        <w:jc w:val="both"/>
        <w:rPr>
          <w:rFonts w:ascii="Avenir Book" w:hAnsi="Avenir Book"/>
          <w:b/>
          <w:sz w:val="18"/>
          <w:szCs w:val="24"/>
        </w:rPr>
      </w:pPr>
      <w:r w:rsidRPr="00B06331">
        <w:rPr>
          <w:rFonts w:ascii="Avenir Book" w:hAnsi="Avenir Book"/>
          <w:b/>
          <w:sz w:val="18"/>
          <w:szCs w:val="24"/>
        </w:rPr>
        <w:t>Figure 6.1: Population by Administrative Area</w:t>
      </w:r>
      <w:r w:rsidRPr="00B06331">
        <w:rPr>
          <w:rFonts w:ascii="Avenir Book" w:hAnsi="Avenir Book"/>
          <w:b/>
          <w:sz w:val="18"/>
          <w:szCs w:val="24"/>
        </w:rPr>
        <w:tab/>
        <w:t>Figure 6.2: Population Density by Administrative Area</w:t>
      </w:r>
    </w:p>
    <w:p w:rsidR="00D90C92" w:rsidRPr="00B06331" w:rsidRDefault="00D90C92" w:rsidP="00D90C92">
      <w:pPr>
        <w:spacing w:after="0"/>
        <w:rPr>
          <w:noProof/>
        </w:rPr>
      </w:pPr>
      <w:r w:rsidRPr="00B06331">
        <w:rPr>
          <w:noProof/>
        </w:rPr>
        <w:drawing>
          <wp:inline distT="0" distB="0" distL="0" distR="0">
            <wp:extent cx="2828925" cy="2286000"/>
            <wp:effectExtent l="19050" t="0" r="9525" b="0"/>
            <wp:docPr id="5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4"/>
                    <a:srcRect/>
                    <a:stretch>
                      <a:fillRect/>
                    </a:stretch>
                  </pic:blipFill>
                  <pic:spPr bwMode="auto">
                    <a:xfrm>
                      <a:off x="0" y="0"/>
                      <a:ext cx="2828925" cy="2286000"/>
                    </a:xfrm>
                    <a:prstGeom prst="rect">
                      <a:avLst/>
                    </a:prstGeom>
                    <a:noFill/>
                    <a:ln w="9525">
                      <a:noFill/>
                      <a:miter lim="800000"/>
                      <a:headEnd/>
                      <a:tailEnd/>
                    </a:ln>
                  </pic:spPr>
                </pic:pic>
              </a:graphicData>
            </a:graphic>
          </wp:inline>
        </w:drawing>
      </w:r>
      <w:r w:rsidRPr="00B06331">
        <w:rPr>
          <w:noProof/>
        </w:rPr>
        <w:drawing>
          <wp:inline distT="0" distB="0" distL="0" distR="0">
            <wp:extent cx="2828925" cy="2286000"/>
            <wp:effectExtent l="19050" t="0" r="9525" b="0"/>
            <wp:docPr id="49"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5"/>
                    <a:srcRect/>
                    <a:stretch>
                      <a:fillRect/>
                    </a:stretch>
                  </pic:blipFill>
                  <pic:spPr bwMode="auto">
                    <a:xfrm>
                      <a:off x="0" y="0"/>
                      <a:ext cx="2828925" cy="2286000"/>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rPr>
      </w:pPr>
      <w:r w:rsidRPr="00B06331">
        <w:rPr>
          <w:rFonts w:ascii="Avenir Book" w:hAnsi="Avenir Book"/>
        </w:rPr>
        <w:lastRenderedPageBreak/>
        <w:t>It is evident that as in other developing countries, The Gambia is experiencing rapid urbanization which will make it necessary for Government to put in place appropriate institutional mechanisms and effective policies for integrated urban planning and management.</w:t>
      </w:r>
    </w:p>
    <w:p w:rsidR="00D90C92" w:rsidRPr="00B06331" w:rsidRDefault="00D90C92" w:rsidP="00D90C92">
      <w:pPr>
        <w:spacing w:after="0"/>
        <w:jc w:val="both"/>
        <w:rPr>
          <w:rFonts w:ascii="Avenir Book" w:hAnsi="Avenir Book"/>
          <w:b/>
          <w:sz w:val="18"/>
        </w:rPr>
      </w:pPr>
      <w:r w:rsidRPr="00B06331">
        <w:rPr>
          <w:rFonts w:ascii="Avenir Book" w:hAnsi="Avenir Book"/>
          <w:b/>
          <w:sz w:val="18"/>
        </w:rPr>
        <w:t>Figure 6.3: Average Household Size by Administrative Area</w:t>
      </w:r>
    </w:p>
    <w:p w:rsidR="00D90C92" w:rsidRPr="00B06331" w:rsidRDefault="00D90C92" w:rsidP="008D41AF">
      <w:pPr>
        <w:spacing w:after="0"/>
        <w:rPr>
          <w:rFonts w:ascii="Avenir Book" w:hAnsi="Avenir Book"/>
        </w:rPr>
      </w:pPr>
      <w:r w:rsidRPr="00B06331">
        <w:rPr>
          <w:noProof/>
        </w:rPr>
        <w:drawing>
          <wp:inline distT="0" distB="0" distL="0" distR="0">
            <wp:extent cx="5648325" cy="2562225"/>
            <wp:effectExtent l="19050" t="0" r="9525" b="0"/>
            <wp:docPr id="4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36"/>
                    <a:srcRect/>
                    <a:stretch>
                      <a:fillRect/>
                    </a:stretch>
                  </pic:blipFill>
                  <pic:spPr bwMode="auto">
                    <a:xfrm>
                      <a:off x="0" y="0"/>
                      <a:ext cx="5648325" cy="2562225"/>
                    </a:xfrm>
                    <a:prstGeom prst="rect">
                      <a:avLst/>
                    </a:prstGeom>
                    <a:noFill/>
                    <a:ln w="9525">
                      <a:noFill/>
                      <a:miter lim="800000"/>
                      <a:headEnd/>
                      <a:tailEnd/>
                    </a:ln>
                  </pic:spPr>
                </pic:pic>
              </a:graphicData>
            </a:graphic>
          </wp:inline>
        </w:drawing>
      </w:r>
    </w:p>
    <w:p w:rsidR="00D90C92" w:rsidRPr="00B06331" w:rsidRDefault="00D90C92" w:rsidP="008D41AF">
      <w:pPr>
        <w:pStyle w:val="Heading2"/>
        <w:rPr>
          <w:rFonts w:asciiTheme="minorHAnsi" w:hAnsiTheme="minorHAnsi" w:cstheme="minorHAnsi"/>
          <w:sz w:val="22"/>
          <w:szCs w:val="22"/>
        </w:rPr>
      </w:pPr>
      <w:bookmarkStart w:id="104" w:name="_Toc492364766"/>
      <w:r w:rsidRPr="00B06331">
        <w:rPr>
          <w:rFonts w:asciiTheme="minorHAnsi" w:hAnsiTheme="minorHAnsi" w:cstheme="minorHAnsi"/>
          <w:sz w:val="22"/>
          <w:szCs w:val="22"/>
        </w:rPr>
        <w:t>6.2 Poverty and Food Security</w:t>
      </w:r>
      <w:bookmarkEnd w:id="104"/>
    </w:p>
    <w:p w:rsidR="00D90C92" w:rsidRPr="00B06331" w:rsidRDefault="00D90C92" w:rsidP="00D90C92">
      <w:pPr>
        <w:jc w:val="both"/>
        <w:rPr>
          <w:rFonts w:ascii="Avenir Book" w:hAnsi="Avenir Book"/>
        </w:rPr>
      </w:pPr>
      <w:r w:rsidRPr="00B06331">
        <w:rPr>
          <w:rFonts w:ascii="Avenir Book" w:hAnsi="Avenir Book"/>
        </w:rPr>
        <w:t>Poverty levels have remained largely unchanged between 2010 and 2015, at respectively 48.4% and 48.6%. However, due to population increases the number of the poor has increased to 0.93 million in 2015/16 as compared to 0.79 million in 2010.</w:t>
      </w:r>
    </w:p>
    <w:p w:rsidR="00D90C92" w:rsidRPr="00B06331" w:rsidRDefault="00D90C92" w:rsidP="00D90C92">
      <w:pPr>
        <w:jc w:val="both"/>
        <w:rPr>
          <w:rFonts w:ascii="Avenir Book" w:hAnsi="Avenir Book"/>
        </w:rPr>
      </w:pPr>
      <w:r w:rsidRPr="00B06331">
        <w:rPr>
          <w:rFonts w:ascii="Avenir Book" w:hAnsi="Avenir Book"/>
        </w:rPr>
        <w:t>Poverty is becoming increasingly a rural phenomenon. While the two largest LGAs (Banjul and Kanifing), which are also urban, experienced reduction in poverty (Banjul by 4.7% to 10.8% in 2015; Kanifing by 6.6% to 17.3% in 2015), by contrast, rural areas experienced an increase in poverty of 5.3% - from 64.2% in 2010 to 69.5% in 2015. The depth and severity of poverty also increased in rural areas. Between 2010 and 2015, urban poverty increased by 16.6% while in rural areas it increased by 19%.</w:t>
      </w:r>
    </w:p>
    <w:p w:rsidR="00D90C92" w:rsidRPr="00B06331" w:rsidRDefault="00D90C92" w:rsidP="00D90C92">
      <w:pPr>
        <w:spacing w:after="0"/>
        <w:jc w:val="both"/>
        <w:rPr>
          <w:rFonts w:ascii="Avenir Book" w:hAnsi="Avenir Book"/>
          <w:b/>
          <w:sz w:val="18"/>
        </w:rPr>
      </w:pPr>
    </w:p>
    <w:p w:rsidR="00D90C92" w:rsidRPr="00B06331" w:rsidRDefault="00D90C92" w:rsidP="00D90C92">
      <w:pPr>
        <w:spacing w:after="0"/>
        <w:jc w:val="both"/>
        <w:rPr>
          <w:rFonts w:ascii="Avenir Book" w:hAnsi="Avenir Book"/>
          <w:b/>
          <w:sz w:val="18"/>
        </w:rPr>
      </w:pPr>
      <w:r w:rsidRPr="00B06331">
        <w:rPr>
          <w:rFonts w:ascii="Avenir Book" w:hAnsi="Avenir Book"/>
          <w:b/>
          <w:sz w:val="18"/>
        </w:rPr>
        <w:t xml:space="preserve">Figure 6.4: Incidence ofPoverty in Rural and Urban Areas </w:t>
      </w:r>
    </w:p>
    <w:p w:rsidR="00D90C92" w:rsidRPr="00B06331" w:rsidRDefault="00D90C92" w:rsidP="00D90C92">
      <w:pPr>
        <w:spacing w:after="0"/>
        <w:rPr>
          <w:rFonts w:ascii="Avenir Book" w:hAnsi="Avenir Book"/>
        </w:rPr>
      </w:pPr>
      <w:r w:rsidRPr="00B06331">
        <w:rPr>
          <w:rFonts w:ascii="Avenir Book" w:hAnsi="Avenir Book"/>
          <w:noProof/>
        </w:rPr>
        <w:drawing>
          <wp:inline distT="0" distB="0" distL="0" distR="0">
            <wp:extent cx="5276850" cy="1800225"/>
            <wp:effectExtent l="19050" t="0" r="0" b="0"/>
            <wp:docPr id="47"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37"/>
                    <a:srcRect/>
                    <a:stretch>
                      <a:fillRect/>
                    </a:stretch>
                  </pic:blipFill>
                  <pic:spPr bwMode="auto">
                    <a:xfrm>
                      <a:off x="0" y="0"/>
                      <a:ext cx="5276850" cy="1800225"/>
                    </a:xfrm>
                    <a:prstGeom prst="rect">
                      <a:avLst/>
                    </a:prstGeom>
                    <a:noFill/>
                    <a:ln w="9525">
                      <a:noFill/>
                      <a:miter lim="800000"/>
                      <a:headEnd/>
                      <a:tailEnd/>
                    </a:ln>
                  </pic:spPr>
                </pic:pic>
              </a:graphicData>
            </a:graphic>
          </wp:inline>
        </w:drawing>
      </w:r>
    </w:p>
    <w:p w:rsidR="00D90C92" w:rsidRPr="00B06331" w:rsidRDefault="00D90C92" w:rsidP="00D90C92">
      <w:pPr>
        <w:spacing w:after="0" w:line="240" w:lineRule="auto"/>
        <w:rPr>
          <w:rFonts w:ascii="Avenir Book" w:hAnsi="Avenir Book"/>
          <w:b/>
          <w:sz w:val="20"/>
        </w:rPr>
      </w:pPr>
    </w:p>
    <w:p w:rsidR="00D90C92" w:rsidRPr="00B06331" w:rsidRDefault="00D90C92" w:rsidP="00D90C92">
      <w:pPr>
        <w:spacing w:after="0" w:line="240" w:lineRule="auto"/>
        <w:rPr>
          <w:rFonts w:ascii="Avenir Book" w:hAnsi="Avenir Book"/>
          <w:b/>
          <w:sz w:val="20"/>
        </w:rPr>
      </w:pPr>
    </w:p>
    <w:p w:rsidR="00D13B0F" w:rsidRPr="00B06331" w:rsidRDefault="00D13B0F" w:rsidP="00D90C92">
      <w:pPr>
        <w:spacing w:after="0" w:line="240" w:lineRule="auto"/>
        <w:rPr>
          <w:rFonts w:ascii="Avenir Book" w:hAnsi="Avenir Book"/>
          <w:b/>
          <w:sz w:val="20"/>
        </w:rPr>
      </w:pPr>
    </w:p>
    <w:p w:rsidR="00D13B0F" w:rsidRPr="00B06331" w:rsidRDefault="00D13B0F" w:rsidP="00D90C92">
      <w:pPr>
        <w:spacing w:after="0" w:line="240" w:lineRule="auto"/>
        <w:rPr>
          <w:rFonts w:ascii="Avenir Book" w:hAnsi="Avenir Book"/>
          <w:b/>
          <w:sz w:val="20"/>
        </w:rPr>
      </w:pPr>
    </w:p>
    <w:p w:rsidR="00D13B0F" w:rsidRPr="00B06331" w:rsidRDefault="00D13B0F" w:rsidP="00D90C92">
      <w:pPr>
        <w:spacing w:after="0" w:line="240" w:lineRule="auto"/>
        <w:rPr>
          <w:rFonts w:ascii="Avenir Book" w:hAnsi="Avenir Book"/>
          <w:b/>
          <w:sz w:val="20"/>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6.5</w:t>
      </w:r>
      <w:r w:rsidR="00D90C92" w:rsidRPr="00B06331">
        <w:rPr>
          <w:rFonts w:ascii="Avenir Book" w:hAnsi="Avenir Book"/>
          <w:b/>
          <w:sz w:val="18"/>
        </w:rPr>
        <w:t xml:space="preserve">: Proportion of the Population Living               </w:t>
      </w:r>
      <w:r w:rsidRPr="00B06331">
        <w:rPr>
          <w:rFonts w:ascii="Avenir Book" w:hAnsi="Avenir Book"/>
          <w:b/>
          <w:sz w:val="18"/>
        </w:rPr>
        <w:t>Figure 6.6</w:t>
      </w:r>
      <w:r w:rsidR="00D90C92" w:rsidRPr="00B06331">
        <w:rPr>
          <w:rFonts w:ascii="Avenir Book" w:hAnsi="Avenir Book"/>
          <w:b/>
          <w:sz w:val="18"/>
        </w:rPr>
        <w:t xml:space="preserve">: Proportion of the Population </w:t>
      </w:r>
    </w:p>
    <w:p w:rsidR="00D90C92" w:rsidRPr="00B06331" w:rsidRDefault="00D90C92" w:rsidP="00D90C92">
      <w:pPr>
        <w:spacing w:after="0" w:line="240" w:lineRule="auto"/>
        <w:rPr>
          <w:rFonts w:ascii="Avenir Book" w:hAnsi="Avenir Book"/>
          <w:b/>
          <w:sz w:val="20"/>
        </w:rPr>
      </w:pPr>
      <w:r w:rsidRPr="00B06331">
        <w:rPr>
          <w:rFonts w:ascii="Avenir Book" w:hAnsi="Avenir Book"/>
          <w:b/>
          <w:sz w:val="18"/>
        </w:rPr>
        <w:t xml:space="preserve"> Below The Poverty Line by Administrative Area            </w:t>
      </w:r>
      <w:r w:rsidRPr="00B06331">
        <w:rPr>
          <w:rFonts w:ascii="Avenir Book" w:hAnsi="Avenir Book"/>
          <w:b/>
          <w:sz w:val="18"/>
        </w:rPr>
        <w:tab/>
        <w:t xml:space="preserve">        Living Below </w:t>
      </w:r>
      <w:r w:rsidR="00741855" w:rsidRPr="00B06331">
        <w:rPr>
          <w:rFonts w:ascii="Avenir Book" w:hAnsi="Avenir Book"/>
          <w:b/>
          <w:sz w:val="18"/>
        </w:rPr>
        <w:t>the</w:t>
      </w:r>
      <w:r w:rsidRPr="00B06331">
        <w:rPr>
          <w:rFonts w:ascii="Avenir Book" w:hAnsi="Avenir Book"/>
          <w:b/>
          <w:sz w:val="18"/>
        </w:rPr>
        <w:t xml:space="preserve"> Poverty Line in Rural and Urban</w:t>
      </w:r>
      <w:r w:rsidRPr="00B06331">
        <w:rPr>
          <w:rFonts w:ascii="Avenir Book" w:hAnsi="Avenir Book"/>
          <w:b/>
          <w:sz w:val="20"/>
        </w:rPr>
        <w:t xml:space="preserve"> Areas</w:t>
      </w:r>
    </w:p>
    <w:p w:rsidR="00D90C92" w:rsidRPr="00B06331" w:rsidRDefault="00D90C92" w:rsidP="00D90C92">
      <w:pPr>
        <w:jc w:val="both"/>
        <w:rPr>
          <w:rFonts w:ascii="Avenir Book" w:hAnsi="Avenir Book"/>
          <w:sz w:val="24"/>
          <w:szCs w:val="24"/>
        </w:rPr>
      </w:pPr>
      <w:r w:rsidRPr="00B06331">
        <w:rPr>
          <w:noProof/>
        </w:rPr>
        <w:drawing>
          <wp:inline distT="0" distB="0" distL="0" distR="0">
            <wp:extent cx="2886075" cy="2905125"/>
            <wp:effectExtent l="19050" t="0" r="9525" b="0"/>
            <wp:docPr id="4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38"/>
                    <a:srcRect/>
                    <a:stretch>
                      <a:fillRect/>
                    </a:stretch>
                  </pic:blipFill>
                  <pic:spPr bwMode="auto">
                    <a:xfrm>
                      <a:off x="0" y="0"/>
                      <a:ext cx="2886075" cy="2905125"/>
                    </a:xfrm>
                    <a:prstGeom prst="rect">
                      <a:avLst/>
                    </a:prstGeom>
                    <a:noFill/>
                    <a:ln w="9525">
                      <a:noFill/>
                      <a:miter lim="800000"/>
                      <a:headEnd/>
                      <a:tailEnd/>
                    </a:ln>
                  </pic:spPr>
                </pic:pic>
              </a:graphicData>
            </a:graphic>
          </wp:inline>
        </w:drawing>
      </w:r>
      <w:r w:rsidRPr="00B06331">
        <w:rPr>
          <w:noProof/>
        </w:rPr>
        <w:drawing>
          <wp:inline distT="0" distB="0" distL="0" distR="0">
            <wp:extent cx="2752725" cy="2895600"/>
            <wp:effectExtent l="19050" t="0" r="9525" b="0"/>
            <wp:docPr id="4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9"/>
                    <a:srcRect/>
                    <a:stretch>
                      <a:fillRect/>
                    </a:stretch>
                  </pic:blipFill>
                  <pic:spPr bwMode="auto">
                    <a:xfrm>
                      <a:off x="0" y="0"/>
                      <a:ext cx="2752725" cy="2895600"/>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rPr>
      </w:pPr>
      <w:r w:rsidRPr="00B06331">
        <w:rPr>
          <w:rFonts w:ascii="Avenir Book" w:hAnsi="Avenir Book"/>
        </w:rPr>
        <w:t xml:space="preserve">Overall, there is a dual situation with much lower and faster decreases in poverty for urban areas than in rural areas. Thus, although rural areas account for a lower share of the total population (less than 50%), they have a bigger share of the poor (60%). The increasing poverty in rural areas has a marked effect on environmental degradation, as the rural poor tend to exploit more the natural resource base for survival. </w:t>
      </w: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6.7</w:t>
      </w:r>
      <w:r w:rsidR="00D90C92" w:rsidRPr="00B06331">
        <w:rPr>
          <w:rFonts w:ascii="Avenir Book" w:hAnsi="Avenir Book"/>
          <w:b/>
          <w:sz w:val="18"/>
        </w:rPr>
        <w:t xml:space="preserve">: Poverty Gap by Administrative Area                </w:t>
      </w:r>
      <w:r w:rsidRPr="00B06331">
        <w:rPr>
          <w:rFonts w:ascii="Avenir Book" w:hAnsi="Avenir Book"/>
          <w:b/>
          <w:sz w:val="18"/>
        </w:rPr>
        <w:t>Figure 6.8</w:t>
      </w:r>
      <w:r w:rsidR="00D90C92" w:rsidRPr="00B06331">
        <w:rPr>
          <w:rFonts w:ascii="Avenir Book" w:hAnsi="Avenir Book"/>
          <w:b/>
          <w:sz w:val="18"/>
        </w:rPr>
        <w:t xml:space="preserve">: Food Poverty (Headcount) by Administrative </w:t>
      </w:r>
    </w:p>
    <w:p w:rsidR="00D90C92" w:rsidRPr="00B06331" w:rsidRDefault="00D90C92" w:rsidP="00D90C92">
      <w:pPr>
        <w:spacing w:after="0" w:line="240" w:lineRule="auto"/>
        <w:jc w:val="both"/>
        <w:rPr>
          <w:rFonts w:ascii="Avenir Book" w:hAnsi="Avenir Book"/>
        </w:rPr>
      </w:pPr>
      <w:r w:rsidRPr="00B06331">
        <w:rPr>
          <w:rFonts w:ascii="Avenir Book" w:hAnsi="Avenir Book"/>
          <w:b/>
          <w:sz w:val="18"/>
        </w:rPr>
        <w:tab/>
      </w:r>
      <w:r w:rsidRPr="00B06331">
        <w:rPr>
          <w:rFonts w:ascii="Avenir Book" w:hAnsi="Avenir Book"/>
          <w:b/>
          <w:sz w:val="18"/>
        </w:rPr>
        <w:tab/>
      </w:r>
      <w:r w:rsidRPr="00B06331">
        <w:rPr>
          <w:rFonts w:ascii="Avenir Book" w:hAnsi="Avenir Book"/>
          <w:b/>
          <w:sz w:val="18"/>
        </w:rPr>
        <w:tab/>
      </w:r>
      <w:r w:rsidRPr="00B06331">
        <w:rPr>
          <w:rFonts w:ascii="Avenir Book" w:hAnsi="Avenir Book"/>
          <w:b/>
          <w:sz w:val="18"/>
        </w:rPr>
        <w:tab/>
      </w:r>
      <w:r w:rsidRPr="00B06331">
        <w:rPr>
          <w:rFonts w:ascii="Avenir Book" w:hAnsi="Avenir Book"/>
          <w:b/>
          <w:sz w:val="18"/>
        </w:rPr>
        <w:tab/>
      </w:r>
      <w:r w:rsidRPr="00B06331">
        <w:rPr>
          <w:rFonts w:ascii="Avenir Book" w:hAnsi="Avenir Book"/>
          <w:b/>
          <w:sz w:val="18"/>
        </w:rPr>
        <w:tab/>
        <w:t xml:space="preserve">           Area</w:t>
      </w:r>
    </w:p>
    <w:p w:rsidR="00D90C92" w:rsidRPr="00B06331" w:rsidRDefault="00D90C92" w:rsidP="00D90C92">
      <w:pPr>
        <w:spacing w:after="0"/>
        <w:jc w:val="both"/>
        <w:rPr>
          <w:rFonts w:ascii="Avenir Book" w:hAnsi="Avenir Book"/>
          <w:sz w:val="24"/>
          <w:szCs w:val="24"/>
        </w:rPr>
      </w:pPr>
      <w:r w:rsidRPr="00B06331">
        <w:rPr>
          <w:rFonts w:ascii="Avenir Book" w:hAnsi="Avenir Book"/>
          <w:noProof/>
        </w:rPr>
        <w:drawing>
          <wp:inline distT="0" distB="0" distL="0" distR="0">
            <wp:extent cx="2838450" cy="2524125"/>
            <wp:effectExtent l="19050" t="0" r="0" b="0"/>
            <wp:docPr id="43"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40"/>
                    <a:srcRect b="-24"/>
                    <a:stretch>
                      <a:fillRect/>
                    </a:stretch>
                  </pic:blipFill>
                  <pic:spPr bwMode="auto">
                    <a:xfrm>
                      <a:off x="0" y="0"/>
                      <a:ext cx="2838450" cy="2524125"/>
                    </a:xfrm>
                    <a:prstGeom prst="rect">
                      <a:avLst/>
                    </a:prstGeom>
                    <a:noFill/>
                    <a:ln w="9525">
                      <a:noFill/>
                      <a:miter lim="800000"/>
                      <a:headEnd/>
                      <a:tailEnd/>
                    </a:ln>
                  </pic:spPr>
                </pic:pic>
              </a:graphicData>
            </a:graphic>
          </wp:inline>
        </w:drawing>
      </w:r>
      <w:r w:rsidRPr="00B06331">
        <w:rPr>
          <w:noProof/>
        </w:rPr>
        <w:drawing>
          <wp:inline distT="0" distB="0" distL="0" distR="0">
            <wp:extent cx="2933700" cy="2505075"/>
            <wp:effectExtent l="19050" t="0" r="0" b="0"/>
            <wp:docPr id="42"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41"/>
                    <a:srcRect/>
                    <a:stretch>
                      <a:fillRect/>
                    </a:stretch>
                  </pic:blipFill>
                  <pic:spPr bwMode="auto">
                    <a:xfrm>
                      <a:off x="0" y="0"/>
                      <a:ext cx="2933700" cy="2505075"/>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rPr>
      </w:pPr>
    </w:p>
    <w:p w:rsidR="00D90C92" w:rsidRPr="00B06331" w:rsidRDefault="00D90C92" w:rsidP="00D90C92">
      <w:pPr>
        <w:jc w:val="both"/>
        <w:rPr>
          <w:rFonts w:ascii="Avenir Book" w:hAnsi="Avenir Book"/>
        </w:rPr>
      </w:pPr>
      <w:r w:rsidRPr="00B06331">
        <w:rPr>
          <w:rFonts w:ascii="Avenir Book" w:hAnsi="Avenir Book"/>
        </w:rPr>
        <w:lastRenderedPageBreak/>
        <w:t>Food security and poverty are intricately linked. Data from IHS 2015/16 shows that close to 35.9% of Gambians cannot meet their daily calorific needs of 2400 per person/day even if they allocate all their consumption to food. This represents an increase of 3.5% since 2010. Up to 55.1% of Gambians cannot meet their daily energy needs.</w:t>
      </w:r>
    </w:p>
    <w:p w:rsidR="00D90C92" w:rsidRPr="00B06331" w:rsidRDefault="00D90C92" w:rsidP="00D90C92">
      <w:pPr>
        <w:jc w:val="both"/>
        <w:rPr>
          <w:rFonts w:ascii="Avenir Book" w:hAnsi="Avenir Book"/>
        </w:rPr>
      </w:pPr>
      <w:r w:rsidRPr="00B06331">
        <w:rPr>
          <w:rFonts w:ascii="Avenir Book" w:hAnsi="Avenir Book"/>
        </w:rPr>
        <w:t xml:space="preserve">In terms of causal factors, it should be noted that agriculture’s contribution to GDP has been declining since 2010, which could be contributing to increasing rural poverty. Rice production by estimates has fallen by 26% since 2010. Climate related shocks further compound the situation. Strengthening agriculture must therefore be given priority by government if the trend of increasing rural poverty is to be reversed.  </w:t>
      </w:r>
    </w:p>
    <w:p w:rsidR="00D90C92" w:rsidRPr="00B06331" w:rsidRDefault="00D90C92" w:rsidP="00D90C92">
      <w:pPr>
        <w:jc w:val="both"/>
        <w:rPr>
          <w:rFonts w:ascii="Avenir Book" w:hAnsi="Avenir Book"/>
        </w:rPr>
      </w:pPr>
      <w:r w:rsidRPr="00B06331">
        <w:rPr>
          <w:rFonts w:ascii="Avenir Book" w:hAnsi="Avenir Book"/>
        </w:rPr>
        <w:t>Creating jobs and boosting the minimum wage were also two top measures recommended to government by those surveyed to improve the living standards of Gambians.</w:t>
      </w:r>
    </w:p>
    <w:p w:rsidR="00D90C92" w:rsidRPr="00B06331" w:rsidRDefault="00D90C92" w:rsidP="00D90C92">
      <w:pPr>
        <w:pStyle w:val="Heading2"/>
        <w:rPr>
          <w:rFonts w:asciiTheme="minorHAnsi" w:hAnsiTheme="minorHAnsi" w:cstheme="minorHAnsi"/>
          <w:sz w:val="22"/>
          <w:szCs w:val="22"/>
        </w:rPr>
      </w:pPr>
      <w:bookmarkStart w:id="105" w:name="_Toc492364767"/>
      <w:r w:rsidRPr="00B06331">
        <w:rPr>
          <w:rFonts w:asciiTheme="minorHAnsi" w:hAnsiTheme="minorHAnsi" w:cstheme="minorHAnsi"/>
          <w:sz w:val="22"/>
          <w:szCs w:val="22"/>
        </w:rPr>
        <w:t>6.3 Access to Education and Health</w:t>
      </w:r>
      <w:bookmarkEnd w:id="105"/>
    </w:p>
    <w:p w:rsidR="00D90C92" w:rsidRPr="00B06331" w:rsidRDefault="00D90C92" w:rsidP="00D90C92">
      <w:pPr>
        <w:jc w:val="both"/>
        <w:rPr>
          <w:rFonts w:ascii="Avenir Book" w:hAnsi="Avenir Book"/>
        </w:rPr>
      </w:pPr>
      <w:r w:rsidRPr="00B06331">
        <w:rPr>
          <w:rFonts w:ascii="Avenir Book" w:hAnsi="Avenir Book"/>
        </w:rPr>
        <w:t>At 40.1% percent, literacy is still very low in The Gambia, and much lower for females (35.5%) as compared with males (45.7%). (IHS 2015/16)</w:t>
      </w:r>
    </w:p>
    <w:p w:rsidR="00D90C92" w:rsidRPr="00B06331" w:rsidRDefault="00D90C92" w:rsidP="00D90C92">
      <w:pPr>
        <w:jc w:val="both"/>
        <w:rPr>
          <w:rFonts w:ascii="Avenir Book" w:hAnsi="Avenir Book"/>
        </w:rPr>
      </w:pPr>
      <w:r w:rsidRPr="00B06331">
        <w:rPr>
          <w:rFonts w:ascii="Avenir Book" w:hAnsi="Avenir Book"/>
        </w:rPr>
        <w:t>Box 6.2 below summarizes some key statistics with respect to access to education in the country.</w:t>
      </w:r>
    </w:p>
    <w:tbl>
      <w:tblPr>
        <w:tblpPr w:leftFromText="180" w:rightFromText="180" w:vertAnchor="text" w:tblpXSpec="right" w:tblpY="1"/>
        <w:tblOverlap w:val="never"/>
        <w:tblW w:w="8944" w:type="dxa"/>
        <w:jc w:val="right"/>
        <w:tblLook w:val="04A0"/>
      </w:tblPr>
      <w:tblGrid>
        <w:gridCol w:w="8944"/>
      </w:tblGrid>
      <w:tr w:rsidR="00D90C92" w:rsidRPr="00B06331" w:rsidTr="00C97931">
        <w:trPr>
          <w:trHeight w:val="700"/>
          <w:jc w:val="right"/>
        </w:trPr>
        <w:tc>
          <w:tcPr>
            <w:tcW w:w="8944" w:type="dxa"/>
            <w:shd w:val="clear" w:color="auto" w:fill="D9E2F3"/>
          </w:tcPr>
          <w:p w:rsidR="00D90C92" w:rsidRPr="00B06331" w:rsidRDefault="00D90C92" w:rsidP="00C97931">
            <w:pPr>
              <w:jc w:val="center"/>
              <w:rPr>
                <w:rFonts w:ascii="Avenir Book" w:hAnsi="Avenir Book"/>
                <w:b/>
              </w:rPr>
            </w:pPr>
            <w:r w:rsidRPr="00B06331">
              <w:rPr>
                <w:rFonts w:ascii="Avenir Book" w:hAnsi="Avenir Book"/>
                <w:b/>
              </w:rPr>
              <w:t>Box 6.2: Key Statistics on Access to Education</w:t>
            </w:r>
          </w:p>
        </w:tc>
      </w:tr>
      <w:tr w:rsidR="00D90C92" w:rsidRPr="00B06331" w:rsidTr="00C97931">
        <w:trPr>
          <w:trHeight w:val="1641"/>
          <w:jc w:val="right"/>
        </w:trPr>
        <w:tc>
          <w:tcPr>
            <w:tcW w:w="8944" w:type="dxa"/>
            <w:shd w:val="clear" w:color="auto" w:fill="D9E2F3"/>
          </w:tcPr>
          <w:p w:rsidR="00D90C92" w:rsidRPr="00B06331" w:rsidRDefault="00D90C92" w:rsidP="00991700">
            <w:pPr>
              <w:pStyle w:val="ListParagraph"/>
              <w:numPr>
                <w:ilvl w:val="0"/>
                <w:numId w:val="116"/>
              </w:numPr>
              <w:spacing w:after="0"/>
              <w:rPr>
                <w:rFonts w:ascii="Avenir Book" w:hAnsi="Avenir Book"/>
              </w:rPr>
            </w:pPr>
            <w:r w:rsidRPr="00B06331">
              <w:rPr>
                <w:rFonts w:ascii="Avenir Book" w:hAnsi="Avenir Book"/>
              </w:rPr>
              <w:t>Primary Gross Enrollment rate: 86.9%; girls 88.2% and boys 85.4%</w:t>
            </w:r>
          </w:p>
          <w:p w:rsidR="00D90C92" w:rsidRPr="00B06331" w:rsidRDefault="00D90C92" w:rsidP="00991700">
            <w:pPr>
              <w:pStyle w:val="ListParagraph"/>
              <w:numPr>
                <w:ilvl w:val="0"/>
                <w:numId w:val="116"/>
              </w:numPr>
              <w:spacing w:after="0"/>
              <w:rPr>
                <w:rFonts w:ascii="Avenir Book" w:hAnsi="Avenir Book"/>
              </w:rPr>
            </w:pPr>
            <w:r w:rsidRPr="00B06331">
              <w:rPr>
                <w:rFonts w:ascii="Avenir Book" w:hAnsi="Avenir Book"/>
              </w:rPr>
              <w:t>Primary Net Enrollment Rate: 63.2%; girls (64.3%) and boys (62.2%)</w:t>
            </w:r>
          </w:p>
          <w:p w:rsidR="00D90C92" w:rsidRPr="00B06331" w:rsidRDefault="00D90C92" w:rsidP="00991700">
            <w:pPr>
              <w:pStyle w:val="ListParagraph"/>
              <w:numPr>
                <w:ilvl w:val="0"/>
                <w:numId w:val="116"/>
              </w:numPr>
              <w:spacing w:after="0"/>
              <w:rPr>
                <w:rFonts w:ascii="Avenir Book" w:hAnsi="Avenir Book"/>
              </w:rPr>
            </w:pPr>
            <w:r w:rsidRPr="00B06331">
              <w:rPr>
                <w:rFonts w:ascii="Avenir Book" w:hAnsi="Avenir Book"/>
              </w:rPr>
              <w:t>Secondary School Gross Enrollment Rate: 53.3%; girls 55.1% and boys 51.1%</w:t>
            </w:r>
          </w:p>
          <w:p w:rsidR="00D90C92" w:rsidRPr="00B06331" w:rsidRDefault="00D90C92" w:rsidP="00991700">
            <w:pPr>
              <w:pStyle w:val="ListParagraph"/>
              <w:numPr>
                <w:ilvl w:val="0"/>
                <w:numId w:val="116"/>
              </w:numPr>
              <w:spacing w:after="0"/>
              <w:rPr>
                <w:rFonts w:ascii="Avenir Book" w:hAnsi="Avenir Book"/>
              </w:rPr>
            </w:pPr>
            <w:r w:rsidRPr="00B06331">
              <w:rPr>
                <w:rFonts w:ascii="Avenir Book" w:hAnsi="Avenir Book"/>
              </w:rPr>
              <w:t>Secondary Net Enrollment Rate: 40.7%</w:t>
            </w:r>
          </w:p>
        </w:tc>
      </w:tr>
    </w:tbl>
    <w:p w:rsidR="00D90C92" w:rsidRPr="00B06331" w:rsidRDefault="00D90C92" w:rsidP="00D90C92">
      <w:pPr>
        <w:jc w:val="both"/>
        <w:rPr>
          <w:rFonts w:ascii="Avenir Book" w:hAnsi="Avenir Book"/>
        </w:rPr>
      </w:pPr>
    </w:p>
    <w:p w:rsidR="00D90C92" w:rsidRPr="00B06331" w:rsidRDefault="00D90C92" w:rsidP="00D90C92">
      <w:pPr>
        <w:jc w:val="both"/>
        <w:rPr>
          <w:rFonts w:ascii="Avenir Book" w:hAnsi="Avenir Book"/>
        </w:rPr>
      </w:pPr>
      <w:r w:rsidRPr="00B06331">
        <w:rPr>
          <w:rFonts w:ascii="Avenir Book" w:hAnsi="Avenir Book"/>
        </w:rPr>
        <w:t>In terms of educational access, the followingpicture obtains:</w:t>
      </w:r>
    </w:p>
    <w:p w:rsidR="00D90C92" w:rsidRPr="00B06331" w:rsidRDefault="00D90C92" w:rsidP="00991700">
      <w:pPr>
        <w:pStyle w:val="ListParagraph"/>
        <w:numPr>
          <w:ilvl w:val="0"/>
          <w:numId w:val="117"/>
        </w:numPr>
        <w:jc w:val="both"/>
        <w:rPr>
          <w:rFonts w:ascii="Avenir Book" w:hAnsi="Avenir Book"/>
        </w:rPr>
      </w:pPr>
      <w:r w:rsidRPr="00B06331">
        <w:rPr>
          <w:rFonts w:ascii="Avenir Book" w:hAnsi="Avenir Book"/>
        </w:rPr>
        <w:t>Overall girls have higher gross and net enrollment rates at both primary and secondary levels;</w:t>
      </w:r>
    </w:p>
    <w:p w:rsidR="00D90C92" w:rsidRPr="00B06331" w:rsidRDefault="00D90C92" w:rsidP="00991700">
      <w:pPr>
        <w:pStyle w:val="ListParagraph"/>
        <w:numPr>
          <w:ilvl w:val="0"/>
          <w:numId w:val="117"/>
        </w:numPr>
        <w:jc w:val="both"/>
        <w:rPr>
          <w:rFonts w:ascii="Avenir Book" w:hAnsi="Avenir Book"/>
        </w:rPr>
      </w:pPr>
      <w:r w:rsidRPr="00B06331">
        <w:rPr>
          <w:rFonts w:ascii="Avenir Book" w:hAnsi="Avenir Book"/>
        </w:rPr>
        <w:t>There is a large percentage of secondary school-age children who not enrolled in secondary schools;</w:t>
      </w:r>
    </w:p>
    <w:p w:rsidR="00D90C92" w:rsidRPr="00B06331" w:rsidRDefault="00D90C92" w:rsidP="00991700">
      <w:pPr>
        <w:pStyle w:val="ListParagraph"/>
        <w:numPr>
          <w:ilvl w:val="0"/>
          <w:numId w:val="117"/>
        </w:numPr>
        <w:jc w:val="both"/>
        <w:rPr>
          <w:rFonts w:ascii="Avenir Book" w:hAnsi="Avenir Book"/>
        </w:rPr>
      </w:pPr>
      <w:r w:rsidRPr="00B06331">
        <w:rPr>
          <w:rFonts w:ascii="Avenir Book" w:hAnsi="Avenir Book"/>
        </w:rPr>
        <w:t>Government is the main provider of educational services, with 69.4% of students attending government school; 19% go to private schools while a non-negligible 10% attend Madrassa.</w:t>
      </w:r>
    </w:p>
    <w:p w:rsidR="00D90C92" w:rsidRPr="00B06331" w:rsidRDefault="00D90C92" w:rsidP="00991700">
      <w:pPr>
        <w:pStyle w:val="ListParagraph"/>
        <w:numPr>
          <w:ilvl w:val="0"/>
          <w:numId w:val="117"/>
        </w:numPr>
        <w:jc w:val="both"/>
        <w:rPr>
          <w:rFonts w:ascii="Avenir Book" w:hAnsi="Avenir Book"/>
        </w:rPr>
      </w:pPr>
      <w:r w:rsidRPr="00B06331">
        <w:rPr>
          <w:rFonts w:ascii="Avenir Book" w:hAnsi="Avenir Book"/>
        </w:rPr>
        <w:t xml:space="preserve">The children of the poor are more likely to be enrolled in government schools or </w:t>
      </w:r>
      <w:r w:rsidR="00741855" w:rsidRPr="00B06331">
        <w:rPr>
          <w:rFonts w:ascii="Avenir Book" w:hAnsi="Avenir Book"/>
        </w:rPr>
        <w:t>Madrassa</w:t>
      </w:r>
      <w:r w:rsidRPr="00B06331">
        <w:rPr>
          <w:rFonts w:ascii="Avenir Book" w:hAnsi="Avenir Book"/>
        </w:rPr>
        <w:t>.</w:t>
      </w:r>
    </w:p>
    <w:p w:rsidR="00D90C92" w:rsidRPr="00B06331" w:rsidRDefault="00D90C92" w:rsidP="00D90C92">
      <w:pPr>
        <w:rPr>
          <w:rFonts w:ascii="Avenir Book" w:hAnsi="Avenir Book"/>
        </w:rPr>
      </w:pPr>
      <w:r w:rsidRPr="00B06331">
        <w:rPr>
          <w:rFonts w:ascii="Avenir Book" w:hAnsi="Avenir Book"/>
        </w:rPr>
        <w:t xml:space="preserve">The variation across regions with respect to literacy and educational access is demonstrated below: </w:t>
      </w:r>
    </w:p>
    <w:p w:rsidR="00D90C92" w:rsidRPr="00B06331" w:rsidRDefault="00D90C92" w:rsidP="00D90C92">
      <w:pPr>
        <w:spacing w:after="0"/>
        <w:jc w:val="both"/>
        <w:rPr>
          <w:rFonts w:ascii="Avenir Book" w:hAnsi="Avenir Book"/>
          <w:b/>
          <w:sz w:val="18"/>
        </w:rPr>
      </w:pPr>
    </w:p>
    <w:p w:rsidR="00D90C92" w:rsidRPr="00B06331" w:rsidRDefault="00D90C92" w:rsidP="00D90C92">
      <w:pPr>
        <w:spacing w:after="0"/>
        <w:jc w:val="both"/>
        <w:rPr>
          <w:rFonts w:ascii="Avenir Book" w:hAnsi="Avenir Book"/>
          <w:b/>
          <w:sz w:val="18"/>
        </w:rPr>
      </w:pPr>
    </w:p>
    <w:p w:rsidR="00D90C92" w:rsidRPr="00B06331" w:rsidRDefault="00D90C92" w:rsidP="00D90C92">
      <w:pPr>
        <w:spacing w:after="0"/>
        <w:jc w:val="both"/>
        <w:rPr>
          <w:rFonts w:ascii="Avenir Book" w:hAnsi="Avenir Book"/>
          <w:b/>
          <w:sz w:val="18"/>
        </w:rPr>
      </w:pPr>
    </w:p>
    <w:p w:rsidR="00D90C92" w:rsidRPr="00B06331" w:rsidRDefault="00D90C92" w:rsidP="00D90C92">
      <w:pPr>
        <w:spacing w:after="0"/>
        <w:jc w:val="both"/>
        <w:rPr>
          <w:rFonts w:ascii="Avenir Book" w:hAnsi="Avenir Book"/>
          <w:b/>
          <w:sz w:val="18"/>
        </w:rPr>
      </w:pPr>
    </w:p>
    <w:p w:rsidR="00D90C92" w:rsidRPr="00B06331" w:rsidRDefault="00D90C92" w:rsidP="00D90C92">
      <w:pPr>
        <w:spacing w:after="0"/>
        <w:jc w:val="both"/>
        <w:rPr>
          <w:rFonts w:ascii="Avenir Book" w:hAnsi="Avenir Book"/>
          <w:b/>
          <w:sz w:val="18"/>
        </w:rPr>
      </w:pPr>
    </w:p>
    <w:p w:rsidR="00D90C92" w:rsidRPr="00B06331" w:rsidRDefault="00D90C92" w:rsidP="00D90C92">
      <w:pPr>
        <w:spacing w:after="0"/>
        <w:jc w:val="both"/>
        <w:rPr>
          <w:rFonts w:ascii="Avenir Book" w:hAnsi="Avenir Book"/>
          <w:b/>
          <w:sz w:val="18"/>
        </w:rPr>
      </w:pPr>
    </w:p>
    <w:p w:rsidR="00D90C92" w:rsidRPr="00B06331" w:rsidRDefault="008D41AF" w:rsidP="00D90C92">
      <w:pPr>
        <w:spacing w:after="0"/>
        <w:jc w:val="both"/>
        <w:rPr>
          <w:rFonts w:ascii="Avenir Book" w:hAnsi="Avenir Book"/>
          <w:b/>
          <w:sz w:val="18"/>
        </w:rPr>
      </w:pPr>
      <w:r w:rsidRPr="00B06331">
        <w:rPr>
          <w:rFonts w:ascii="Avenir Book" w:hAnsi="Avenir Book"/>
          <w:b/>
          <w:sz w:val="18"/>
        </w:rPr>
        <w:t>Figure 6.9</w:t>
      </w:r>
      <w:r w:rsidR="00D90C92" w:rsidRPr="00B06331">
        <w:rPr>
          <w:rFonts w:ascii="Avenir Book" w:hAnsi="Avenir Book"/>
          <w:b/>
          <w:sz w:val="18"/>
        </w:rPr>
        <w:t xml:space="preserve">: Net Enrollment rate for Primary </w:t>
      </w:r>
      <w:r w:rsidR="00D90C92" w:rsidRPr="00B06331">
        <w:rPr>
          <w:rFonts w:ascii="Avenir Book" w:hAnsi="Avenir Book"/>
          <w:b/>
          <w:sz w:val="18"/>
        </w:rPr>
        <w:tab/>
      </w:r>
      <w:r w:rsidRPr="00B06331">
        <w:rPr>
          <w:rFonts w:ascii="Avenir Book" w:hAnsi="Avenir Book"/>
          <w:b/>
          <w:sz w:val="18"/>
        </w:rPr>
        <w:t>Figure 6.10</w:t>
      </w:r>
      <w:r w:rsidR="00D90C92" w:rsidRPr="00B06331">
        <w:rPr>
          <w:rFonts w:ascii="Avenir Book" w:hAnsi="Avenir Book"/>
          <w:b/>
          <w:sz w:val="18"/>
        </w:rPr>
        <w:t xml:space="preserve">: Literacy Rate for Persons 15 </w:t>
      </w:r>
      <w:r w:rsidR="00D90C92" w:rsidRPr="00B06331">
        <w:rPr>
          <w:rFonts w:ascii="Avenir Book" w:hAnsi="Avenir Book"/>
          <w:b/>
          <w:sz w:val="18"/>
        </w:rPr>
        <w:tab/>
      </w:r>
      <w:r w:rsidR="00D90C92" w:rsidRPr="00B06331">
        <w:rPr>
          <w:rFonts w:ascii="Avenir Book" w:hAnsi="Avenir Book"/>
          <w:b/>
          <w:sz w:val="18"/>
        </w:rPr>
        <w:tab/>
      </w:r>
    </w:p>
    <w:p w:rsidR="00D90C92" w:rsidRPr="00B06331" w:rsidRDefault="00D90C92" w:rsidP="00D90C92">
      <w:pPr>
        <w:spacing w:after="0"/>
        <w:jc w:val="both"/>
        <w:rPr>
          <w:rFonts w:ascii="Avenir Book" w:hAnsi="Avenir Book"/>
          <w:b/>
          <w:sz w:val="18"/>
        </w:rPr>
      </w:pPr>
      <w:r w:rsidRPr="00B06331">
        <w:rPr>
          <w:rFonts w:ascii="Avenir Book" w:hAnsi="Avenir Book"/>
          <w:b/>
          <w:sz w:val="18"/>
        </w:rPr>
        <w:t xml:space="preserve">Education Level by Administrative Area      </w:t>
      </w:r>
      <w:r w:rsidRPr="00B06331">
        <w:rPr>
          <w:rFonts w:ascii="Avenir Book" w:hAnsi="Avenir Book"/>
          <w:b/>
          <w:sz w:val="18"/>
        </w:rPr>
        <w:tab/>
        <w:t>Years and Above by Administrative Area</w:t>
      </w:r>
    </w:p>
    <w:p w:rsidR="00D90C92" w:rsidRPr="00B06331" w:rsidRDefault="00D90C92" w:rsidP="00D90C92">
      <w:pPr>
        <w:spacing w:after="0"/>
      </w:pPr>
      <w:r w:rsidRPr="00B06331">
        <w:rPr>
          <w:noProof/>
        </w:rPr>
        <w:drawing>
          <wp:anchor distT="0" distB="0" distL="114300" distR="114300" simplePos="0" relativeHeight="251661312" behindDoc="0" locked="0" layoutInCell="1" allowOverlap="1">
            <wp:simplePos x="0" y="0"/>
            <wp:positionH relativeFrom="column">
              <wp:posOffset>2992755</wp:posOffset>
            </wp:positionH>
            <wp:positionV relativeFrom="paragraph">
              <wp:posOffset>-1270</wp:posOffset>
            </wp:positionV>
            <wp:extent cx="2557145" cy="2396490"/>
            <wp:effectExtent l="19050" t="0" r="0" b="0"/>
            <wp:wrapNone/>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557145" cy="2396490"/>
                    </a:xfrm>
                    <a:prstGeom prst="rect">
                      <a:avLst/>
                    </a:prstGeom>
                    <a:noFill/>
                    <a:ln w="9525">
                      <a:noFill/>
                      <a:miter lim="800000"/>
                      <a:headEnd/>
                      <a:tailEnd/>
                    </a:ln>
                  </pic:spPr>
                </pic:pic>
              </a:graphicData>
            </a:graphic>
          </wp:anchor>
        </w:drawing>
      </w:r>
      <w:r w:rsidRPr="00B06331">
        <w:rPr>
          <w:noProof/>
        </w:rPr>
        <w:drawing>
          <wp:inline distT="0" distB="0" distL="0" distR="0">
            <wp:extent cx="2705100" cy="2381250"/>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705100" cy="2381250"/>
                    </a:xfrm>
                    <a:prstGeom prst="rect">
                      <a:avLst/>
                    </a:prstGeom>
                    <a:noFill/>
                    <a:ln w="9525">
                      <a:noFill/>
                      <a:miter lim="800000"/>
                      <a:headEnd/>
                      <a:tailEnd/>
                    </a:ln>
                  </pic:spPr>
                </pic:pic>
              </a:graphicData>
            </a:graphic>
          </wp:inline>
        </w:drawing>
      </w:r>
    </w:p>
    <w:p w:rsidR="00D90C92" w:rsidRPr="00B06331" w:rsidRDefault="00D90C92" w:rsidP="00D90C92">
      <w:pPr>
        <w:spacing w:after="0" w:line="240" w:lineRule="auto"/>
        <w:rPr>
          <w:rFonts w:ascii="Avenir Book" w:hAnsi="Avenir Book"/>
          <w:b/>
          <w:sz w:val="20"/>
        </w:rPr>
      </w:pPr>
    </w:p>
    <w:p w:rsidR="00D90C92" w:rsidRPr="00B06331" w:rsidRDefault="00D90C92" w:rsidP="00D90C92">
      <w:pPr>
        <w:spacing w:after="0" w:line="240" w:lineRule="auto"/>
        <w:rPr>
          <w:rFonts w:ascii="Avenir Book" w:hAnsi="Avenir Book"/>
          <w:b/>
          <w:sz w:val="20"/>
        </w:rPr>
      </w:pPr>
    </w:p>
    <w:p w:rsidR="00D90C92" w:rsidRPr="00B06331" w:rsidRDefault="00D90C92" w:rsidP="00D90C92">
      <w:pPr>
        <w:spacing w:after="0" w:line="240" w:lineRule="auto"/>
        <w:rPr>
          <w:rFonts w:ascii="Avenir Book" w:hAnsi="Avenir Book"/>
          <w:b/>
          <w:sz w:val="20"/>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6.11</w:t>
      </w:r>
      <w:r w:rsidR="00D90C92" w:rsidRPr="00B06331">
        <w:rPr>
          <w:rFonts w:ascii="Avenir Book" w:hAnsi="Avenir Book"/>
          <w:b/>
          <w:sz w:val="18"/>
        </w:rPr>
        <w:t>: Net Enrolment Rate for Secondary</w:t>
      </w:r>
      <w:r w:rsidR="00D90C92" w:rsidRPr="00B06331">
        <w:rPr>
          <w:rFonts w:ascii="Avenir Book" w:hAnsi="Avenir Book"/>
          <w:b/>
          <w:sz w:val="18"/>
        </w:rPr>
        <w:tab/>
      </w:r>
      <w:r w:rsidRPr="00B06331">
        <w:rPr>
          <w:rFonts w:ascii="Avenir Book" w:hAnsi="Avenir Book"/>
          <w:b/>
          <w:sz w:val="18"/>
        </w:rPr>
        <w:t>Figure 6.12</w:t>
      </w:r>
      <w:r w:rsidR="00D90C92" w:rsidRPr="00B06331">
        <w:rPr>
          <w:rFonts w:ascii="Avenir Book" w:hAnsi="Avenir Book"/>
          <w:b/>
          <w:sz w:val="18"/>
        </w:rPr>
        <w:t xml:space="preserve">: Net Enrolment Rate for Tertiary Education </w:t>
      </w:r>
    </w:p>
    <w:p w:rsidR="00D90C92" w:rsidRPr="00B06331" w:rsidRDefault="00D90C92" w:rsidP="00D90C92">
      <w:pPr>
        <w:spacing w:after="0" w:line="240" w:lineRule="auto"/>
        <w:rPr>
          <w:rFonts w:ascii="Avenir Book" w:hAnsi="Avenir Book"/>
          <w:sz w:val="18"/>
        </w:rPr>
      </w:pPr>
      <w:r w:rsidRPr="00B06331">
        <w:rPr>
          <w:rFonts w:ascii="Avenir Book" w:hAnsi="Avenir Book"/>
          <w:b/>
          <w:sz w:val="18"/>
        </w:rPr>
        <w:t>Education Level by Administrative Area                                        Level by Administrative Area</w:t>
      </w:r>
    </w:p>
    <w:p w:rsidR="00D90C92" w:rsidRPr="00B06331" w:rsidRDefault="00D90C92" w:rsidP="00D90C92">
      <w:pPr>
        <w:spacing w:after="0"/>
        <w:rPr>
          <w:rFonts w:ascii="Avenir Book" w:hAnsi="Avenir Book"/>
          <w:sz w:val="24"/>
          <w:szCs w:val="24"/>
        </w:rPr>
      </w:pPr>
      <w:r w:rsidRPr="00B06331">
        <w:rPr>
          <w:noProof/>
        </w:rPr>
        <w:drawing>
          <wp:inline distT="0" distB="0" distL="0" distR="0">
            <wp:extent cx="2752725" cy="2828925"/>
            <wp:effectExtent l="19050" t="0" r="9525" b="0"/>
            <wp:docPr id="40"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44"/>
                    <a:srcRect b="-90"/>
                    <a:stretch>
                      <a:fillRect/>
                    </a:stretch>
                  </pic:blipFill>
                  <pic:spPr bwMode="auto">
                    <a:xfrm>
                      <a:off x="0" y="0"/>
                      <a:ext cx="2752725" cy="2828925"/>
                    </a:xfrm>
                    <a:prstGeom prst="rect">
                      <a:avLst/>
                    </a:prstGeom>
                    <a:noFill/>
                    <a:ln w="9525">
                      <a:noFill/>
                      <a:miter lim="800000"/>
                      <a:headEnd/>
                      <a:tailEnd/>
                    </a:ln>
                  </pic:spPr>
                </pic:pic>
              </a:graphicData>
            </a:graphic>
          </wp:inline>
        </w:drawing>
      </w:r>
      <w:r w:rsidRPr="00B06331">
        <w:rPr>
          <w:noProof/>
        </w:rPr>
        <w:drawing>
          <wp:inline distT="0" distB="0" distL="0" distR="0">
            <wp:extent cx="2838450" cy="2857500"/>
            <wp:effectExtent l="19050" t="0" r="0" b="0"/>
            <wp:docPr id="39" name="Char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
                    <pic:cNvPicPr>
                      <a:picLocks noChangeArrowheads="1"/>
                    </pic:cNvPicPr>
                  </pic:nvPicPr>
                  <pic:blipFill>
                    <a:blip r:embed="rId45"/>
                    <a:srcRect b="-44"/>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szCs w:val="24"/>
        </w:rPr>
      </w:pPr>
    </w:p>
    <w:p w:rsidR="00D90C92" w:rsidRPr="00B06331" w:rsidRDefault="00D90C92" w:rsidP="00D90C92">
      <w:pPr>
        <w:jc w:val="both"/>
        <w:rPr>
          <w:rFonts w:ascii="Avenir Book" w:hAnsi="Avenir Book"/>
          <w:szCs w:val="24"/>
        </w:rPr>
      </w:pPr>
      <w:r w:rsidRPr="00B06331">
        <w:rPr>
          <w:rFonts w:ascii="Avenir Book" w:hAnsi="Avenir Book"/>
          <w:szCs w:val="24"/>
        </w:rPr>
        <w:t>The findings with regards to health show that morbidity (as determined by reported illnesses two weeks prior to the survey) rates were lower in 2015 (5.9%) as compared to 2010 (8%). Morbidity was higher for women than men.</w:t>
      </w:r>
    </w:p>
    <w:p w:rsidR="00D90C92" w:rsidRPr="00B06331" w:rsidRDefault="00D90C92" w:rsidP="00D90C92">
      <w:pPr>
        <w:jc w:val="both"/>
        <w:rPr>
          <w:rFonts w:ascii="Avenir Book" w:hAnsi="Avenir Book"/>
          <w:szCs w:val="24"/>
        </w:rPr>
      </w:pPr>
      <w:r w:rsidRPr="00B06331">
        <w:rPr>
          <w:rFonts w:ascii="Avenir Book" w:hAnsi="Avenir Book"/>
          <w:szCs w:val="24"/>
        </w:rPr>
        <w:lastRenderedPageBreak/>
        <w:t>In 2015, some 81% of Gambians sought healthcare when sick, a figure slightly lower than in 2010 (85%). Demand for healthcare was also lower among the poor (79.4%) as compared to richer households (84.3%). A similar pattern holds for rural (80.2%) as opposed to urban households (83.7%). Thus, rural poor households had the lowest demands for healthcare.</w:t>
      </w:r>
    </w:p>
    <w:p w:rsidR="00D90C92" w:rsidRPr="00B06331" w:rsidRDefault="00D90C92" w:rsidP="00D90C92">
      <w:pPr>
        <w:jc w:val="both"/>
        <w:rPr>
          <w:rFonts w:ascii="Avenir Book" w:hAnsi="Avenir Book"/>
          <w:szCs w:val="24"/>
        </w:rPr>
      </w:pPr>
      <w:r w:rsidRPr="00B06331">
        <w:rPr>
          <w:rFonts w:ascii="Avenir Book" w:hAnsi="Avenir Book"/>
          <w:szCs w:val="24"/>
        </w:rPr>
        <w:t>Overall government facilities accounted for the highest consultations sought by those falling ill (80.1%), while private facilities accounted for 7.2%, and a surprising number of Gambians soughtcare from pharmacies (8%). The strengthening of government health delivery services is of utmost importance in improving access to health, especially for poor and rural communities, which also have much fewer private facilities and pharmacies.</w:t>
      </w:r>
    </w:p>
    <w:p w:rsidR="00D90C92" w:rsidRPr="00B06331" w:rsidRDefault="00D90C92" w:rsidP="00D90C92">
      <w:pPr>
        <w:jc w:val="both"/>
        <w:rPr>
          <w:rFonts w:ascii="Avenir Book" w:hAnsi="Avenir Book"/>
          <w:szCs w:val="24"/>
        </w:rPr>
      </w:pPr>
      <w:r w:rsidRPr="00B06331">
        <w:rPr>
          <w:rFonts w:ascii="Avenir Book" w:hAnsi="Avenir Book"/>
          <w:szCs w:val="24"/>
        </w:rPr>
        <w:t>In general, user satisfaction with health facilities is high, with 9 out of 10 patients declaring satisfaction, and is generally high even for rural areas (91%), although the figure is higher for those visiting private facilities. However, a decline in satisfaction was reported between 2010 and 2015. The main reason for lack satisfaction with public health care services in the country was lack of medical supplies.</w:t>
      </w:r>
    </w:p>
    <w:p w:rsidR="00D90C92" w:rsidRPr="00B06331" w:rsidRDefault="00D90C92" w:rsidP="00D90C92">
      <w:pPr>
        <w:jc w:val="both"/>
        <w:rPr>
          <w:rFonts w:ascii="Avenir Book" w:hAnsi="Avenir Book"/>
          <w:szCs w:val="24"/>
        </w:rPr>
      </w:pPr>
      <w:r w:rsidRPr="00B06331">
        <w:rPr>
          <w:rFonts w:ascii="Avenir Book" w:hAnsi="Avenir Book"/>
          <w:szCs w:val="24"/>
        </w:rPr>
        <w:t xml:space="preserve">Cost and distance are the single most important factors for the poor when it comes to health care in The Gambia. Except for Banjul and </w:t>
      </w:r>
      <w:r w:rsidR="00741855" w:rsidRPr="00B06331">
        <w:rPr>
          <w:rFonts w:ascii="Avenir Book" w:hAnsi="Avenir Book"/>
          <w:szCs w:val="24"/>
        </w:rPr>
        <w:t>Knifing</w:t>
      </w:r>
      <w:r w:rsidRPr="00B06331">
        <w:rPr>
          <w:rFonts w:ascii="Avenir Book" w:hAnsi="Avenir Book"/>
          <w:szCs w:val="24"/>
        </w:rPr>
        <w:t>, at least 50% of the population consulting for healthcare in other LGAs must travel to a different village or city.</w:t>
      </w:r>
    </w:p>
    <w:p w:rsidR="00D90C92" w:rsidRPr="00B06331" w:rsidRDefault="00D90C92" w:rsidP="00D90C92">
      <w:pPr>
        <w:jc w:val="both"/>
        <w:rPr>
          <w:rFonts w:ascii="Avenir Book" w:hAnsi="Avenir Book"/>
          <w:szCs w:val="24"/>
        </w:rPr>
      </w:pPr>
      <w:r w:rsidRPr="00B06331">
        <w:rPr>
          <w:rFonts w:ascii="Avenir Book" w:hAnsi="Avenir Book"/>
          <w:szCs w:val="24"/>
        </w:rPr>
        <w:t>Health care expenditures averaged GMD 1597, with the poor spending less (GMD 940) as compared to the richer households (GMD 2444), while female headed households also spend more (GMD 2005) as compared to their male counterparts (GMD 1504)</w:t>
      </w:r>
    </w:p>
    <w:p w:rsidR="00D90C92" w:rsidRPr="00B06331" w:rsidRDefault="00D90C92" w:rsidP="00D90C92">
      <w:pPr>
        <w:jc w:val="both"/>
        <w:rPr>
          <w:rFonts w:ascii="Avenir Book" w:hAnsi="Avenir Book"/>
          <w:szCs w:val="24"/>
        </w:rPr>
      </w:pPr>
      <w:r w:rsidRPr="00B06331">
        <w:rPr>
          <w:rFonts w:ascii="Avenir Book" w:hAnsi="Avenir Book"/>
          <w:szCs w:val="24"/>
        </w:rPr>
        <w:t>As with other socio-economic indicators, the figures below show marked differences in infant mortality and stunting between rural and urban Gambia and across regions.</w:t>
      </w:r>
    </w:p>
    <w:p w:rsidR="00D90C92" w:rsidRPr="00B06331" w:rsidRDefault="00D90C92" w:rsidP="00D90C92">
      <w:pPr>
        <w:spacing w:after="0" w:line="240" w:lineRule="auto"/>
        <w:rPr>
          <w:rFonts w:ascii="Avenir Book" w:hAnsi="Avenir Book"/>
          <w:b/>
          <w:sz w:val="20"/>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6.13</w:t>
      </w:r>
      <w:r w:rsidR="00D90C92" w:rsidRPr="00B06331">
        <w:rPr>
          <w:rFonts w:ascii="Avenir Book" w:hAnsi="Avenir Book"/>
          <w:b/>
          <w:sz w:val="18"/>
        </w:rPr>
        <w:t>: Infant Mortality Rate by</w:t>
      </w:r>
      <w:r w:rsidR="00D90C92" w:rsidRPr="00B06331">
        <w:rPr>
          <w:rFonts w:ascii="Avenir Book" w:hAnsi="Avenir Book"/>
          <w:b/>
          <w:sz w:val="18"/>
        </w:rPr>
        <w:tab/>
      </w:r>
      <w:r w:rsidR="00D90C92" w:rsidRPr="00B06331">
        <w:rPr>
          <w:rFonts w:ascii="Avenir Book" w:hAnsi="Avenir Book"/>
          <w:b/>
          <w:sz w:val="18"/>
        </w:rPr>
        <w:tab/>
        <w:t>Figure 6.1</w:t>
      </w:r>
      <w:r w:rsidRPr="00B06331">
        <w:rPr>
          <w:rFonts w:ascii="Avenir Book" w:hAnsi="Avenir Book"/>
          <w:b/>
          <w:sz w:val="18"/>
        </w:rPr>
        <w:t>4</w:t>
      </w:r>
      <w:r w:rsidR="00D90C92" w:rsidRPr="00B06331">
        <w:rPr>
          <w:rFonts w:ascii="Avenir Book" w:hAnsi="Avenir Book"/>
          <w:b/>
          <w:sz w:val="18"/>
        </w:rPr>
        <w:t xml:space="preserve">: Infant Mortality Rate in Rural and Urban </w:t>
      </w:r>
    </w:p>
    <w:p w:rsidR="00D90C92" w:rsidRPr="00B06331" w:rsidRDefault="00D90C92" w:rsidP="00D90C92">
      <w:pPr>
        <w:spacing w:after="0" w:line="240" w:lineRule="auto"/>
        <w:rPr>
          <w:rFonts w:ascii="Avenir Book" w:hAnsi="Avenir Book"/>
          <w:sz w:val="18"/>
        </w:rPr>
      </w:pPr>
      <w:r w:rsidRPr="00B06331">
        <w:rPr>
          <w:rFonts w:ascii="Avenir Book" w:hAnsi="Avenir Book"/>
          <w:b/>
          <w:sz w:val="18"/>
        </w:rPr>
        <w:t xml:space="preserve">Administrative Area                                                </w:t>
      </w:r>
      <w:r w:rsidRPr="00B06331">
        <w:rPr>
          <w:rFonts w:ascii="Avenir Book" w:hAnsi="Avenir Book"/>
          <w:b/>
          <w:sz w:val="18"/>
        </w:rPr>
        <w:tab/>
      </w:r>
      <w:r w:rsidRPr="00B06331">
        <w:rPr>
          <w:rFonts w:ascii="Avenir Book" w:hAnsi="Avenir Book"/>
          <w:b/>
          <w:sz w:val="18"/>
        </w:rPr>
        <w:tab/>
        <w:t xml:space="preserve">      Areas </w:t>
      </w:r>
    </w:p>
    <w:p w:rsidR="00D90C92" w:rsidRPr="00B06331" w:rsidRDefault="00D90C92" w:rsidP="00D90C92">
      <w:pPr>
        <w:jc w:val="both"/>
        <w:rPr>
          <w:rFonts w:ascii="Avenir Book" w:hAnsi="Avenir Book"/>
          <w:sz w:val="24"/>
          <w:szCs w:val="24"/>
        </w:rPr>
      </w:pPr>
      <w:r w:rsidRPr="00B06331">
        <w:rPr>
          <w:noProof/>
        </w:rPr>
        <w:drawing>
          <wp:inline distT="0" distB="0" distL="0" distR="0">
            <wp:extent cx="2752725" cy="2743200"/>
            <wp:effectExtent l="19050" t="0" r="9525" b="0"/>
            <wp:docPr id="38"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46"/>
                    <a:srcRect/>
                    <a:stretch>
                      <a:fillRect/>
                    </a:stretch>
                  </pic:blipFill>
                  <pic:spPr bwMode="auto">
                    <a:xfrm>
                      <a:off x="0" y="0"/>
                      <a:ext cx="2752725" cy="2743200"/>
                    </a:xfrm>
                    <a:prstGeom prst="rect">
                      <a:avLst/>
                    </a:prstGeom>
                    <a:noFill/>
                    <a:ln w="9525">
                      <a:noFill/>
                      <a:miter lim="800000"/>
                      <a:headEnd/>
                      <a:tailEnd/>
                    </a:ln>
                  </pic:spPr>
                </pic:pic>
              </a:graphicData>
            </a:graphic>
          </wp:inline>
        </w:drawing>
      </w:r>
      <w:r w:rsidRPr="00B06331">
        <w:rPr>
          <w:noProof/>
        </w:rPr>
        <w:drawing>
          <wp:inline distT="0" distB="0" distL="0" distR="0">
            <wp:extent cx="2752725" cy="2743200"/>
            <wp:effectExtent l="19050" t="0" r="9525" b="0"/>
            <wp:docPr id="37"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47"/>
                    <a:srcRect b="-23"/>
                    <a:stretch>
                      <a:fillRect/>
                    </a:stretch>
                  </pic:blipFill>
                  <pic:spPr bwMode="auto">
                    <a:xfrm>
                      <a:off x="0" y="0"/>
                      <a:ext cx="2752725" cy="2743200"/>
                    </a:xfrm>
                    <a:prstGeom prst="rect">
                      <a:avLst/>
                    </a:prstGeom>
                    <a:noFill/>
                    <a:ln w="9525">
                      <a:noFill/>
                      <a:miter lim="800000"/>
                      <a:headEnd/>
                      <a:tailEnd/>
                    </a:ln>
                  </pic:spPr>
                </pic:pic>
              </a:graphicData>
            </a:graphic>
          </wp:inline>
        </w:drawing>
      </w:r>
    </w:p>
    <w:p w:rsidR="00D90C92" w:rsidRPr="00B06331" w:rsidRDefault="00D90C92" w:rsidP="00D90C92">
      <w:pPr>
        <w:spacing w:after="0" w:line="240" w:lineRule="auto"/>
        <w:rPr>
          <w:rFonts w:ascii="Avenir Book" w:hAnsi="Avenir Book"/>
          <w:b/>
          <w:sz w:val="20"/>
        </w:rPr>
      </w:pPr>
    </w:p>
    <w:p w:rsidR="00D90C92" w:rsidRPr="00B06331" w:rsidRDefault="00D90C92" w:rsidP="00D90C92">
      <w:pPr>
        <w:spacing w:after="0" w:line="240" w:lineRule="auto"/>
        <w:rPr>
          <w:rFonts w:ascii="Avenir Book" w:hAnsi="Avenir Book"/>
          <w:b/>
          <w:sz w:val="20"/>
        </w:rPr>
      </w:pPr>
    </w:p>
    <w:p w:rsidR="00D90C92" w:rsidRPr="00B06331" w:rsidRDefault="00D90C92" w:rsidP="00D90C92">
      <w:pPr>
        <w:spacing w:after="0" w:line="240" w:lineRule="auto"/>
        <w:rPr>
          <w:rFonts w:ascii="Avenir Book" w:hAnsi="Avenir Book"/>
          <w:b/>
          <w:sz w:val="18"/>
        </w:rPr>
      </w:pPr>
    </w:p>
    <w:p w:rsidR="00D90C92" w:rsidRPr="00B06331" w:rsidRDefault="00D90C92" w:rsidP="00D90C92">
      <w:pPr>
        <w:spacing w:after="0" w:line="240" w:lineRule="auto"/>
        <w:rPr>
          <w:rFonts w:ascii="Avenir Book" w:hAnsi="Avenir Book"/>
          <w:b/>
          <w:sz w:val="18"/>
        </w:rPr>
      </w:pPr>
    </w:p>
    <w:p w:rsidR="00D90C92" w:rsidRPr="00B06331" w:rsidRDefault="00D90C92" w:rsidP="00D90C92">
      <w:pPr>
        <w:spacing w:after="0" w:line="240" w:lineRule="auto"/>
        <w:rPr>
          <w:rFonts w:ascii="Avenir Book" w:hAnsi="Avenir Book"/>
          <w:b/>
          <w:sz w:val="18"/>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6.15</w:t>
      </w:r>
      <w:r w:rsidR="00D90C92" w:rsidRPr="00B06331">
        <w:rPr>
          <w:rFonts w:ascii="Avenir Book" w:hAnsi="Avenir Book"/>
          <w:b/>
          <w:sz w:val="18"/>
        </w:rPr>
        <w:t>: Prevalence of Stunting by</w:t>
      </w:r>
      <w:r w:rsidR="00D90C92" w:rsidRPr="00B06331">
        <w:rPr>
          <w:rFonts w:ascii="Avenir Book" w:hAnsi="Avenir Book"/>
          <w:b/>
          <w:sz w:val="18"/>
        </w:rPr>
        <w:tab/>
        <w:t xml:space="preserve"> Figure 6.1</w:t>
      </w:r>
      <w:r w:rsidRPr="00B06331">
        <w:rPr>
          <w:rFonts w:ascii="Avenir Book" w:hAnsi="Avenir Book"/>
          <w:b/>
          <w:sz w:val="18"/>
        </w:rPr>
        <w:t>6</w:t>
      </w:r>
      <w:r w:rsidR="00D90C92" w:rsidRPr="00B06331">
        <w:rPr>
          <w:rFonts w:ascii="Avenir Book" w:hAnsi="Avenir Book"/>
          <w:b/>
          <w:sz w:val="18"/>
        </w:rPr>
        <w:t>: Prevalence of Stunting in Rural and</w:t>
      </w:r>
    </w:p>
    <w:p w:rsidR="00D90C92" w:rsidRPr="00B06331" w:rsidRDefault="00D90C92" w:rsidP="00D90C92">
      <w:pPr>
        <w:spacing w:after="0" w:line="240" w:lineRule="auto"/>
        <w:rPr>
          <w:rFonts w:ascii="Avenir Book" w:hAnsi="Avenir Book"/>
          <w:sz w:val="24"/>
          <w:szCs w:val="24"/>
        </w:rPr>
      </w:pPr>
      <w:r w:rsidRPr="00B06331">
        <w:rPr>
          <w:rFonts w:ascii="Avenir Book" w:hAnsi="Avenir Book"/>
          <w:b/>
          <w:sz w:val="18"/>
        </w:rPr>
        <w:t xml:space="preserve"> Administrative Area                                                 Urban Areas </w:t>
      </w:r>
    </w:p>
    <w:p w:rsidR="00D90C92" w:rsidRPr="00B06331" w:rsidRDefault="00D90C92" w:rsidP="00D90C92">
      <w:pPr>
        <w:jc w:val="both"/>
        <w:rPr>
          <w:rFonts w:ascii="Avenir Book" w:hAnsi="Avenir Book"/>
          <w:sz w:val="24"/>
          <w:szCs w:val="24"/>
        </w:rPr>
      </w:pPr>
      <w:r w:rsidRPr="00B06331">
        <w:rPr>
          <w:noProof/>
        </w:rPr>
        <w:drawing>
          <wp:inline distT="0" distB="0" distL="0" distR="0">
            <wp:extent cx="2676525" cy="2590800"/>
            <wp:effectExtent l="19050" t="0" r="9525" b="0"/>
            <wp:docPr id="36"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48"/>
                    <a:srcRect/>
                    <a:stretch>
                      <a:fillRect/>
                    </a:stretch>
                  </pic:blipFill>
                  <pic:spPr bwMode="auto">
                    <a:xfrm>
                      <a:off x="0" y="0"/>
                      <a:ext cx="2676525" cy="2590800"/>
                    </a:xfrm>
                    <a:prstGeom prst="rect">
                      <a:avLst/>
                    </a:prstGeom>
                    <a:noFill/>
                    <a:ln w="9525">
                      <a:noFill/>
                      <a:miter lim="800000"/>
                      <a:headEnd/>
                      <a:tailEnd/>
                    </a:ln>
                  </pic:spPr>
                </pic:pic>
              </a:graphicData>
            </a:graphic>
          </wp:inline>
        </w:drawing>
      </w:r>
      <w:r w:rsidRPr="00B06331">
        <w:rPr>
          <w:noProof/>
        </w:rPr>
        <w:drawing>
          <wp:inline distT="0" distB="0" distL="0" distR="0">
            <wp:extent cx="2743200" cy="2562225"/>
            <wp:effectExtent l="19050" t="0" r="0" b="0"/>
            <wp:docPr id="35"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49"/>
                    <a:srcRect/>
                    <a:stretch>
                      <a:fillRect/>
                    </a:stretch>
                  </pic:blipFill>
                  <pic:spPr bwMode="auto">
                    <a:xfrm>
                      <a:off x="0" y="0"/>
                      <a:ext cx="2743200" cy="2562225"/>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szCs w:val="24"/>
        </w:rPr>
      </w:pPr>
      <w:r w:rsidRPr="00B06331">
        <w:rPr>
          <w:rFonts w:ascii="Avenir Book" w:hAnsi="Avenir Book"/>
          <w:szCs w:val="24"/>
        </w:rPr>
        <w:t>Immunization rates, contraceptive prevalence rate and number of births attended by skilled birth attendants all show a marked difference between rural and urban LGAs.</w:t>
      </w:r>
    </w:p>
    <w:p w:rsidR="00D90C92" w:rsidRPr="00B06331" w:rsidRDefault="00D90C92" w:rsidP="00D90C92">
      <w:pPr>
        <w:spacing w:after="0" w:line="240" w:lineRule="auto"/>
        <w:rPr>
          <w:rFonts w:ascii="Avenir Book" w:hAnsi="Avenir Book"/>
          <w:b/>
          <w:sz w:val="20"/>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6.17</w:t>
      </w:r>
      <w:r w:rsidR="00D90C92" w:rsidRPr="00B06331">
        <w:rPr>
          <w:rFonts w:ascii="Avenir Book" w:hAnsi="Avenir Book"/>
          <w:b/>
          <w:sz w:val="18"/>
        </w:rPr>
        <w:t xml:space="preserve">: Proportion of Births Attended by </w:t>
      </w:r>
      <w:r w:rsidR="00D90C92" w:rsidRPr="00B06331">
        <w:rPr>
          <w:rFonts w:ascii="Avenir Book" w:hAnsi="Avenir Book"/>
          <w:b/>
          <w:sz w:val="18"/>
        </w:rPr>
        <w:tab/>
      </w:r>
      <w:r w:rsidRPr="00B06331">
        <w:rPr>
          <w:rFonts w:ascii="Avenir Book" w:hAnsi="Avenir Book"/>
          <w:b/>
          <w:sz w:val="18"/>
        </w:rPr>
        <w:t>Figure 6.18</w:t>
      </w:r>
      <w:r w:rsidR="00D90C92" w:rsidRPr="00B06331">
        <w:rPr>
          <w:rFonts w:ascii="Avenir Book" w:hAnsi="Avenir Book"/>
          <w:b/>
          <w:sz w:val="18"/>
        </w:rPr>
        <w:t xml:space="preserve">: Contraceptive Prevalence Rate by  </w:t>
      </w:r>
    </w:p>
    <w:p w:rsidR="00D90C92" w:rsidRPr="00B06331" w:rsidRDefault="00D90C92" w:rsidP="00D90C92">
      <w:pPr>
        <w:spacing w:after="0" w:line="240" w:lineRule="auto"/>
        <w:rPr>
          <w:rFonts w:ascii="Avenir Book" w:hAnsi="Avenir Book"/>
          <w:sz w:val="20"/>
        </w:rPr>
      </w:pPr>
      <w:r w:rsidRPr="00B06331">
        <w:rPr>
          <w:rFonts w:ascii="Avenir Book" w:hAnsi="Avenir Book"/>
          <w:b/>
          <w:sz w:val="18"/>
        </w:rPr>
        <w:t>Skilled Health Personnel by Administrative Area</w:t>
      </w:r>
      <w:r w:rsidRPr="00B06331">
        <w:rPr>
          <w:rFonts w:ascii="Avenir Book" w:hAnsi="Avenir Book"/>
          <w:b/>
          <w:sz w:val="18"/>
        </w:rPr>
        <w:tab/>
        <w:t>Administrative Area</w:t>
      </w:r>
    </w:p>
    <w:p w:rsidR="00D90C92" w:rsidRPr="00B06331" w:rsidRDefault="00D90C92" w:rsidP="00D90C92">
      <w:pPr>
        <w:jc w:val="both"/>
        <w:rPr>
          <w:rFonts w:ascii="Avenir Book" w:hAnsi="Avenir Book"/>
          <w:sz w:val="24"/>
          <w:szCs w:val="24"/>
        </w:rPr>
      </w:pPr>
      <w:r w:rsidRPr="00B06331">
        <w:rPr>
          <w:noProof/>
        </w:rPr>
        <w:drawing>
          <wp:inline distT="0" distB="0" distL="0" distR="0">
            <wp:extent cx="2752725" cy="2657475"/>
            <wp:effectExtent l="19050" t="0" r="9525" b="0"/>
            <wp:docPr id="34" name="Chart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8"/>
                    <pic:cNvPicPr>
                      <a:picLocks noChangeArrowheads="1"/>
                    </pic:cNvPicPr>
                  </pic:nvPicPr>
                  <pic:blipFill>
                    <a:blip r:embed="rId50"/>
                    <a:srcRect/>
                    <a:stretch>
                      <a:fillRect/>
                    </a:stretch>
                  </pic:blipFill>
                  <pic:spPr bwMode="auto">
                    <a:xfrm>
                      <a:off x="0" y="0"/>
                      <a:ext cx="2752725" cy="2657475"/>
                    </a:xfrm>
                    <a:prstGeom prst="rect">
                      <a:avLst/>
                    </a:prstGeom>
                    <a:noFill/>
                    <a:ln w="9525">
                      <a:noFill/>
                      <a:miter lim="800000"/>
                      <a:headEnd/>
                      <a:tailEnd/>
                    </a:ln>
                  </pic:spPr>
                </pic:pic>
              </a:graphicData>
            </a:graphic>
          </wp:inline>
        </w:drawing>
      </w:r>
      <w:r w:rsidRPr="00B06331">
        <w:rPr>
          <w:noProof/>
        </w:rPr>
        <w:drawing>
          <wp:inline distT="0" distB="0" distL="0" distR="0">
            <wp:extent cx="2752725" cy="2647950"/>
            <wp:effectExtent l="19050" t="0" r="9525" b="0"/>
            <wp:docPr id="33" name="Chart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0"/>
                    <pic:cNvPicPr>
                      <a:picLocks noChangeArrowheads="1"/>
                    </pic:cNvPicPr>
                  </pic:nvPicPr>
                  <pic:blipFill>
                    <a:blip r:embed="rId51"/>
                    <a:srcRect b="-96"/>
                    <a:stretch>
                      <a:fillRect/>
                    </a:stretch>
                  </pic:blipFill>
                  <pic:spPr bwMode="auto">
                    <a:xfrm>
                      <a:off x="0" y="0"/>
                      <a:ext cx="2752725" cy="2647950"/>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sz w:val="24"/>
          <w:szCs w:val="24"/>
        </w:rPr>
      </w:pPr>
    </w:p>
    <w:p w:rsidR="00D90C92" w:rsidRPr="00B06331" w:rsidRDefault="00D90C92" w:rsidP="00D90C92">
      <w:pPr>
        <w:spacing w:after="0"/>
        <w:jc w:val="both"/>
        <w:rPr>
          <w:rFonts w:ascii="Avenir Book" w:hAnsi="Avenir Book"/>
          <w:b/>
          <w:sz w:val="18"/>
          <w:szCs w:val="24"/>
        </w:rPr>
      </w:pPr>
    </w:p>
    <w:p w:rsidR="00D90C92" w:rsidRPr="00B06331" w:rsidRDefault="00D90C92" w:rsidP="00D90C92">
      <w:pPr>
        <w:spacing w:after="0"/>
        <w:jc w:val="both"/>
        <w:rPr>
          <w:rFonts w:ascii="Avenir Book" w:hAnsi="Avenir Book"/>
          <w:b/>
          <w:sz w:val="18"/>
          <w:szCs w:val="24"/>
        </w:rPr>
      </w:pPr>
    </w:p>
    <w:p w:rsidR="00D90C92" w:rsidRPr="00B06331" w:rsidRDefault="00D90C92" w:rsidP="00D90C92">
      <w:pPr>
        <w:spacing w:after="0"/>
        <w:jc w:val="both"/>
        <w:rPr>
          <w:rFonts w:ascii="Avenir Book" w:hAnsi="Avenir Book"/>
          <w:b/>
          <w:sz w:val="18"/>
          <w:szCs w:val="24"/>
        </w:rPr>
      </w:pPr>
    </w:p>
    <w:p w:rsidR="00D90C92" w:rsidRPr="00B06331" w:rsidRDefault="008D41AF" w:rsidP="00D90C92">
      <w:pPr>
        <w:spacing w:after="0"/>
        <w:jc w:val="both"/>
        <w:rPr>
          <w:rFonts w:ascii="Avenir Book" w:hAnsi="Avenir Book"/>
          <w:b/>
          <w:szCs w:val="24"/>
        </w:rPr>
      </w:pPr>
      <w:r w:rsidRPr="00B06331">
        <w:rPr>
          <w:rFonts w:ascii="Avenir Book" w:hAnsi="Avenir Book"/>
          <w:b/>
          <w:sz w:val="18"/>
          <w:szCs w:val="24"/>
        </w:rPr>
        <w:t>Figure 6.19</w:t>
      </w:r>
      <w:r w:rsidR="00D90C92" w:rsidRPr="00B06331">
        <w:rPr>
          <w:rFonts w:ascii="Avenir Book" w:hAnsi="Avenir Book"/>
          <w:b/>
          <w:sz w:val="18"/>
          <w:szCs w:val="24"/>
        </w:rPr>
        <w:t>: Immunization Coverage by Administrative Area</w:t>
      </w:r>
    </w:p>
    <w:p w:rsidR="00D90C92" w:rsidRPr="00B06331" w:rsidRDefault="00D90C92" w:rsidP="008D41AF">
      <w:pPr>
        <w:jc w:val="both"/>
        <w:rPr>
          <w:rFonts w:ascii="Avenir Book" w:hAnsi="Avenir Book"/>
          <w:sz w:val="24"/>
          <w:szCs w:val="24"/>
        </w:rPr>
      </w:pPr>
      <w:r w:rsidRPr="00B06331">
        <w:rPr>
          <w:noProof/>
        </w:rPr>
        <w:drawing>
          <wp:inline distT="0" distB="0" distL="0" distR="0">
            <wp:extent cx="5286375" cy="2743200"/>
            <wp:effectExtent l="19050" t="0" r="9525" b="0"/>
            <wp:docPr id="32" name="Chart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4"/>
                    <pic:cNvPicPr>
                      <a:picLocks noChangeArrowheads="1"/>
                    </pic:cNvPicPr>
                  </pic:nvPicPr>
                  <pic:blipFill>
                    <a:blip r:embed="rId52"/>
                    <a:srcRect b="-23"/>
                    <a:stretch>
                      <a:fillRect/>
                    </a:stretch>
                  </pic:blipFill>
                  <pic:spPr bwMode="auto">
                    <a:xfrm>
                      <a:off x="0" y="0"/>
                      <a:ext cx="5286375" cy="2743200"/>
                    </a:xfrm>
                    <a:prstGeom prst="rect">
                      <a:avLst/>
                    </a:prstGeom>
                    <a:noFill/>
                    <a:ln w="9525">
                      <a:noFill/>
                      <a:miter lim="800000"/>
                      <a:headEnd/>
                      <a:tailEnd/>
                    </a:ln>
                  </pic:spPr>
                </pic:pic>
              </a:graphicData>
            </a:graphic>
          </wp:inline>
        </w:drawing>
      </w:r>
    </w:p>
    <w:p w:rsidR="00D90C92" w:rsidRPr="00B06331" w:rsidRDefault="00D90C92" w:rsidP="008D41AF">
      <w:pPr>
        <w:pStyle w:val="Heading2"/>
        <w:rPr>
          <w:rFonts w:asciiTheme="minorHAnsi" w:hAnsiTheme="minorHAnsi" w:cstheme="minorHAnsi"/>
          <w:sz w:val="22"/>
          <w:szCs w:val="22"/>
        </w:rPr>
      </w:pPr>
      <w:bookmarkStart w:id="106" w:name="_Toc492364768"/>
      <w:r w:rsidRPr="00B06331">
        <w:rPr>
          <w:rFonts w:asciiTheme="minorHAnsi" w:hAnsiTheme="minorHAnsi" w:cstheme="minorHAnsi"/>
          <w:sz w:val="22"/>
          <w:szCs w:val="22"/>
        </w:rPr>
        <w:t xml:space="preserve">6.4 </w:t>
      </w:r>
      <w:r w:rsidR="00741855" w:rsidRPr="00B06331">
        <w:rPr>
          <w:rFonts w:asciiTheme="minorHAnsi" w:hAnsiTheme="minorHAnsi" w:cstheme="minorHAnsi"/>
          <w:sz w:val="22"/>
          <w:szCs w:val="22"/>
        </w:rPr>
        <w:t>Labour</w:t>
      </w:r>
      <w:r w:rsidRPr="00B06331">
        <w:rPr>
          <w:rFonts w:asciiTheme="minorHAnsi" w:hAnsiTheme="minorHAnsi" w:cstheme="minorHAnsi"/>
          <w:sz w:val="22"/>
          <w:szCs w:val="22"/>
        </w:rPr>
        <w:t xml:space="preserve"> and Employment</w:t>
      </w:r>
      <w:bookmarkEnd w:id="106"/>
    </w:p>
    <w:p w:rsidR="00D90C92" w:rsidRPr="00B06331" w:rsidRDefault="00D90C92" w:rsidP="00D90C92">
      <w:pPr>
        <w:jc w:val="both"/>
        <w:rPr>
          <w:rFonts w:ascii="Avenir Book" w:hAnsi="Avenir Book"/>
          <w:szCs w:val="24"/>
        </w:rPr>
      </w:pPr>
      <w:r w:rsidRPr="00B06331">
        <w:rPr>
          <w:rFonts w:ascii="Avenir Book" w:hAnsi="Avenir Book"/>
          <w:szCs w:val="24"/>
        </w:rPr>
        <w:t>The working age population was estimated at 79.4% of the total population; the figures were higher for females (78.4%) than males (76.4%) and urban (79.7%) as compared to rural (74.7%).</w:t>
      </w:r>
    </w:p>
    <w:p w:rsidR="00D90C92" w:rsidRPr="00B06331" w:rsidRDefault="00D90C92" w:rsidP="00D90C92">
      <w:pPr>
        <w:jc w:val="both"/>
        <w:rPr>
          <w:rFonts w:ascii="Avenir Book" w:hAnsi="Avenir Book"/>
          <w:szCs w:val="24"/>
        </w:rPr>
      </w:pPr>
      <w:r w:rsidRPr="00B06331">
        <w:rPr>
          <w:rFonts w:ascii="Avenir Book" w:hAnsi="Avenir Book"/>
          <w:szCs w:val="24"/>
        </w:rPr>
        <w:t>Among the working age population, 47.7% is economically active. There is significantly higher figure for men (60.8%) than women (44.1%), although the latter has a higher proportion of working age population.</w:t>
      </w:r>
    </w:p>
    <w:p w:rsidR="00D90C92" w:rsidRPr="00B06331" w:rsidRDefault="00D90C92" w:rsidP="00D90C92">
      <w:pPr>
        <w:jc w:val="both"/>
        <w:rPr>
          <w:rFonts w:ascii="Avenir Book" w:hAnsi="Avenir Book"/>
          <w:sz w:val="24"/>
          <w:szCs w:val="24"/>
        </w:rPr>
      </w:pPr>
      <w:r w:rsidRPr="00B06331">
        <w:rPr>
          <w:rFonts w:ascii="Avenir Book" w:hAnsi="Avenir Book"/>
          <w:szCs w:val="24"/>
        </w:rPr>
        <w:t xml:space="preserve">Only 5 out of 10 Gambians in the working age population (51%) are currently employed. There are proportionately more of these in rural as opposed to urban areas. Another critical dimension is youth who data show that across age </w:t>
      </w:r>
      <w:r w:rsidR="00741855" w:rsidRPr="00B06331">
        <w:rPr>
          <w:rFonts w:ascii="Avenir Book" w:hAnsi="Avenir Book"/>
          <w:szCs w:val="24"/>
        </w:rPr>
        <w:t>groups;</w:t>
      </w:r>
      <w:r w:rsidRPr="00B06331">
        <w:rPr>
          <w:rFonts w:ascii="Avenir Book" w:hAnsi="Avenir Book"/>
          <w:szCs w:val="24"/>
        </w:rPr>
        <w:t xml:space="preserve"> nearly 61.7% (15-24 years) reported unemployed. </w:t>
      </w:r>
    </w:p>
    <w:p w:rsidR="00D90C92" w:rsidRPr="00B06331" w:rsidRDefault="00D90C92" w:rsidP="00D90C92">
      <w:pPr>
        <w:jc w:val="both"/>
        <w:rPr>
          <w:rFonts w:ascii="Avenir Book" w:hAnsi="Avenir Book"/>
          <w:szCs w:val="24"/>
        </w:rPr>
      </w:pPr>
      <w:r w:rsidRPr="00B06331">
        <w:rPr>
          <w:rFonts w:ascii="Avenir Book" w:hAnsi="Avenir Book"/>
          <w:szCs w:val="24"/>
        </w:rPr>
        <w:t>In terms of public policy, government must urgently tackle the twin problems of urban and youth unemployment. The high population concentration of Gambia’s population in urban areas, the youthful age of the country’s population combined with lowered employment rates of these two segments, means that government must tackle the growing challenge of urban and youth employment as an urgent priority.</w:t>
      </w:r>
    </w:p>
    <w:p w:rsidR="00D90C92" w:rsidRPr="00B06331" w:rsidRDefault="00D90C92" w:rsidP="008D41AF">
      <w:pPr>
        <w:pStyle w:val="Heading2"/>
        <w:rPr>
          <w:rFonts w:asciiTheme="minorHAnsi" w:hAnsiTheme="minorHAnsi" w:cstheme="minorHAnsi"/>
          <w:sz w:val="22"/>
          <w:szCs w:val="22"/>
        </w:rPr>
      </w:pPr>
      <w:bookmarkStart w:id="107" w:name="_Toc492364769"/>
      <w:r w:rsidRPr="00B06331">
        <w:rPr>
          <w:rFonts w:asciiTheme="minorHAnsi" w:hAnsiTheme="minorHAnsi" w:cstheme="minorHAnsi"/>
          <w:sz w:val="22"/>
          <w:szCs w:val="22"/>
        </w:rPr>
        <w:t>6.5 Access to Basic Services and Household Assets</w:t>
      </w:r>
      <w:bookmarkEnd w:id="107"/>
    </w:p>
    <w:p w:rsidR="00D90C92" w:rsidRPr="00B06331" w:rsidRDefault="00D90C92" w:rsidP="00D90C92">
      <w:pPr>
        <w:jc w:val="both"/>
        <w:rPr>
          <w:rFonts w:ascii="Avenir Book" w:hAnsi="Avenir Book"/>
          <w:szCs w:val="24"/>
        </w:rPr>
      </w:pPr>
      <w:r w:rsidRPr="00B06331">
        <w:rPr>
          <w:rFonts w:ascii="Avenir Book" w:hAnsi="Avenir Book"/>
          <w:szCs w:val="24"/>
        </w:rPr>
        <w:t>Provision of housing is of major concern in urban areas as only 46.5% of these households live in their own homes as compared to 88.4% in rural areas.</w:t>
      </w:r>
    </w:p>
    <w:p w:rsidR="00D90C92" w:rsidRPr="00B06331" w:rsidRDefault="00D90C92" w:rsidP="00D90C92">
      <w:pPr>
        <w:jc w:val="both"/>
        <w:rPr>
          <w:rFonts w:ascii="Avenir Book" w:hAnsi="Avenir Book"/>
          <w:szCs w:val="24"/>
        </w:rPr>
      </w:pPr>
      <w:r w:rsidRPr="00B06331">
        <w:rPr>
          <w:rFonts w:ascii="Avenir Book" w:hAnsi="Avenir Book"/>
          <w:szCs w:val="24"/>
        </w:rPr>
        <w:lastRenderedPageBreak/>
        <w:t>Between 2010 and 2015, there was a substantial improvement in the proportion of households with access to piped water indoors or in the compound (47.6% in 2015 up from 33.5% in 2010). However, as the figure below shows, urban LGAs had much better access than their more rural counterparts.</w:t>
      </w:r>
    </w:p>
    <w:p w:rsidR="00D90C92" w:rsidRPr="00B06331" w:rsidRDefault="00D90C92" w:rsidP="00D90C92">
      <w:pPr>
        <w:spacing w:after="0" w:line="240" w:lineRule="auto"/>
        <w:rPr>
          <w:rFonts w:ascii="Avenir Book" w:hAnsi="Avenir Book"/>
          <w:b/>
          <w:sz w:val="20"/>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6.20</w:t>
      </w:r>
      <w:r w:rsidR="00D90C92" w:rsidRPr="00B06331">
        <w:rPr>
          <w:rFonts w:ascii="Avenir Book" w:hAnsi="Avenir Book"/>
          <w:b/>
          <w:sz w:val="18"/>
        </w:rPr>
        <w:t xml:space="preserve">: Proportion of Population Using an  </w:t>
      </w:r>
      <w:r w:rsidR="00D90C92" w:rsidRPr="00B06331">
        <w:rPr>
          <w:rFonts w:ascii="Avenir Book" w:hAnsi="Avenir Book"/>
          <w:b/>
          <w:sz w:val="18"/>
        </w:rPr>
        <w:tab/>
        <w:t xml:space="preserve">    Figure 6.2</w:t>
      </w:r>
      <w:r w:rsidRPr="00B06331">
        <w:rPr>
          <w:rFonts w:ascii="Avenir Book" w:hAnsi="Avenir Book"/>
          <w:b/>
          <w:sz w:val="18"/>
        </w:rPr>
        <w:t>1</w:t>
      </w:r>
      <w:r w:rsidR="00D90C92" w:rsidRPr="00B06331">
        <w:rPr>
          <w:rFonts w:ascii="Avenir Book" w:hAnsi="Avenir Book"/>
          <w:b/>
          <w:sz w:val="18"/>
        </w:rPr>
        <w:t>: Proportion of PopulationUsing Improved</w:t>
      </w:r>
    </w:p>
    <w:p w:rsidR="00D90C92" w:rsidRPr="00B06331" w:rsidRDefault="00D90C92" w:rsidP="00D90C92">
      <w:pPr>
        <w:spacing w:line="240" w:lineRule="auto"/>
        <w:jc w:val="both"/>
        <w:rPr>
          <w:rFonts w:ascii="Avenir Book" w:hAnsi="Avenir Book"/>
          <w:sz w:val="20"/>
          <w:szCs w:val="24"/>
        </w:rPr>
      </w:pPr>
      <w:r w:rsidRPr="00B06331">
        <w:rPr>
          <w:rFonts w:ascii="Avenir Book" w:hAnsi="Avenir Book"/>
          <w:b/>
          <w:sz w:val="18"/>
        </w:rPr>
        <w:t>Improved Water Source by Administrative Area</w:t>
      </w:r>
      <w:r w:rsidRPr="00B06331">
        <w:rPr>
          <w:rFonts w:ascii="Avenir Book" w:hAnsi="Avenir Book"/>
          <w:b/>
          <w:sz w:val="18"/>
        </w:rPr>
        <w:tab/>
        <w:t xml:space="preserve">   Water Source in Rural and Urban Areas</w:t>
      </w:r>
    </w:p>
    <w:p w:rsidR="00D90C92" w:rsidRPr="00B06331" w:rsidRDefault="00D90C92" w:rsidP="00D90C92">
      <w:pPr>
        <w:spacing w:line="240" w:lineRule="auto"/>
        <w:jc w:val="both"/>
        <w:rPr>
          <w:rFonts w:ascii="Avenir Book" w:hAnsi="Avenir Book"/>
          <w:sz w:val="24"/>
          <w:szCs w:val="24"/>
        </w:rPr>
      </w:pPr>
      <w:r w:rsidRPr="00B06331">
        <w:rPr>
          <w:noProof/>
        </w:rPr>
        <w:drawing>
          <wp:inline distT="0" distB="0" distL="0" distR="0">
            <wp:extent cx="2752725" cy="2743200"/>
            <wp:effectExtent l="19050" t="0" r="9525" b="0"/>
            <wp:docPr id="31"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53"/>
                    <a:srcRect/>
                    <a:stretch>
                      <a:fillRect/>
                    </a:stretch>
                  </pic:blipFill>
                  <pic:spPr bwMode="auto">
                    <a:xfrm>
                      <a:off x="0" y="0"/>
                      <a:ext cx="2752725" cy="2743200"/>
                    </a:xfrm>
                    <a:prstGeom prst="rect">
                      <a:avLst/>
                    </a:prstGeom>
                    <a:noFill/>
                    <a:ln w="9525">
                      <a:noFill/>
                      <a:miter lim="800000"/>
                      <a:headEnd/>
                      <a:tailEnd/>
                    </a:ln>
                  </pic:spPr>
                </pic:pic>
              </a:graphicData>
            </a:graphic>
          </wp:inline>
        </w:drawing>
      </w:r>
      <w:r w:rsidRPr="00B06331">
        <w:rPr>
          <w:noProof/>
        </w:rPr>
        <w:drawing>
          <wp:inline distT="0" distB="0" distL="0" distR="0">
            <wp:extent cx="2752725" cy="2743200"/>
            <wp:effectExtent l="19050" t="0" r="9525" b="0"/>
            <wp:docPr id="30"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54"/>
                    <a:srcRect/>
                    <a:stretch>
                      <a:fillRect/>
                    </a:stretch>
                  </pic:blipFill>
                  <pic:spPr bwMode="auto">
                    <a:xfrm>
                      <a:off x="0" y="0"/>
                      <a:ext cx="2752725" cy="2743200"/>
                    </a:xfrm>
                    <a:prstGeom prst="rect">
                      <a:avLst/>
                    </a:prstGeom>
                    <a:noFill/>
                    <a:ln w="9525">
                      <a:noFill/>
                      <a:miter lim="800000"/>
                      <a:headEnd/>
                      <a:tailEnd/>
                    </a:ln>
                  </pic:spPr>
                </pic:pic>
              </a:graphicData>
            </a:graphic>
          </wp:inline>
        </w:drawing>
      </w:r>
    </w:p>
    <w:p w:rsidR="00D90C92" w:rsidRPr="00B06331" w:rsidRDefault="00D90C92" w:rsidP="008D41AF">
      <w:pPr>
        <w:jc w:val="both"/>
        <w:rPr>
          <w:rFonts w:ascii="Avenir Book" w:hAnsi="Avenir Book"/>
          <w:szCs w:val="24"/>
        </w:rPr>
      </w:pPr>
      <w:r w:rsidRPr="00B06331">
        <w:rPr>
          <w:rFonts w:ascii="Avenir Book" w:hAnsi="Avenir Book"/>
          <w:szCs w:val="24"/>
        </w:rPr>
        <w:t>Similarly, there was a substantial rise in the proportion of households that used flush toilets from 2010 (20.3%) to 2015 (28.2%), with very significant improvements in sanitation in Kerewan and Kuntaur LGAs. But in general, improved sanitation facilities were less in rural LGAs.</w:t>
      </w:r>
    </w:p>
    <w:p w:rsidR="00D90C92" w:rsidRPr="00B06331" w:rsidRDefault="008D41AF" w:rsidP="00D90C92">
      <w:pPr>
        <w:spacing w:after="0"/>
        <w:jc w:val="both"/>
        <w:rPr>
          <w:rFonts w:ascii="Avenir Book" w:hAnsi="Avenir Book"/>
          <w:b/>
          <w:sz w:val="18"/>
          <w:szCs w:val="24"/>
        </w:rPr>
      </w:pPr>
      <w:r w:rsidRPr="00B06331">
        <w:rPr>
          <w:rFonts w:ascii="Avenir Book" w:hAnsi="Avenir Book"/>
          <w:b/>
          <w:sz w:val="18"/>
          <w:szCs w:val="24"/>
        </w:rPr>
        <w:t>Table 6.1</w:t>
      </w:r>
      <w:r w:rsidR="00D90C92" w:rsidRPr="00B06331">
        <w:rPr>
          <w:rFonts w:ascii="Avenir Book" w:hAnsi="Avenir Book"/>
          <w:b/>
          <w:sz w:val="18"/>
          <w:szCs w:val="24"/>
        </w:rPr>
        <w:t xml:space="preserve">: Proportion of Population Using </w:t>
      </w:r>
      <w:r w:rsidR="00741855" w:rsidRPr="00B06331">
        <w:rPr>
          <w:rFonts w:ascii="Avenir Book" w:hAnsi="Avenir Book"/>
          <w:b/>
          <w:sz w:val="18"/>
          <w:szCs w:val="24"/>
        </w:rPr>
        <w:t>an</w:t>
      </w:r>
      <w:r w:rsidR="00D90C92" w:rsidRPr="00B06331">
        <w:rPr>
          <w:rFonts w:ascii="Avenir Book" w:hAnsi="Avenir Book"/>
          <w:b/>
          <w:sz w:val="18"/>
          <w:szCs w:val="24"/>
        </w:rPr>
        <w:t xml:space="preserve"> Improved Sanitation Facility</w:t>
      </w:r>
    </w:p>
    <w:p w:rsidR="00D90C92" w:rsidRPr="00B06331" w:rsidRDefault="00D90C92" w:rsidP="00D90C92">
      <w:pPr>
        <w:spacing w:after="0"/>
        <w:jc w:val="both"/>
        <w:rPr>
          <w:rFonts w:ascii="Avenir Book" w:hAnsi="Avenir Book"/>
          <w:b/>
          <w:sz w:val="18"/>
          <w:szCs w:val="24"/>
        </w:rPr>
      </w:pPr>
    </w:p>
    <w:tbl>
      <w:tblPr>
        <w:tblStyle w:val="GridTable4-Accent11"/>
        <w:tblW w:w="0" w:type="auto"/>
        <w:tblLook w:val="04A0"/>
      </w:tblPr>
      <w:tblGrid>
        <w:gridCol w:w="1197"/>
        <w:gridCol w:w="1197"/>
        <w:gridCol w:w="1197"/>
        <w:gridCol w:w="1197"/>
        <w:gridCol w:w="1197"/>
        <w:gridCol w:w="1197"/>
        <w:gridCol w:w="1197"/>
        <w:gridCol w:w="1197"/>
      </w:tblGrid>
      <w:tr w:rsidR="00D90C92" w:rsidRPr="00B06331" w:rsidTr="00D90C92">
        <w:trPr>
          <w:cnfStyle w:val="100000000000"/>
        </w:trPr>
        <w:tc>
          <w:tcPr>
            <w:cnfStyle w:val="001000000000"/>
            <w:tcW w:w="1197" w:type="dxa"/>
          </w:tcPr>
          <w:p w:rsidR="00D90C92" w:rsidRPr="00B06331" w:rsidRDefault="00D90C92" w:rsidP="00D90C92">
            <w:pPr>
              <w:spacing w:after="0"/>
              <w:jc w:val="both"/>
              <w:rPr>
                <w:rFonts w:ascii="Avenir Book" w:hAnsi="Avenir Book"/>
                <w:b w:val="0"/>
                <w:sz w:val="18"/>
                <w:szCs w:val="24"/>
              </w:rPr>
            </w:pPr>
            <w:r w:rsidRPr="00B06331">
              <w:rPr>
                <w:rFonts w:ascii="Avenir Book" w:hAnsi="Avenir Book"/>
                <w:b w:val="0"/>
                <w:sz w:val="18"/>
                <w:szCs w:val="24"/>
              </w:rPr>
              <w:t>Banjul</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Kanifing</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Brikama</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Kerewan</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Mansakonko</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Janjanbureh</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Kuntaur</w:t>
            </w:r>
          </w:p>
        </w:tc>
        <w:tc>
          <w:tcPr>
            <w:tcW w:w="1197" w:type="dxa"/>
          </w:tcPr>
          <w:p w:rsidR="00D90C92" w:rsidRPr="00B06331" w:rsidRDefault="008D41AF" w:rsidP="00D90C92">
            <w:pPr>
              <w:spacing w:after="0"/>
              <w:jc w:val="both"/>
              <w:cnfStyle w:val="100000000000"/>
              <w:rPr>
                <w:rFonts w:ascii="Avenir Book" w:hAnsi="Avenir Book"/>
                <w:b w:val="0"/>
                <w:sz w:val="18"/>
                <w:szCs w:val="24"/>
              </w:rPr>
            </w:pPr>
            <w:r w:rsidRPr="00B06331">
              <w:rPr>
                <w:rFonts w:ascii="Avenir Book" w:hAnsi="Avenir Book"/>
                <w:b w:val="0"/>
                <w:sz w:val="18"/>
                <w:szCs w:val="24"/>
              </w:rPr>
              <w:t>Basse</w:t>
            </w:r>
          </w:p>
        </w:tc>
      </w:tr>
      <w:tr w:rsidR="00D90C92" w:rsidRPr="00B06331" w:rsidTr="00D90C92">
        <w:trPr>
          <w:cnfStyle w:val="000000100000"/>
        </w:trPr>
        <w:tc>
          <w:tcPr>
            <w:cnfStyle w:val="001000000000"/>
            <w:tcW w:w="1197" w:type="dxa"/>
          </w:tcPr>
          <w:p w:rsidR="00D90C92" w:rsidRPr="00B06331" w:rsidRDefault="008D41AF" w:rsidP="00D90C92">
            <w:pPr>
              <w:spacing w:after="0"/>
              <w:jc w:val="both"/>
              <w:rPr>
                <w:rFonts w:ascii="Avenir Book" w:hAnsi="Avenir Book"/>
                <w:b w:val="0"/>
                <w:sz w:val="18"/>
                <w:szCs w:val="24"/>
              </w:rPr>
            </w:pPr>
            <w:r w:rsidRPr="00B06331">
              <w:rPr>
                <w:rFonts w:ascii="Avenir Book" w:hAnsi="Avenir Book"/>
                <w:b w:val="0"/>
                <w:sz w:val="18"/>
                <w:szCs w:val="24"/>
              </w:rPr>
              <w:t>98.5</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97.1</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86.25</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54.7</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74.5</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77.5</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86</w:t>
            </w:r>
          </w:p>
        </w:tc>
        <w:tc>
          <w:tcPr>
            <w:tcW w:w="1197" w:type="dxa"/>
          </w:tcPr>
          <w:p w:rsidR="00D90C92" w:rsidRPr="00B06331" w:rsidRDefault="008D41AF" w:rsidP="00D90C92">
            <w:pPr>
              <w:spacing w:after="0"/>
              <w:jc w:val="both"/>
              <w:cnfStyle w:val="000000100000"/>
              <w:rPr>
                <w:rFonts w:ascii="Avenir Book" w:hAnsi="Avenir Book"/>
                <w:b/>
                <w:sz w:val="18"/>
                <w:szCs w:val="24"/>
              </w:rPr>
            </w:pPr>
            <w:r w:rsidRPr="00B06331">
              <w:rPr>
                <w:rFonts w:ascii="Avenir Book" w:hAnsi="Avenir Book"/>
                <w:b/>
                <w:sz w:val="18"/>
                <w:szCs w:val="24"/>
              </w:rPr>
              <w:t>39.7</w:t>
            </w:r>
          </w:p>
        </w:tc>
      </w:tr>
    </w:tbl>
    <w:p w:rsidR="00D90C92" w:rsidRPr="00B06331" w:rsidRDefault="00D90C92" w:rsidP="00D90C92">
      <w:pPr>
        <w:jc w:val="both"/>
        <w:rPr>
          <w:rFonts w:ascii="Avenir Book" w:hAnsi="Avenir Book"/>
          <w:szCs w:val="24"/>
        </w:rPr>
      </w:pPr>
    </w:p>
    <w:p w:rsidR="00D90C92" w:rsidRPr="00B06331" w:rsidRDefault="00D90C92" w:rsidP="00D90C92">
      <w:pPr>
        <w:jc w:val="both"/>
        <w:rPr>
          <w:rFonts w:ascii="Avenir Book" w:hAnsi="Avenir Book"/>
          <w:szCs w:val="24"/>
        </w:rPr>
      </w:pPr>
      <w:r w:rsidRPr="00B06331">
        <w:rPr>
          <w:rFonts w:ascii="Avenir Book" w:hAnsi="Avenir Book"/>
          <w:szCs w:val="24"/>
        </w:rPr>
        <w:t>Some 52.2% of Gambian households used electricity for lighting their homes in 2015, which represented a 16.1% increase over 2010. However, access to electricity was much higher in Banjul (90.1%) than other urban centers (73.6%) and rural areas (14.2%).</w:t>
      </w: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8D41AF" w:rsidRPr="00B06331" w:rsidRDefault="008D41AF" w:rsidP="00D90C92">
      <w:pPr>
        <w:spacing w:after="0" w:line="240" w:lineRule="auto"/>
        <w:rPr>
          <w:rFonts w:ascii="Avenir Book" w:hAnsi="Avenir Book"/>
          <w:b/>
          <w:sz w:val="18"/>
        </w:rPr>
      </w:pPr>
    </w:p>
    <w:p w:rsidR="00D90C92" w:rsidRPr="00B06331" w:rsidRDefault="008D41AF" w:rsidP="00D90C92">
      <w:pPr>
        <w:spacing w:after="0" w:line="240" w:lineRule="auto"/>
        <w:rPr>
          <w:rFonts w:ascii="Avenir Book" w:hAnsi="Avenir Book"/>
          <w:b/>
          <w:sz w:val="18"/>
        </w:rPr>
      </w:pPr>
      <w:r w:rsidRPr="00B06331">
        <w:rPr>
          <w:rFonts w:ascii="Avenir Book" w:hAnsi="Avenir Book"/>
          <w:b/>
          <w:sz w:val="18"/>
        </w:rPr>
        <w:t>Figure 6.23</w:t>
      </w:r>
      <w:r w:rsidR="00D90C92" w:rsidRPr="00B06331">
        <w:rPr>
          <w:rFonts w:ascii="Avenir Book" w:hAnsi="Avenir Book"/>
          <w:b/>
          <w:sz w:val="18"/>
        </w:rPr>
        <w:t xml:space="preserve">: Proportion of Population with  </w:t>
      </w:r>
      <w:r w:rsidR="00D90C92" w:rsidRPr="00B06331">
        <w:rPr>
          <w:rFonts w:ascii="Avenir Book" w:hAnsi="Avenir Book"/>
          <w:b/>
          <w:sz w:val="18"/>
        </w:rPr>
        <w:tab/>
      </w:r>
      <w:r w:rsidR="00D90C92" w:rsidRPr="00B06331">
        <w:rPr>
          <w:rFonts w:ascii="Avenir Book" w:hAnsi="Avenir Book"/>
          <w:b/>
          <w:sz w:val="18"/>
        </w:rPr>
        <w:tab/>
      </w:r>
      <w:r w:rsidRPr="00B06331">
        <w:rPr>
          <w:rFonts w:ascii="Avenir Book" w:hAnsi="Avenir Book"/>
          <w:b/>
          <w:sz w:val="18"/>
        </w:rPr>
        <w:t>Figure 6.24</w:t>
      </w:r>
      <w:r w:rsidR="00D90C92" w:rsidRPr="00B06331">
        <w:rPr>
          <w:rFonts w:ascii="Avenir Book" w:hAnsi="Avenir Book"/>
          <w:b/>
          <w:sz w:val="18"/>
        </w:rPr>
        <w:t xml:space="preserve">: Population with Access to Electricity </w:t>
      </w:r>
    </w:p>
    <w:p w:rsidR="00D90C92" w:rsidRPr="00B06331" w:rsidRDefault="00D90C92" w:rsidP="00D90C92">
      <w:pPr>
        <w:spacing w:line="240" w:lineRule="auto"/>
        <w:jc w:val="both"/>
        <w:rPr>
          <w:rFonts w:ascii="Avenir Book" w:hAnsi="Avenir Book"/>
          <w:color w:val="FF0000"/>
          <w:szCs w:val="24"/>
        </w:rPr>
      </w:pPr>
      <w:r w:rsidRPr="00B06331">
        <w:rPr>
          <w:rFonts w:ascii="Avenir Book" w:hAnsi="Avenir Book"/>
          <w:b/>
          <w:sz w:val="18"/>
        </w:rPr>
        <w:t>Access to Electricity by Administrative Area</w:t>
      </w:r>
      <w:r w:rsidRPr="00B06331">
        <w:rPr>
          <w:rFonts w:ascii="Avenir Book" w:hAnsi="Avenir Book"/>
          <w:b/>
          <w:sz w:val="18"/>
        </w:rPr>
        <w:tab/>
        <w:t xml:space="preserve">                      in Rural and Urban Areas </w:t>
      </w:r>
    </w:p>
    <w:p w:rsidR="00D90C92" w:rsidRPr="00B06331" w:rsidRDefault="00D90C92" w:rsidP="00D90C92">
      <w:pPr>
        <w:spacing w:line="240" w:lineRule="auto"/>
        <w:jc w:val="both"/>
        <w:rPr>
          <w:rFonts w:ascii="Avenir Book" w:hAnsi="Avenir Book"/>
          <w:sz w:val="24"/>
          <w:szCs w:val="24"/>
        </w:rPr>
      </w:pPr>
      <w:r w:rsidRPr="00B06331">
        <w:rPr>
          <w:noProof/>
        </w:rPr>
        <w:drawing>
          <wp:inline distT="0" distB="0" distL="0" distR="0">
            <wp:extent cx="2752725" cy="2057400"/>
            <wp:effectExtent l="19050" t="0" r="9525" b="0"/>
            <wp:docPr id="19"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55"/>
                    <a:srcRect/>
                    <a:stretch>
                      <a:fillRect/>
                    </a:stretch>
                  </pic:blipFill>
                  <pic:spPr bwMode="auto">
                    <a:xfrm>
                      <a:off x="0" y="0"/>
                      <a:ext cx="2752725" cy="2057400"/>
                    </a:xfrm>
                    <a:prstGeom prst="rect">
                      <a:avLst/>
                    </a:prstGeom>
                    <a:noFill/>
                    <a:ln w="9525">
                      <a:noFill/>
                      <a:miter lim="800000"/>
                      <a:headEnd/>
                      <a:tailEnd/>
                    </a:ln>
                  </pic:spPr>
                </pic:pic>
              </a:graphicData>
            </a:graphic>
          </wp:inline>
        </w:drawing>
      </w:r>
      <w:r w:rsidRPr="00B06331">
        <w:rPr>
          <w:noProof/>
        </w:rPr>
        <w:drawing>
          <wp:inline distT="0" distB="0" distL="0" distR="0">
            <wp:extent cx="2752725" cy="2028825"/>
            <wp:effectExtent l="19050" t="0" r="9525" b="0"/>
            <wp:docPr id="18"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56"/>
                    <a:srcRect/>
                    <a:stretch>
                      <a:fillRect/>
                    </a:stretch>
                  </pic:blipFill>
                  <pic:spPr bwMode="auto">
                    <a:xfrm>
                      <a:off x="0" y="0"/>
                      <a:ext cx="2752725" cy="2028825"/>
                    </a:xfrm>
                    <a:prstGeom prst="rect">
                      <a:avLst/>
                    </a:prstGeom>
                    <a:noFill/>
                    <a:ln w="9525">
                      <a:noFill/>
                      <a:miter lim="800000"/>
                      <a:headEnd/>
                      <a:tailEnd/>
                    </a:ln>
                  </pic:spPr>
                </pic:pic>
              </a:graphicData>
            </a:graphic>
          </wp:inline>
        </w:drawing>
      </w:r>
    </w:p>
    <w:p w:rsidR="00D90C92" w:rsidRPr="00B06331" w:rsidRDefault="00D90C92" w:rsidP="00D90C92">
      <w:pPr>
        <w:jc w:val="both"/>
        <w:rPr>
          <w:rFonts w:ascii="Avenir Book" w:hAnsi="Avenir Book"/>
          <w:szCs w:val="24"/>
        </w:rPr>
      </w:pPr>
      <w:r w:rsidRPr="00B06331">
        <w:rPr>
          <w:rFonts w:ascii="Avenir Book" w:hAnsi="Avenir Book"/>
          <w:szCs w:val="24"/>
        </w:rPr>
        <w:t>Only 2% of Gambian households use gas or electricity for cooking; 59.8% used firewood and 31.7% used charcoal. This has significant environmental consequences.</w:t>
      </w:r>
    </w:p>
    <w:p w:rsidR="00D90C92" w:rsidRPr="00B06331" w:rsidRDefault="00D90C92" w:rsidP="00D90C92">
      <w:pPr>
        <w:jc w:val="both"/>
        <w:rPr>
          <w:rFonts w:ascii="Avenir Book" w:hAnsi="Avenir Book"/>
          <w:szCs w:val="24"/>
        </w:rPr>
      </w:pPr>
      <w:r w:rsidRPr="00B06331">
        <w:rPr>
          <w:rFonts w:ascii="Avenir Book" w:hAnsi="Avenir Book"/>
          <w:szCs w:val="24"/>
        </w:rPr>
        <w:t>The IHS 2015/16 showed that in 2015, 93.2% of Gambian households owned a mobile phone, and that in general, between 2010 and 2015, there was generally a significant improvement in ownership of modern assets by Gambian households.</w:t>
      </w:r>
    </w:p>
    <w:p w:rsidR="00D90C92" w:rsidRPr="00B06331" w:rsidRDefault="00D90C92" w:rsidP="008D41AF">
      <w:pPr>
        <w:jc w:val="both"/>
        <w:rPr>
          <w:rFonts w:ascii="Avenir Book" w:hAnsi="Avenir Book"/>
          <w:szCs w:val="24"/>
        </w:rPr>
      </w:pPr>
      <w:r w:rsidRPr="00B06331">
        <w:rPr>
          <w:rFonts w:ascii="Avenir Book" w:hAnsi="Avenir Book"/>
          <w:szCs w:val="24"/>
        </w:rPr>
        <w:t>Distance to facilities is an indicator of the access of populations to basic services and government efforts to locate them closer to where people live. Nationally, the supply of drinking water, the primary school and all-season roads are the closest facilities to households; on average, these are located 1.3 kmfrom households and are generally within 10-30 minutes walking distance from households, a factor which is significant as 80% of communities walk to reach facilities. However, distances and time taken to reach facilities is much higher for poorer households.</w:t>
      </w:r>
    </w:p>
    <w:p w:rsidR="00D90C92" w:rsidRPr="00B06331" w:rsidRDefault="00D90C92" w:rsidP="008D41AF">
      <w:pPr>
        <w:pStyle w:val="Heading2"/>
        <w:rPr>
          <w:rFonts w:asciiTheme="minorHAnsi" w:hAnsiTheme="minorHAnsi" w:cstheme="minorHAnsi"/>
          <w:sz w:val="22"/>
          <w:szCs w:val="22"/>
        </w:rPr>
      </w:pPr>
      <w:bookmarkStart w:id="108" w:name="_Toc492364770"/>
      <w:r w:rsidRPr="00B06331">
        <w:rPr>
          <w:rFonts w:asciiTheme="minorHAnsi" w:hAnsiTheme="minorHAnsi" w:cstheme="minorHAnsi"/>
          <w:sz w:val="22"/>
          <w:szCs w:val="22"/>
        </w:rPr>
        <w:t>6.6 Regional Profiles &amp; Development Challenges</w:t>
      </w:r>
      <w:bookmarkEnd w:id="108"/>
    </w:p>
    <w:p w:rsidR="00D90C92" w:rsidRPr="00B06331" w:rsidRDefault="00D90C92" w:rsidP="00D90C92">
      <w:pPr>
        <w:contextualSpacing/>
        <w:jc w:val="both"/>
        <w:rPr>
          <w:rFonts w:ascii="Avenir Book" w:hAnsi="Avenir Book"/>
          <w:szCs w:val="24"/>
        </w:rPr>
      </w:pPr>
      <w:r w:rsidRPr="00B06331">
        <w:rPr>
          <w:rFonts w:ascii="Avenir Book" w:hAnsi="Avenir Book"/>
          <w:szCs w:val="24"/>
        </w:rPr>
        <w:t xml:space="preserve">The preceding analysis of key socioeconomic indicators derived from the Integrated Household Survey (IHS) 2015/16 shows a dual socio-economic situation whereby there is a growing gap between an apparently affluent urban area with much higher access to basic services in education, health, water supply and sanitation, </w:t>
      </w:r>
      <w:r w:rsidR="00064C42" w:rsidRPr="00B06331">
        <w:rPr>
          <w:rFonts w:ascii="Avenir Book" w:hAnsi="Avenir Book"/>
          <w:szCs w:val="24"/>
        </w:rPr>
        <w:t>etc.</w:t>
      </w:r>
      <w:r w:rsidRPr="00B06331">
        <w:rPr>
          <w:rFonts w:ascii="Avenir Book" w:hAnsi="Avenir Book"/>
          <w:szCs w:val="24"/>
        </w:rPr>
        <w:t xml:space="preserve"> as compared to the rural areas where poverty is increasing. </w:t>
      </w:r>
    </w:p>
    <w:p w:rsidR="00D90C92" w:rsidRPr="00B06331" w:rsidRDefault="00D90C92" w:rsidP="00D90C92">
      <w:pPr>
        <w:contextualSpacing/>
        <w:jc w:val="both"/>
        <w:rPr>
          <w:rFonts w:ascii="Avenir Book" w:hAnsi="Avenir Book"/>
          <w:szCs w:val="24"/>
        </w:rPr>
      </w:pPr>
    </w:p>
    <w:p w:rsidR="00D90C92" w:rsidRPr="00B06331" w:rsidRDefault="00D90C92" w:rsidP="00D90C92">
      <w:pPr>
        <w:contextualSpacing/>
        <w:jc w:val="both"/>
        <w:rPr>
          <w:rFonts w:ascii="Avenir Book" w:hAnsi="Avenir Book"/>
          <w:szCs w:val="24"/>
        </w:rPr>
      </w:pPr>
      <w:r w:rsidRPr="00B06331">
        <w:rPr>
          <w:rFonts w:ascii="Avenir Book" w:hAnsi="Avenir Book"/>
          <w:szCs w:val="24"/>
        </w:rPr>
        <w:t xml:space="preserve">Table6.1 below summaries the key development challenges faced by the different administrative regions of the country, which the development plan needs to address. Previous national development plans have not paid sufficient attention to this issue and a key implementation strategy is to ensure a </w:t>
      </w:r>
      <w:r w:rsidRPr="00B06331">
        <w:rPr>
          <w:rFonts w:ascii="Avenir Book" w:hAnsi="Avenir Book"/>
          <w:szCs w:val="24"/>
        </w:rPr>
        <w:lastRenderedPageBreak/>
        <w:t>regionalized approach to development to address the gaps in access to services between the different regions of the country.</w:t>
      </w:r>
    </w:p>
    <w:p w:rsidR="008D41AF" w:rsidRPr="00B06331" w:rsidRDefault="008D41AF" w:rsidP="00D90C92">
      <w:pPr>
        <w:contextualSpacing/>
        <w:jc w:val="both"/>
        <w:rPr>
          <w:rFonts w:ascii="Avenir Book" w:hAnsi="Avenir Book"/>
          <w:szCs w:val="24"/>
        </w:rPr>
      </w:pPr>
    </w:p>
    <w:p w:rsidR="008D41AF" w:rsidRPr="00B06331" w:rsidRDefault="008D41AF" w:rsidP="00D90C92">
      <w:pPr>
        <w:contextualSpacing/>
        <w:jc w:val="both"/>
        <w:rPr>
          <w:rFonts w:ascii="Avenir Book" w:hAnsi="Avenir Book"/>
          <w:szCs w:val="24"/>
        </w:rPr>
      </w:pPr>
    </w:p>
    <w:p w:rsidR="00D90C92" w:rsidRPr="00B06331" w:rsidRDefault="00D90C92" w:rsidP="00D90C92">
      <w:pPr>
        <w:contextualSpacing/>
        <w:jc w:val="both"/>
        <w:rPr>
          <w:rFonts w:ascii="Avenir Book" w:hAnsi="Avenir Book"/>
          <w:szCs w:val="24"/>
        </w:rPr>
      </w:pPr>
    </w:p>
    <w:p w:rsidR="00D90C92" w:rsidRPr="00B06331" w:rsidRDefault="00D90C92" w:rsidP="00D90C92">
      <w:pPr>
        <w:rPr>
          <w:rFonts w:ascii="Avenir Book" w:hAnsi="Avenir Book"/>
          <w:b/>
        </w:rPr>
      </w:pPr>
      <w:r w:rsidRPr="00B06331">
        <w:rPr>
          <w:rFonts w:ascii="Avenir Book" w:hAnsi="Avenir Book"/>
          <w:b/>
          <w:sz w:val="24"/>
          <w:szCs w:val="24"/>
        </w:rPr>
        <w:t>Table</w:t>
      </w:r>
      <w:r w:rsidR="008D41AF" w:rsidRPr="00B06331">
        <w:rPr>
          <w:rFonts w:ascii="Avenir Book" w:hAnsi="Avenir Book"/>
          <w:b/>
        </w:rPr>
        <w:t>6.2</w:t>
      </w:r>
      <w:r w:rsidRPr="00B06331">
        <w:rPr>
          <w:rFonts w:ascii="Avenir Book" w:hAnsi="Avenir Book"/>
          <w:b/>
        </w:rPr>
        <w:t xml:space="preserve">: A Summary of Key Development Challenges by Administrative Region </w:t>
      </w:r>
    </w:p>
    <w:tbl>
      <w:tblPr>
        <w:tblW w:w="1017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745"/>
        <w:gridCol w:w="8428"/>
      </w:tblGrid>
      <w:tr w:rsidR="00D90C92" w:rsidRPr="00B06331" w:rsidTr="00C97931">
        <w:tc>
          <w:tcPr>
            <w:tcW w:w="1745" w:type="dxa"/>
            <w:tcBorders>
              <w:top w:val="single" w:sz="4" w:space="0" w:color="4472C4"/>
              <w:left w:val="single" w:sz="4" w:space="0" w:color="4472C4"/>
              <w:bottom w:val="single" w:sz="4" w:space="0" w:color="4472C4"/>
              <w:right w:val="nil"/>
            </w:tcBorders>
            <w:shd w:val="clear" w:color="auto" w:fill="4472C4"/>
          </w:tcPr>
          <w:p w:rsidR="00D90C92" w:rsidRPr="00B06331" w:rsidRDefault="00D90C92" w:rsidP="00C97931">
            <w:pPr>
              <w:rPr>
                <w:rFonts w:ascii="Avenir Book" w:hAnsi="Avenir Book"/>
                <w:b/>
                <w:bCs/>
                <w:color w:val="FFFFFF"/>
                <w:sz w:val="20"/>
                <w:szCs w:val="20"/>
              </w:rPr>
            </w:pPr>
            <w:r w:rsidRPr="00B06331">
              <w:rPr>
                <w:rFonts w:ascii="Avenir Book" w:hAnsi="Avenir Book"/>
                <w:b/>
                <w:bCs/>
                <w:color w:val="FFFFFF"/>
                <w:sz w:val="20"/>
                <w:szCs w:val="20"/>
              </w:rPr>
              <w:t>Administrative Region</w:t>
            </w:r>
          </w:p>
        </w:tc>
        <w:tc>
          <w:tcPr>
            <w:tcW w:w="8428" w:type="dxa"/>
            <w:tcBorders>
              <w:top w:val="single" w:sz="4" w:space="0" w:color="4472C4"/>
              <w:left w:val="nil"/>
              <w:bottom w:val="single" w:sz="4" w:space="0" w:color="4472C4"/>
              <w:right w:val="single" w:sz="4" w:space="0" w:color="4472C4"/>
            </w:tcBorders>
            <w:shd w:val="clear" w:color="auto" w:fill="4472C4"/>
          </w:tcPr>
          <w:p w:rsidR="00D90C92" w:rsidRPr="00B06331" w:rsidRDefault="00D90C92" w:rsidP="00C97931">
            <w:pPr>
              <w:rPr>
                <w:rFonts w:ascii="Avenir Book" w:hAnsi="Avenir Book"/>
                <w:b/>
                <w:bCs/>
                <w:color w:val="FFFFFF"/>
                <w:sz w:val="20"/>
                <w:szCs w:val="20"/>
              </w:rPr>
            </w:pPr>
            <w:r w:rsidRPr="00B06331">
              <w:rPr>
                <w:rFonts w:ascii="Avenir Book" w:hAnsi="Avenir Book"/>
                <w:b/>
                <w:bCs/>
                <w:color w:val="FFFFFF"/>
                <w:sz w:val="20"/>
                <w:szCs w:val="20"/>
              </w:rPr>
              <w:t>Key Development Challenges</w:t>
            </w:r>
          </w:p>
        </w:tc>
      </w:tr>
      <w:tr w:rsidR="00D90C92" w:rsidRPr="00B06331" w:rsidTr="00C97931">
        <w:tc>
          <w:tcPr>
            <w:tcW w:w="1745" w:type="dxa"/>
            <w:shd w:val="clear" w:color="auto" w:fill="D9E2F3"/>
          </w:tcPr>
          <w:p w:rsidR="00D90C92" w:rsidRPr="00B06331" w:rsidRDefault="00D90C92" w:rsidP="00C97931">
            <w:pPr>
              <w:rPr>
                <w:rFonts w:ascii="Avenir Book" w:hAnsi="Avenir Book"/>
                <w:b/>
                <w:bCs/>
                <w:sz w:val="20"/>
                <w:szCs w:val="20"/>
              </w:rPr>
            </w:pPr>
            <w:r w:rsidRPr="00B06331">
              <w:rPr>
                <w:rFonts w:ascii="Avenir Book" w:hAnsi="Avenir Book"/>
                <w:b/>
                <w:bCs/>
                <w:sz w:val="20"/>
                <w:szCs w:val="20"/>
              </w:rPr>
              <w:t>Banjul</w:t>
            </w:r>
          </w:p>
        </w:tc>
        <w:tc>
          <w:tcPr>
            <w:tcW w:w="8428" w:type="dxa"/>
            <w:shd w:val="clear" w:color="auto" w:fill="D9E2F3"/>
          </w:tcPr>
          <w:p w:rsidR="00D90C92" w:rsidRPr="00B06331" w:rsidRDefault="00D90C92" w:rsidP="00D90C92">
            <w:pPr>
              <w:pStyle w:val="ListParagraph"/>
              <w:numPr>
                <w:ilvl w:val="0"/>
                <w:numId w:val="77"/>
              </w:numPr>
              <w:spacing w:after="0"/>
              <w:jc w:val="both"/>
              <w:rPr>
                <w:rFonts w:ascii="Avenir Book" w:eastAsia="Times New Roman" w:hAnsi="Avenir Book" w:cs="Calibri"/>
                <w:bCs/>
                <w:color w:val="000000"/>
                <w:sz w:val="20"/>
                <w:szCs w:val="20"/>
              </w:rPr>
            </w:pPr>
            <w:r w:rsidRPr="00B06331">
              <w:rPr>
                <w:rFonts w:ascii="Avenir Book" w:eastAsia="Times New Roman" w:hAnsi="Avenir Book" w:cs="Calibri"/>
                <w:bCs/>
                <w:color w:val="000000"/>
                <w:sz w:val="20"/>
                <w:szCs w:val="20"/>
              </w:rPr>
              <w:t xml:space="preserve">High population density (2,531.2, Avg. </w:t>
            </w:r>
            <w:r w:rsidRPr="00B06331">
              <w:rPr>
                <w:rFonts w:ascii="Avenir Book" w:hAnsi="Avenir Book" w:cs="Calibri"/>
                <w:color w:val="000000"/>
                <w:sz w:val="20"/>
                <w:szCs w:val="20"/>
              </w:rPr>
              <w:t>173.9)</w:t>
            </w:r>
          </w:p>
          <w:p w:rsidR="00D90C92" w:rsidRPr="00B06331" w:rsidRDefault="00D90C92" w:rsidP="00D90C92">
            <w:pPr>
              <w:pStyle w:val="ListParagraph"/>
              <w:numPr>
                <w:ilvl w:val="0"/>
                <w:numId w:val="77"/>
              </w:numPr>
              <w:spacing w:after="0"/>
              <w:jc w:val="both"/>
              <w:rPr>
                <w:rFonts w:ascii="Avenir Book" w:eastAsia="Times New Roman" w:hAnsi="Avenir Book" w:cs="Calibri"/>
                <w:bCs/>
                <w:color w:val="000000"/>
                <w:sz w:val="20"/>
                <w:szCs w:val="20"/>
              </w:rPr>
            </w:pPr>
            <w:r w:rsidRPr="00B06331">
              <w:rPr>
                <w:rFonts w:ascii="Avenir Book" w:eastAsia="Times New Roman" w:hAnsi="Avenir Book" w:cs="Calibri"/>
                <w:bCs/>
                <w:color w:val="000000"/>
                <w:sz w:val="20"/>
                <w:szCs w:val="20"/>
              </w:rPr>
              <w:t xml:space="preserve">High unemployment (3.9, Avg. 1.9) </w:t>
            </w:r>
          </w:p>
        </w:tc>
      </w:tr>
      <w:tr w:rsidR="00D90C92" w:rsidRPr="00B06331" w:rsidTr="00C97931">
        <w:tc>
          <w:tcPr>
            <w:tcW w:w="1745" w:type="dxa"/>
            <w:shd w:val="clear" w:color="auto" w:fill="auto"/>
          </w:tcPr>
          <w:p w:rsidR="00D90C92" w:rsidRPr="00B06331" w:rsidRDefault="00D90C92" w:rsidP="00C97931">
            <w:pPr>
              <w:rPr>
                <w:rFonts w:ascii="Avenir Book" w:hAnsi="Avenir Book"/>
                <w:b/>
                <w:bCs/>
                <w:sz w:val="20"/>
                <w:szCs w:val="20"/>
              </w:rPr>
            </w:pPr>
            <w:r w:rsidRPr="00B06331">
              <w:rPr>
                <w:rFonts w:ascii="Avenir Book" w:hAnsi="Avenir Book"/>
                <w:b/>
                <w:bCs/>
                <w:sz w:val="20"/>
                <w:szCs w:val="20"/>
              </w:rPr>
              <w:t>Kanifing</w:t>
            </w:r>
          </w:p>
        </w:tc>
        <w:tc>
          <w:tcPr>
            <w:tcW w:w="8428" w:type="dxa"/>
            <w:shd w:val="clear" w:color="auto" w:fill="auto"/>
          </w:tcPr>
          <w:p w:rsidR="00D90C92" w:rsidRPr="00B06331" w:rsidRDefault="00D90C92" w:rsidP="00991700">
            <w:pPr>
              <w:pStyle w:val="ListParagraph"/>
              <w:numPr>
                <w:ilvl w:val="0"/>
                <w:numId w:val="118"/>
              </w:numPr>
              <w:spacing w:after="0"/>
              <w:jc w:val="both"/>
              <w:rPr>
                <w:rFonts w:ascii="Avenir Book" w:eastAsia="Times New Roman" w:hAnsi="Avenir Book" w:cs="Calibri"/>
                <w:bCs/>
                <w:color w:val="000000"/>
                <w:sz w:val="20"/>
                <w:szCs w:val="20"/>
              </w:rPr>
            </w:pPr>
            <w:r w:rsidRPr="00B06331">
              <w:rPr>
                <w:rFonts w:ascii="Avenir Book" w:eastAsia="Times New Roman" w:hAnsi="Avenir Book" w:cs="Calibri"/>
                <w:bCs/>
                <w:color w:val="000000"/>
                <w:sz w:val="20"/>
                <w:szCs w:val="20"/>
              </w:rPr>
              <w:t xml:space="preserve">High population density (4991.8, Avg. 173.9) </w:t>
            </w:r>
          </w:p>
          <w:p w:rsidR="00D90C92" w:rsidRPr="00B06331" w:rsidRDefault="00D90C92" w:rsidP="00991700">
            <w:pPr>
              <w:pStyle w:val="ListParagraph"/>
              <w:numPr>
                <w:ilvl w:val="0"/>
                <w:numId w:val="118"/>
              </w:numPr>
              <w:spacing w:after="0"/>
              <w:jc w:val="both"/>
              <w:rPr>
                <w:rFonts w:ascii="Avenir Book" w:hAnsi="Avenir Book"/>
                <w:sz w:val="20"/>
                <w:szCs w:val="20"/>
              </w:rPr>
            </w:pPr>
            <w:r w:rsidRPr="00B06331">
              <w:rPr>
                <w:rFonts w:ascii="Avenir Book" w:eastAsia="Times New Roman" w:hAnsi="Avenir Book" w:cs="Calibri"/>
                <w:bCs/>
                <w:color w:val="000000"/>
                <w:sz w:val="20"/>
                <w:szCs w:val="20"/>
              </w:rPr>
              <w:t>High inequality (0.3274, Avg. 0.3592)</w:t>
            </w:r>
          </w:p>
          <w:p w:rsidR="00D90C92" w:rsidRPr="00B06331" w:rsidRDefault="00D90C92" w:rsidP="00991700">
            <w:pPr>
              <w:pStyle w:val="ListParagraph"/>
              <w:numPr>
                <w:ilvl w:val="0"/>
                <w:numId w:val="118"/>
              </w:numPr>
              <w:spacing w:after="0"/>
              <w:jc w:val="both"/>
              <w:rPr>
                <w:rFonts w:ascii="Avenir Book" w:hAnsi="Avenir Book"/>
                <w:sz w:val="20"/>
                <w:szCs w:val="20"/>
              </w:rPr>
            </w:pPr>
            <w:r w:rsidRPr="00B06331">
              <w:rPr>
                <w:rFonts w:ascii="Avenir Book" w:hAnsi="Avenir Book"/>
                <w:sz w:val="20"/>
                <w:szCs w:val="20"/>
              </w:rPr>
              <w:t xml:space="preserve">High unemployment (3.9, Avg. 1.9) </w:t>
            </w:r>
          </w:p>
        </w:tc>
      </w:tr>
      <w:tr w:rsidR="00D90C92" w:rsidRPr="00B06331" w:rsidTr="00C97931">
        <w:tc>
          <w:tcPr>
            <w:tcW w:w="1745" w:type="dxa"/>
            <w:shd w:val="clear" w:color="auto" w:fill="D9E2F3"/>
          </w:tcPr>
          <w:p w:rsidR="00D90C92" w:rsidRPr="00B06331" w:rsidRDefault="00D90C92" w:rsidP="00C97931">
            <w:pPr>
              <w:rPr>
                <w:rFonts w:ascii="Avenir Book" w:hAnsi="Avenir Book"/>
                <w:b/>
                <w:bCs/>
                <w:sz w:val="20"/>
                <w:szCs w:val="20"/>
              </w:rPr>
            </w:pPr>
            <w:r w:rsidRPr="00B06331">
              <w:rPr>
                <w:rFonts w:ascii="Avenir Book" w:hAnsi="Avenir Book"/>
                <w:b/>
                <w:bCs/>
                <w:sz w:val="20"/>
                <w:szCs w:val="20"/>
              </w:rPr>
              <w:t>Brikama</w:t>
            </w:r>
          </w:p>
        </w:tc>
        <w:tc>
          <w:tcPr>
            <w:tcW w:w="8428" w:type="dxa"/>
            <w:shd w:val="clear" w:color="auto" w:fill="D9E2F3"/>
          </w:tcPr>
          <w:p w:rsidR="00D90C92" w:rsidRPr="00B06331" w:rsidRDefault="00D90C92" w:rsidP="00991700">
            <w:pPr>
              <w:pStyle w:val="ListParagraph"/>
              <w:numPr>
                <w:ilvl w:val="0"/>
                <w:numId w:val="119"/>
              </w:numPr>
              <w:spacing w:after="0"/>
              <w:jc w:val="both"/>
              <w:rPr>
                <w:rFonts w:ascii="Avenir Book" w:hAnsi="Avenir Book"/>
                <w:sz w:val="20"/>
                <w:szCs w:val="20"/>
              </w:rPr>
            </w:pPr>
            <w:r w:rsidRPr="00B06331">
              <w:rPr>
                <w:rFonts w:ascii="Avenir Book" w:hAnsi="Avenir Book"/>
                <w:sz w:val="20"/>
                <w:szCs w:val="20"/>
              </w:rPr>
              <w:t>High proportion of people living below the national poverty line (51.2, Avg. 48.6)</w:t>
            </w:r>
          </w:p>
          <w:p w:rsidR="00D90C92" w:rsidRPr="00B06331" w:rsidRDefault="00D90C92" w:rsidP="00991700">
            <w:pPr>
              <w:pStyle w:val="ListParagraph"/>
              <w:numPr>
                <w:ilvl w:val="0"/>
                <w:numId w:val="119"/>
              </w:numPr>
              <w:spacing w:after="0"/>
              <w:jc w:val="both"/>
              <w:rPr>
                <w:rFonts w:ascii="Avenir Book" w:hAnsi="Avenir Book"/>
                <w:sz w:val="20"/>
                <w:szCs w:val="20"/>
              </w:rPr>
            </w:pPr>
            <w:r w:rsidRPr="00B06331">
              <w:rPr>
                <w:rFonts w:ascii="Avenir Book" w:hAnsi="Avenir Book"/>
                <w:sz w:val="20"/>
                <w:szCs w:val="20"/>
              </w:rPr>
              <w:t>Highest poverty gap (21.9, Avg. 18.2)</w:t>
            </w:r>
          </w:p>
          <w:p w:rsidR="00D90C92" w:rsidRPr="00B06331" w:rsidRDefault="00D90C92" w:rsidP="00991700">
            <w:pPr>
              <w:pStyle w:val="ListParagraph"/>
              <w:numPr>
                <w:ilvl w:val="0"/>
                <w:numId w:val="119"/>
              </w:numPr>
              <w:spacing w:after="0"/>
              <w:jc w:val="both"/>
              <w:rPr>
                <w:rFonts w:ascii="Avenir Book" w:hAnsi="Avenir Book"/>
                <w:sz w:val="20"/>
                <w:szCs w:val="20"/>
              </w:rPr>
            </w:pPr>
            <w:r w:rsidRPr="00B06331">
              <w:rPr>
                <w:rFonts w:ascii="Avenir Book" w:hAnsi="Avenir Book"/>
                <w:sz w:val="20"/>
                <w:szCs w:val="20"/>
              </w:rPr>
              <w:t>Highest inequality (0.3547)</w:t>
            </w:r>
          </w:p>
          <w:p w:rsidR="00D90C92" w:rsidRPr="00B06331" w:rsidRDefault="00D90C92" w:rsidP="00991700">
            <w:pPr>
              <w:pStyle w:val="ListParagraph"/>
              <w:numPr>
                <w:ilvl w:val="0"/>
                <w:numId w:val="119"/>
              </w:numPr>
              <w:spacing w:after="0"/>
              <w:jc w:val="both"/>
              <w:rPr>
                <w:rFonts w:ascii="Avenir Book" w:hAnsi="Avenir Book"/>
                <w:sz w:val="20"/>
                <w:szCs w:val="20"/>
              </w:rPr>
            </w:pPr>
            <w:r w:rsidRPr="00B06331">
              <w:rPr>
                <w:rFonts w:ascii="Avenir Book" w:hAnsi="Avenir Book"/>
                <w:sz w:val="20"/>
                <w:szCs w:val="20"/>
              </w:rPr>
              <w:t>Highest food poverty (62.2, Avg. 55.1)</w:t>
            </w:r>
          </w:p>
          <w:p w:rsidR="00D90C92" w:rsidRPr="00B06331" w:rsidRDefault="00D90C92" w:rsidP="00991700">
            <w:pPr>
              <w:pStyle w:val="ListParagraph"/>
              <w:numPr>
                <w:ilvl w:val="0"/>
                <w:numId w:val="119"/>
              </w:numPr>
              <w:spacing w:after="0"/>
              <w:jc w:val="both"/>
              <w:rPr>
                <w:rFonts w:ascii="Avenir Book" w:hAnsi="Avenir Book"/>
                <w:sz w:val="20"/>
                <w:szCs w:val="20"/>
              </w:rPr>
            </w:pPr>
            <w:r w:rsidRPr="00B06331">
              <w:rPr>
                <w:rFonts w:ascii="Avenir Book" w:hAnsi="Avenir Book"/>
                <w:sz w:val="20"/>
                <w:szCs w:val="20"/>
              </w:rPr>
              <w:t>Low access to electricity (42.9, Avg. 47.9)</w:t>
            </w:r>
          </w:p>
          <w:p w:rsidR="00D90C92" w:rsidRPr="00B06331" w:rsidRDefault="00D90C92" w:rsidP="00991700">
            <w:pPr>
              <w:pStyle w:val="ListParagraph"/>
              <w:numPr>
                <w:ilvl w:val="0"/>
                <w:numId w:val="119"/>
              </w:numPr>
              <w:spacing w:after="0"/>
              <w:jc w:val="both"/>
              <w:rPr>
                <w:rFonts w:ascii="Avenir Book" w:hAnsi="Avenir Book"/>
                <w:sz w:val="20"/>
                <w:szCs w:val="20"/>
              </w:rPr>
            </w:pPr>
            <w:r w:rsidRPr="00B06331">
              <w:rPr>
                <w:rFonts w:ascii="Avenir Book" w:hAnsi="Avenir Book"/>
                <w:sz w:val="20"/>
                <w:szCs w:val="20"/>
              </w:rPr>
              <w:t>HIV prevalence (2.5, Avg. 1.8)</w:t>
            </w:r>
          </w:p>
          <w:p w:rsidR="00D90C92" w:rsidRPr="00B06331" w:rsidRDefault="00D90C92" w:rsidP="00991700">
            <w:pPr>
              <w:pStyle w:val="ListParagraph"/>
              <w:numPr>
                <w:ilvl w:val="0"/>
                <w:numId w:val="119"/>
              </w:numPr>
              <w:jc w:val="both"/>
              <w:rPr>
                <w:rFonts w:ascii="Avenir Book" w:hAnsi="Avenir Book"/>
                <w:sz w:val="20"/>
                <w:szCs w:val="20"/>
              </w:rPr>
            </w:pPr>
            <w:r w:rsidRPr="00B06331">
              <w:rPr>
                <w:rFonts w:ascii="Avenir Book" w:hAnsi="Avenir Book"/>
                <w:sz w:val="20"/>
                <w:szCs w:val="20"/>
              </w:rPr>
              <w:t>Unemployment high</w:t>
            </w:r>
          </w:p>
        </w:tc>
      </w:tr>
      <w:tr w:rsidR="00D90C92" w:rsidRPr="00B06331" w:rsidTr="00C97931">
        <w:tc>
          <w:tcPr>
            <w:tcW w:w="1745" w:type="dxa"/>
            <w:shd w:val="clear" w:color="auto" w:fill="auto"/>
          </w:tcPr>
          <w:p w:rsidR="00D90C92" w:rsidRPr="00B06331" w:rsidRDefault="00D90C92" w:rsidP="00C97931">
            <w:pPr>
              <w:spacing w:after="0"/>
              <w:rPr>
                <w:rFonts w:ascii="Avenir Book" w:hAnsi="Avenir Book"/>
                <w:b/>
                <w:bCs/>
                <w:sz w:val="20"/>
                <w:szCs w:val="20"/>
              </w:rPr>
            </w:pPr>
            <w:r w:rsidRPr="00B06331">
              <w:rPr>
                <w:rFonts w:ascii="Avenir Book" w:hAnsi="Avenir Book"/>
                <w:b/>
                <w:bCs/>
                <w:sz w:val="20"/>
                <w:szCs w:val="20"/>
              </w:rPr>
              <w:t>Kerewan</w:t>
            </w:r>
          </w:p>
        </w:tc>
        <w:tc>
          <w:tcPr>
            <w:tcW w:w="8428" w:type="dxa"/>
            <w:shd w:val="clear" w:color="auto" w:fill="auto"/>
          </w:tcPr>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High proportion of people living below the national poverty line (59.8, Avg. 48.6)</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High prevalence of stunting (31.7, Avg. 23.4)</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Low access to improved drinking water sources (49.2, Avg. 60.8)</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Low access to electricity (24.6, Avg. 47.9)</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Low NER secondary</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Low GER secondary</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 xml:space="preserve">Low NER tertiary </w:t>
            </w:r>
          </w:p>
          <w:p w:rsidR="00D90C92" w:rsidRPr="00B06331" w:rsidRDefault="00D90C92" w:rsidP="00991700">
            <w:pPr>
              <w:pStyle w:val="ListParagraph"/>
              <w:numPr>
                <w:ilvl w:val="0"/>
                <w:numId w:val="120"/>
              </w:numPr>
              <w:spacing w:after="0"/>
              <w:jc w:val="both"/>
              <w:rPr>
                <w:rFonts w:ascii="Avenir Book" w:hAnsi="Avenir Book"/>
                <w:sz w:val="20"/>
                <w:szCs w:val="20"/>
              </w:rPr>
            </w:pPr>
            <w:r w:rsidRPr="00B06331">
              <w:rPr>
                <w:rFonts w:ascii="Avenir Book" w:hAnsi="Avenir Book"/>
                <w:sz w:val="20"/>
                <w:szCs w:val="20"/>
              </w:rPr>
              <w:t>High Under five mortality (72.1, Avg. N/A)</w:t>
            </w:r>
          </w:p>
          <w:p w:rsidR="00D90C92" w:rsidRPr="00B06331" w:rsidRDefault="00D90C92" w:rsidP="00991700">
            <w:pPr>
              <w:pStyle w:val="ListParagraph"/>
              <w:numPr>
                <w:ilvl w:val="0"/>
                <w:numId w:val="121"/>
              </w:numPr>
              <w:spacing w:after="0"/>
              <w:jc w:val="both"/>
              <w:rPr>
                <w:rFonts w:ascii="Avenir Book" w:hAnsi="Avenir Book"/>
                <w:sz w:val="20"/>
                <w:szCs w:val="20"/>
              </w:rPr>
            </w:pPr>
            <w:r w:rsidRPr="00B06331">
              <w:rPr>
                <w:rFonts w:ascii="Avenir Book" w:hAnsi="Avenir Book"/>
                <w:sz w:val="20"/>
                <w:szCs w:val="20"/>
              </w:rPr>
              <w:t>Low immunization coverage (48.9, Avg. 64.3)</w:t>
            </w:r>
          </w:p>
          <w:p w:rsidR="00D90C92" w:rsidRPr="00B06331" w:rsidRDefault="00D90C92" w:rsidP="00991700">
            <w:pPr>
              <w:pStyle w:val="ListParagraph"/>
              <w:numPr>
                <w:ilvl w:val="0"/>
                <w:numId w:val="121"/>
              </w:numPr>
              <w:spacing w:after="0"/>
              <w:jc w:val="both"/>
              <w:rPr>
                <w:rFonts w:ascii="Avenir Book" w:hAnsi="Avenir Book"/>
                <w:sz w:val="20"/>
                <w:szCs w:val="20"/>
              </w:rPr>
            </w:pPr>
            <w:r w:rsidRPr="00B06331">
              <w:rPr>
                <w:rFonts w:ascii="Avenir Book" w:hAnsi="Avenir Book"/>
                <w:sz w:val="20"/>
                <w:szCs w:val="20"/>
              </w:rPr>
              <w:t>Improved Sanitation (54.7, Avg. 76.3)</w:t>
            </w:r>
          </w:p>
        </w:tc>
      </w:tr>
      <w:tr w:rsidR="00D90C92" w:rsidRPr="00B06331" w:rsidTr="00C97931">
        <w:tc>
          <w:tcPr>
            <w:tcW w:w="1745" w:type="dxa"/>
            <w:shd w:val="clear" w:color="auto" w:fill="D9E2F3"/>
          </w:tcPr>
          <w:p w:rsidR="00D90C92" w:rsidRPr="00B06331" w:rsidRDefault="00D90C92" w:rsidP="00C97931">
            <w:pPr>
              <w:rPr>
                <w:rFonts w:ascii="Avenir Book" w:hAnsi="Avenir Book"/>
                <w:b/>
                <w:bCs/>
                <w:sz w:val="20"/>
                <w:szCs w:val="20"/>
              </w:rPr>
            </w:pPr>
            <w:r w:rsidRPr="00B06331">
              <w:rPr>
                <w:rFonts w:ascii="Avenir Book" w:hAnsi="Avenir Book"/>
                <w:b/>
                <w:bCs/>
                <w:sz w:val="20"/>
                <w:szCs w:val="20"/>
              </w:rPr>
              <w:t>Mansa Konko</w:t>
            </w:r>
          </w:p>
        </w:tc>
        <w:tc>
          <w:tcPr>
            <w:tcW w:w="8428" w:type="dxa"/>
            <w:shd w:val="clear" w:color="auto" w:fill="D9E2F3"/>
          </w:tcPr>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High proportion of people living below the national poverty line (60.1, Avg. 48.6)</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High infant mortality rate (47.3, Avg. N/A)</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Low access to improved drinking water sources (38.6, Avg. 60.8)</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Low access to electricity (21.3, Avg. 47,9)</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Low NER secondary</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 xml:space="preserve">Low NER tertiary </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Low literacy rate</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High Under five mortality (83.1, Avg. N/A)</w:t>
            </w:r>
          </w:p>
          <w:p w:rsidR="00D90C92" w:rsidRPr="00B06331" w:rsidRDefault="00D90C92" w:rsidP="00991700">
            <w:pPr>
              <w:pStyle w:val="ListParagraph"/>
              <w:numPr>
                <w:ilvl w:val="0"/>
                <w:numId w:val="122"/>
              </w:numPr>
              <w:spacing w:after="0"/>
              <w:jc w:val="both"/>
              <w:rPr>
                <w:rFonts w:ascii="Avenir Book" w:hAnsi="Avenir Book"/>
                <w:sz w:val="20"/>
                <w:szCs w:val="20"/>
              </w:rPr>
            </w:pPr>
            <w:r w:rsidRPr="00B06331">
              <w:rPr>
                <w:rFonts w:ascii="Avenir Book" w:hAnsi="Avenir Book"/>
                <w:sz w:val="20"/>
                <w:szCs w:val="20"/>
              </w:rPr>
              <w:t>HIV prevalence (2.9, Avg. 1.8)</w:t>
            </w:r>
          </w:p>
        </w:tc>
      </w:tr>
      <w:tr w:rsidR="00D90C92" w:rsidRPr="00B06331" w:rsidTr="00C97931">
        <w:tc>
          <w:tcPr>
            <w:tcW w:w="1745" w:type="dxa"/>
            <w:shd w:val="clear" w:color="auto" w:fill="auto"/>
          </w:tcPr>
          <w:p w:rsidR="00D90C92" w:rsidRPr="00B06331" w:rsidRDefault="00D90C92" w:rsidP="00C97931">
            <w:pPr>
              <w:rPr>
                <w:rFonts w:ascii="Avenir Book" w:hAnsi="Avenir Book"/>
                <w:b/>
                <w:bCs/>
                <w:sz w:val="20"/>
                <w:szCs w:val="20"/>
              </w:rPr>
            </w:pPr>
            <w:r w:rsidRPr="00B06331">
              <w:rPr>
                <w:rFonts w:ascii="Avenir Book" w:hAnsi="Avenir Book"/>
                <w:b/>
                <w:bCs/>
                <w:sz w:val="20"/>
                <w:szCs w:val="20"/>
              </w:rPr>
              <w:t>Jangjanbureh</w:t>
            </w:r>
          </w:p>
        </w:tc>
        <w:tc>
          <w:tcPr>
            <w:tcW w:w="8428" w:type="dxa"/>
            <w:shd w:val="clear" w:color="auto" w:fill="auto"/>
          </w:tcPr>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Second highest Proportion of people living below the nat. poverty line (71.4, Avg. 48.6)</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High poverty gap (20.8, Avg. 18.2)</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lastRenderedPageBreak/>
              <w:t>High food poverty (60, Avg. 55.1)</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Highest prevalence of stunting (33.3, Avg. 23.4)</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Low access to improved drinking water sources (29.9, Avg. 60.8)</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Low access to electricity (12, Avg. 47.9)</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Low net enrollment rate (NER) primary</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Low NER secondary</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Low GER secondary</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 xml:space="preserve">Low NER tertiary </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Births attended by skilled health personnel low (45.7, Avg. 72.7)</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 xml:space="preserve">Low immunization coverage (40.9 Avg. 64.3) </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 xml:space="preserve">Prevalence of wasting (12.7, Avg. 9.5) </w:t>
            </w:r>
          </w:p>
          <w:p w:rsidR="00D90C92" w:rsidRPr="00B06331" w:rsidRDefault="00D90C92" w:rsidP="00991700">
            <w:pPr>
              <w:pStyle w:val="ListParagraph"/>
              <w:numPr>
                <w:ilvl w:val="0"/>
                <w:numId w:val="123"/>
              </w:numPr>
              <w:spacing w:after="0"/>
              <w:jc w:val="both"/>
              <w:rPr>
                <w:rFonts w:ascii="Avenir Book" w:hAnsi="Avenir Book"/>
                <w:sz w:val="20"/>
                <w:szCs w:val="20"/>
              </w:rPr>
            </w:pPr>
            <w:r w:rsidRPr="00B06331">
              <w:rPr>
                <w:rFonts w:ascii="Avenir Book" w:hAnsi="Avenir Book"/>
                <w:sz w:val="20"/>
                <w:szCs w:val="20"/>
              </w:rPr>
              <w:t>Contraceptive prevalence (5.1, Avg. 8.1)</w:t>
            </w:r>
          </w:p>
        </w:tc>
      </w:tr>
      <w:tr w:rsidR="00D90C92" w:rsidRPr="00B06331" w:rsidTr="00C97931">
        <w:tc>
          <w:tcPr>
            <w:tcW w:w="1745" w:type="dxa"/>
            <w:shd w:val="clear" w:color="auto" w:fill="D9E2F3"/>
          </w:tcPr>
          <w:p w:rsidR="00D90C92" w:rsidRPr="00B06331" w:rsidRDefault="00D90C92" w:rsidP="00C97931">
            <w:pPr>
              <w:spacing w:after="0"/>
              <w:rPr>
                <w:rFonts w:ascii="Avenir Book" w:hAnsi="Avenir Book"/>
                <w:b/>
                <w:bCs/>
                <w:sz w:val="20"/>
                <w:szCs w:val="20"/>
              </w:rPr>
            </w:pPr>
            <w:r w:rsidRPr="00B06331">
              <w:rPr>
                <w:rFonts w:ascii="Avenir Book" w:hAnsi="Avenir Book"/>
                <w:b/>
                <w:bCs/>
                <w:sz w:val="20"/>
                <w:szCs w:val="20"/>
              </w:rPr>
              <w:lastRenderedPageBreak/>
              <w:t>Kuntaur</w:t>
            </w:r>
          </w:p>
        </w:tc>
        <w:tc>
          <w:tcPr>
            <w:tcW w:w="8428" w:type="dxa"/>
            <w:shd w:val="clear" w:color="auto" w:fill="D9E2F3"/>
          </w:tcPr>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Highest Proportion of people living below the national poverty line (72.4, Avg. 48.6)</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High food poverty (59, Avg. 55.1)</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Highest infant mortality rate (50.2, Avg. N/A)</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Low access to improved drinking water sources (19.9, Avg. 60.8)</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Low access to electricity (8.2, Avg. 47.9)</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Low net enrollment rate (NER) primary</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Low NER secondary</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 xml:space="preserve">Low NER tertiary </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Low literacy rate</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Highest Under five mortality (88, Avg. N/A)</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Births attended by skilled health personnel low (40.6, Avg. 72.7)</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Low contraceptive prevalence (4, Avg. 8.1)</w:t>
            </w:r>
          </w:p>
          <w:p w:rsidR="00D90C92" w:rsidRPr="00B06331" w:rsidRDefault="00D90C92" w:rsidP="00991700">
            <w:pPr>
              <w:pStyle w:val="ListParagraph"/>
              <w:numPr>
                <w:ilvl w:val="0"/>
                <w:numId w:val="124"/>
              </w:numPr>
              <w:spacing w:after="0"/>
              <w:jc w:val="both"/>
              <w:rPr>
                <w:rFonts w:ascii="Avenir Book" w:hAnsi="Avenir Book"/>
                <w:sz w:val="20"/>
                <w:szCs w:val="20"/>
              </w:rPr>
            </w:pPr>
            <w:r w:rsidRPr="00B06331">
              <w:rPr>
                <w:rFonts w:ascii="Avenir Book" w:hAnsi="Avenir Book"/>
                <w:sz w:val="20"/>
                <w:szCs w:val="20"/>
              </w:rPr>
              <w:t>Prevalence of wasting (17.6, Avg. 9.5)</w:t>
            </w:r>
          </w:p>
        </w:tc>
      </w:tr>
      <w:tr w:rsidR="00D90C92" w:rsidRPr="00B06331" w:rsidTr="00C97931">
        <w:tc>
          <w:tcPr>
            <w:tcW w:w="1745" w:type="dxa"/>
            <w:shd w:val="clear" w:color="auto" w:fill="auto"/>
          </w:tcPr>
          <w:p w:rsidR="00D90C92" w:rsidRPr="00B06331" w:rsidRDefault="00D90C92" w:rsidP="00C97931">
            <w:pPr>
              <w:rPr>
                <w:rFonts w:ascii="Avenir Book" w:hAnsi="Avenir Book"/>
                <w:b/>
                <w:bCs/>
                <w:sz w:val="20"/>
                <w:szCs w:val="20"/>
              </w:rPr>
            </w:pPr>
            <w:r w:rsidRPr="00B06331">
              <w:rPr>
                <w:rFonts w:ascii="Avenir Book" w:hAnsi="Avenir Book"/>
                <w:b/>
                <w:bCs/>
                <w:sz w:val="20"/>
                <w:szCs w:val="20"/>
              </w:rPr>
              <w:t>Basse</w:t>
            </w:r>
          </w:p>
        </w:tc>
        <w:tc>
          <w:tcPr>
            <w:tcW w:w="8428" w:type="dxa"/>
            <w:shd w:val="clear" w:color="auto" w:fill="auto"/>
          </w:tcPr>
          <w:p w:rsidR="00D90C92" w:rsidRPr="00B06331" w:rsidRDefault="00D90C92" w:rsidP="00991700">
            <w:pPr>
              <w:pStyle w:val="ListParagraph"/>
              <w:numPr>
                <w:ilvl w:val="0"/>
                <w:numId w:val="125"/>
              </w:numPr>
              <w:spacing w:after="0" w:line="259" w:lineRule="auto"/>
              <w:jc w:val="both"/>
              <w:rPr>
                <w:rFonts w:ascii="Avenir Book" w:eastAsia="Times New Roman" w:hAnsi="Avenir Book" w:cs="Calibri"/>
                <w:bCs/>
                <w:color w:val="000000"/>
                <w:sz w:val="20"/>
                <w:szCs w:val="20"/>
              </w:rPr>
            </w:pPr>
            <w:r w:rsidRPr="00B06331">
              <w:rPr>
                <w:rFonts w:ascii="Avenir Book" w:eastAsia="Times New Roman" w:hAnsi="Avenir Book" w:cs="Calibri"/>
                <w:bCs/>
                <w:color w:val="000000"/>
                <w:sz w:val="20"/>
                <w:szCs w:val="20"/>
              </w:rPr>
              <w:t>High average household size (14.9, Avg 8.5)</w:t>
            </w:r>
          </w:p>
          <w:p w:rsidR="00D90C92" w:rsidRPr="00B06331" w:rsidRDefault="00D90C92" w:rsidP="00991700">
            <w:pPr>
              <w:pStyle w:val="ListParagraph"/>
              <w:numPr>
                <w:ilvl w:val="0"/>
                <w:numId w:val="125"/>
              </w:numPr>
              <w:spacing w:after="0" w:line="259" w:lineRule="auto"/>
              <w:jc w:val="both"/>
              <w:rPr>
                <w:rFonts w:ascii="Avenir Book" w:eastAsia="Times New Roman" w:hAnsi="Avenir Book" w:cs="Calibri"/>
                <w:bCs/>
                <w:color w:val="000000"/>
                <w:sz w:val="20"/>
                <w:szCs w:val="20"/>
              </w:rPr>
            </w:pPr>
            <w:r w:rsidRPr="00B06331">
              <w:rPr>
                <w:rFonts w:ascii="Avenir Book" w:eastAsia="Times New Roman" w:hAnsi="Avenir Book" w:cs="Calibri"/>
                <w:bCs/>
                <w:color w:val="000000"/>
                <w:sz w:val="20"/>
                <w:szCs w:val="20"/>
              </w:rPr>
              <w:t>High inequality (0.3185, Avg. 0.3592)</w:t>
            </w:r>
          </w:p>
          <w:p w:rsidR="00D90C92" w:rsidRPr="00B06331" w:rsidRDefault="00D90C92" w:rsidP="00991700">
            <w:pPr>
              <w:pStyle w:val="ListParagraph"/>
              <w:numPr>
                <w:ilvl w:val="0"/>
                <w:numId w:val="125"/>
              </w:numPr>
              <w:spacing w:after="0" w:line="259" w:lineRule="auto"/>
              <w:jc w:val="both"/>
              <w:rPr>
                <w:rFonts w:ascii="Avenir Book" w:hAnsi="Avenir Book"/>
                <w:sz w:val="20"/>
                <w:szCs w:val="20"/>
              </w:rPr>
            </w:pPr>
            <w:r w:rsidRPr="00B06331">
              <w:rPr>
                <w:rFonts w:ascii="Avenir Book" w:hAnsi="Avenir Book"/>
                <w:sz w:val="20"/>
                <w:szCs w:val="20"/>
              </w:rPr>
              <w:t>Low access to improved drinking water sources (13.6, Avg. 60.8)</w:t>
            </w:r>
          </w:p>
          <w:p w:rsidR="00D90C92" w:rsidRPr="00B06331" w:rsidRDefault="00D90C92" w:rsidP="00991700">
            <w:pPr>
              <w:pStyle w:val="ListParagraph"/>
              <w:numPr>
                <w:ilvl w:val="0"/>
                <w:numId w:val="125"/>
              </w:numPr>
              <w:spacing w:after="0" w:line="259" w:lineRule="auto"/>
              <w:jc w:val="both"/>
              <w:rPr>
                <w:rFonts w:ascii="Avenir Book" w:hAnsi="Avenir Book"/>
                <w:sz w:val="20"/>
                <w:szCs w:val="20"/>
              </w:rPr>
            </w:pPr>
            <w:r w:rsidRPr="00B06331">
              <w:rPr>
                <w:rFonts w:ascii="Avenir Book" w:hAnsi="Avenir Book"/>
                <w:sz w:val="20"/>
                <w:szCs w:val="20"/>
              </w:rPr>
              <w:t>Low access to electricity (26, Avg. 47.9)</w:t>
            </w:r>
          </w:p>
          <w:p w:rsidR="00D90C92" w:rsidRPr="00B06331" w:rsidRDefault="00D90C92" w:rsidP="00991700">
            <w:pPr>
              <w:pStyle w:val="ListParagraph"/>
              <w:numPr>
                <w:ilvl w:val="0"/>
                <w:numId w:val="125"/>
              </w:numPr>
              <w:spacing w:after="0" w:line="259" w:lineRule="auto"/>
              <w:jc w:val="both"/>
              <w:rPr>
                <w:rFonts w:ascii="Avenir Book" w:hAnsi="Avenir Book"/>
                <w:sz w:val="20"/>
                <w:szCs w:val="20"/>
              </w:rPr>
            </w:pPr>
            <w:r w:rsidRPr="00B06331">
              <w:rPr>
                <w:rFonts w:ascii="Avenir Book" w:hAnsi="Avenir Book"/>
                <w:sz w:val="20"/>
                <w:szCs w:val="20"/>
              </w:rPr>
              <w:t>Lowest gross enrollment rate primary</w:t>
            </w:r>
          </w:p>
          <w:p w:rsidR="00D90C92" w:rsidRPr="00B06331" w:rsidRDefault="00D90C92" w:rsidP="00991700">
            <w:pPr>
              <w:pStyle w:val="ListParagraph"/>
              <w:numPr>
                <w:ilvl w:val="0"/>
                <w:numId w:val="125"/>
              </w:numPr>
              <w:spacing w:after="0" w:line="259" w:lineRule="auto"/>
              <w:jc w:val="both"/>
              <w:rPr>
                <w:rFonts w:ascii="Avenir Book" w:hAnsi="Avenir Book"/>
                <w:sz w:val="20"/>
                <w:szCs w:val="20"/>
              </w:rPr>
            </w:pPr>
            <w:r w:rsidRPr="00B06331">
              <w:rPr>
                <w:rFonts w:ascii="Avenir Book" w:hAnsi="Avenir Book"/>
                <w:sz w:val="20"/>
                <w:szCs w:val="20"/>
              </w:rPr>
              <w:t>Low NER secondary</w:t>
            </w:r>
          </w:p>
          <w:p w:rsidR="00D90C92" w:rsidRPr="00B06331" w:rsidRDefault="00D90C92" w:rsidP="00991700">
            <w:pPr>
              <w:pStyle w:val="ListParagraph"/>
              <w:numPr>
                <w:ilvl w:val="0"/>
                <w:numId w:val="125"/>
              </w:numPr>
              <w:spacing w:after="0" w:line="259" w:lineRule="auto"/>
              <w:jc w:val="both"/>
              <w:rPr>
                <w:rFonts w:ascii="Avenir Book" w:hAnsi="Avenir Book"/>
                <w:sz w:val="20"/>
                <w:szCs w:val="20"/>
              </w:rPr>
            </w:pPr>
            <w:r w:rsidRPr="00B06331">
              <w:rPr>
                <w:rFonts w:ascii="Avenir Book" w:hAnsi="Avenir Book"/>
                <w:sz w:val="20"/>
                <w:szCs w:val="20"/>
              </w:rPr>
              <w:t>Low GER secondary</w:t>
            </w:r>
          </w:p>
          <w:p w:rsidR="00D90C92" w:rsidRPr="00B06331" w:rsidRDefault="00D90C92" w:rsidP="00991700">
            <w:pPr>
              <w:pStyle w:val="ListParagraph"/>
              <w:numPr>
                <w:ilvl w:val="0"/>
                <w:numId w:val="125"/>
              </w:numPr>
              <w:spacing w:after="0" w:line="259" w:lineRule="auto"/>
              <w:jc w:val="both"/>
              <w:rPr>
                <w:rFonts w:ascii="Avenir Book" w:hAnsi="Avenir Book"/>
                <w:sz w:val="20"/>
                <w:szCs w:val="20"/>
              </w:rPr>
            </w:pPr>
            <w:r w:rsidRPr="00B06331">
              <w:rPr>
                <w:rFonts w:ascii="Avenir Book" w:hAnsi="Avenir Book"/>
                <w:sz w:val="20"/>
                <w:szCs w:val="20"/>
              </w:rPr>
              <w:t xml:space="preserve">Low NER tertiary </w:t>
            </w:r>
          </w:p>
          <w:p w:rsidR="00D90C92" w:rsidRPr="00B06331" w:rsidRDefault="00D90C92" w:rsidP="00991700">
            <w:pPr>
              <w:pStyle w:val="ListParagraph"/>
              <w:numPr>
                <w:ilvl w:val="0"/>
                <w:numId w:val="126"/>
              </w:numPr>
              <w:spacing w:after="0" w:line="259" w:lineRule="auto"/>
              <w:jc w:val="both"/>
              <w:rPr>
                <w:rFonts w:ascii="Avenir Book" w:hAnsi="Avenir Book"/>
                <w:sz w:val="20"/>
                <w:szCs w:val="20"/>
              </w:rPr>
            </w:pPr>
            <w:r w:rsidRPr="00B06331">
              <w:rPr>
                <w:rFonts w:ascii="Avenir Book" w:hAnsi="Avenir Book"/>
                <w:sz w:val="20"/>
                <w:szCs w:val="20"/>
              </w:rPr>
              <w:t>Low literacy rate</w:t>
            </w:r>
          </w:p>
          <w:p w:rsidR="00D90C92" w:rsidRPr="00B06331" w:rsidRDefault="00D90C92" w:rsidP="00991700">
            <w:pPr>
              <w:pStyle w:val="ListParagraph"/>
              <w:numPr>
                <w:ilvl w:val="0"/>
                <w:numId w:val="126"/>
              </w:numPr>
              <w:spacing w:after="0" w:line="259" w:lineRule="auto"/>
              <w:jc w:val="both"/>
              <w:rPr>
                <w:rFonts w:ascii="Avenir Book" w:hAnsi="Avenir Book"/>
                <w:sz w:val="20"/>
                <w:szCs w:val="20"/>
              </w:rPr>
            </w:pPr>
            <w:r w:rsidRPr="00B06331">
              <w:rPr>
                <w:rFonts w:ascii="Avenir Book" w:hAnsi="Avenir Book"/>
                <w:sz w:val="20"/>
                <w:szCs w:val="20"/>
              </w:rPr>
              <w:t>Births attended by skilled health personnel low (44.3, Avg. 72.7)</w:t>
            </w:r>
          </w:p>
          <w:p w:rsidR="00D90C92" w:rsidRPr="00B06331" w:rsidRDefault="00D90C92" w:rsidP="00991700">
            <w:pPr>
              <w:pStyle w:val="ListParagraph"/>
              <w:numPr>
                <w:ilvl w:val="0"/>
                <w:numId w:val="126"/>
              </w:numPr>
              <w:spacing w:after="0" w:line="259" w:lineRule="auto"/>
              <w:jc w:val="both"/>
              <w:rPr>
                <w:rFonts w:ascii="Avenir Book" w:hAnsi="Avenir Book"/>
                <w:sz w:val="20"/>
                <w:szCs w:val="20"/>
              </w:rPr>
            </w:pPr>
            <w:r w:rsidRPr="00B06331">
              <w:rPr>
                <w:rFonts w:ascii="Avenir Book" w:hAnsi="Avenir Book"/>
                <w:sz w:val="20"/>
                <w:szCs w:val="20"/>
              </w:rPr>
              <w:t>Low contraceptive prevalence (1, Avg. 8.1)</w:t>
            </w:r>
          </w:p>
          <w:p w:rsidR="00D90C92" w:rsidRPr="00B06331" w:rsidRDefault="00D90C92" w:rsidP="00991700">
            <w:pPr>
              <w:pStyle w:val="ListParagraph"/>
              <w:numPr>
                <w:ilvl w:val="0"/>
                <w:numId w:val="126"/>
              </w:numPr>
              <w:spacing w:after="0" w:line="259" w:lineRule="auto"/>
              <w:jc w:val="both"/>
              <w:rPr>
                <w:rFonts w:ascii="Avenir Book" w:hAnsi="Avenir Book"/>
                <w:sz w:val="20"/>
                <w:szCs w:val="20"/>
              </w:rPr>
            </w:pPr>
            <w:r w:rsidRPr="00B06331">
              <w:rPr>
                <w:rFonts w:ascii="Avenir Book" w:hAnsi="Avenir Book"/>
                <w:sz w:val="20"/>
                <w:szCs w:val="20"/>
              </w:rPr>
              <w:t>Prevalence of wasting (13.7, Avg. 9.5)</w:t>
            </w:r>
          </w:p>
          <w:p w:rsidR="00D90C92" w:rsidRPr="00B06331" w:rsidRDefault="00D90C92" w:rsidP="00991700">
            <w:pPr>
              <w:pStyle w:val="ListParagraph"/>
              <w:numPr>
                <w:ilvl w:val="0"/>
                <w:numId w:val="126"/>
              </w:numPr>
              <w:spacing w:after="0" w:line="259" w:lineRule="auto"/>
              <w:jc w:val="both"/>
              <w:rPr>
                <w:rFonts w:ascii="Avenir Book" w:hAnsi="Avenir Book"/>
                <w:sz w:val="20"/>
                <w:szCs w:val="20"/>
              </w:rPr>
            </w:pPr>
            <w:r w:rsidRPr="00B06331">
              <w:rPr>
                <w:rFonts w:ascii="Avenir Book" w:hAnsi="Avenir Book"/>
                <w:sz w:val="20"/>
                <w:szCs w:val="20"/>
              </w:rPr>
              <w:t xml:space="preserve">Improved sanitation (39.7, Avg. 76.3) </w:t>
            </w:r>
          </w:p>
        </w:tc>
      </w:tr>
    </w:tbl>
    <w:p w:rsidR="00D90C92" w:rsidRPr="00B06331" w:rsidRDefault="00D90C92" w:rsidP="008D41AF">
      <w:pPr>
        <w:pStyle w:val="Heading2"/>
        <w:rPr>
          <w:rFonts w:asciiTheme="minorHAnsi" w:hAnsiTheme="minorHAnsi" w:cstheme="minorHAnsi"/>
          <w:sz w:val="22"/>
          <w:szCs w:val="22"/>
        </w:rPr>
      </w:pPr>
      <w:bookmarkStart w:id="109" w:name="_Toc492364771"/>
      <w:r w:rsidRPr="00B06331">
        <w:rPr>
          <w:rFonts w:asciiTheme="minorHAnsi" w:hAnsiTheme="minorHAnsi" w:cstheme="minorHAnsi"/>
          <w:sz w:val="22"/>
          <w:szCs w:val="22"/>
        </w:rPr>
        <w:t>6.7 Policy Implications</w:t>
      </w:r>
      <w:bookmarkEnd w:id="109"/>
    </w:p>
    <w:p w:rsidR="00D90C92" w:rsidRPr="00B06331" w:rsidRDefault="00D90C92" w:rsidP="00D90C92">
      <w:pPr>
        <w:contextualSpacing/>
        <w:jc w:val="both"/>
        <w:rPr>
          <w:rFonts w:ascii="Avenir Book" w:hAnsi="Avenir Book"/>
          <w:szCs w:val="24"/>
        </w:rPr>
      </w:pPr>
      <w:r w:rsidRPr="00B06331">
        <w:rPr>
          <w:rFonts w:ascii="Avenir Book" w:hAnsi="Avenir Book"/>
          <w:szCs w:val="24"/>
        </w:rPr>
        <w:t>The finding</w:t>
      </w:r>
      <w:r w:rsidR="00E44573" w:rsidRPr="00B06331">
        <w:rPr>
          <w:rFonts w:ascii="Avenir Book" w:hAnsi="Avenir Book"/>
          <w:szCs w:val="24"/>
        </w:rPr>
        <w:t>s presented in this chapter</w:t>
      </w:r>
      <w:r w:rsidRPr="00B06331">
        <w:rPr>
          <w:rFonts w:ascii="Avenir Book" w:hAnsi="Avenir Book"/>
          <w:szCs w:val="24"/>
        </w:rPr>
        <w:t xml:space="preserve"> have significant policy implications for government as it seeks to build an equitable and prosperous society and promote development after years of authoritarian rule.</w:t>
      </w:r>
    </w:p>
    <w:p w:rsidR="00D90C92" w:rsidRPr="00B06331" w:rsidRDefault="00D90C92" w:rsidP="00991700">
      <w:pPr>
        <w:pStyle w:val="ListParagraph"/>
        <w:numPr>
          <w:ilvl w:val="0"/>
          <w:numId w:val="127"/>
        </w:numPr>
        <w:jc w:val="both"/>
        <w:rPr>
          <w:rFonts w:ascii="Avenir Book" w:hAnsi="Avenir Book"/>
          <w:szCs w:val="24"/>
        </w:rPr>
      </w:pPr>
      <w:r w:rsidRPr="00B06331">
        <w:rPr>
          <w:rFonts w:ascii="Avenir Book" w:hAnsi="Avenir Book"/>
          <w:b/>
          <w:szCs w:val="24"/>
        </w:rPr>
        <w:lastRenderedPageBreak/>
        <w:t>A rapidly urbanizing country that requires an integrated approach to urban planning and management:</w:t>
      </w:r>
      <w:r w:rsidRPr="00B06331">
        <w:rPr>
          <w:rFonts w:ascii="Avenir Book" w:hAnsi="Avenir Book"/>
          <w:szCs w:val="24"/>
        </w:rPr>
        <w:t xml:space="preserve"> The findings confirm that the country is rapidly urbanizing with major population concentrations in three (Banjul, Kanifing and Brikama) out of the eight administrative regions; combined they account for 55% of the country’s population. Thus, population density is as high as 5,000 people per km2 (e.g. in KMC) as compared to 65 in Kuntaur. This trend is likely to accelerate in the coming decades. </w:t>
      </w:r>
    </w:p>
    <w:p w:rsidR="00D90C92" w:rsidRPr="00B06331" w:rsidRDefault="00D90C92" w:rsidP="00D90C92">
      <w:pPr>
        <w:pStyle w:val="ListParagraph"/>
        <w:jc w:val="both"/>
        <w:rPr>
          <w:rFonts w:ascii="Avenir Book" w:hAnsi="Avenir Book"/>
          <w:szCs w:val="24"/>
        </w:rPr>
      </w:pPr>
    </w:p>
    <w:p w:rsidR="00D90C92" w:rsidRPr="00B06331" w:rsidRDefault="00D90C92" w:rsidP="00D90C92">
      <w:pPr>
        <w:pStyle w:val="ListParagraph"/>
        <w:jc w:val="both"/>
        <w:rPr>
          <w:rFonts w:ascii="Avenir Book" w:hAnsi="Avenir Book"/>
          <w:szCs w:val="24"/>
        </w:rPr>
      </w:pPr>
      <w:r w:rsidRPr="00B06331">
        <w:rPr>
          <w:rFonts w:ascii="Avenir Book" w:hAnsi="Avenir Book"/>
          <w:szCs w:val="24"/>
        </w:rPr>
        <w:t>Urbanization in Gambia offers a tremendous opportunity as it represents the highest concentration of people, skills, capital and markets and urban areas can be centers of innovation and creativity needed to transform the country’s economy. This however, requires decisive policy action to ensure that this potential does not turn into a liability.</w:t>
      </w:r>
    </w:p>
    <w:p w:rsidR="00D90C92" w:rsidRPr="00B06331" w:rsidRDefault="00D90C92" w:rsidP="00D90C92">
      <w:pPr>
        <w:pStyle w:val="ListParagraph"/>
        <w:jc w:val="both"/>
        <w:rPr>
          <w:rFonts w:ascii="Avenir Book" w:hAnsi="Avenir Book"/>
          <w:szCs w:val="24"/>
        </w:rPr>
      </w:pPr>
    </w:p>
    <w:p w:rsidR="00D90C92" w:rsidRPr="00B06331" w:rsidRDefault="00D90C92" w:rsidP="00D90C92">
      <w:pPr>
        <w:pStyle w:val="ListParagraph"/>
        <w:jc w:val="both"/>
        <w:rPr>
          <w:rFonts w:ascii="Avenir Book" w:hAnsi="Avenir Book"/>
          <w:szCs w:val="24"/>
        </w:rPr>
      </w:pPr>
      <w:r w:rsidRPr="00B06331">
        <w:rPr>
          <w:rFonts w:ascii="Avenir Book" w:hAnsi="Avenir Book"/>
          <w:szCs w:val="24"/>
        </w:rPr>
        <w:t>There is a huge pressure on infrastructure, services, etc</w:t>
      </w:r>
      <w:r w:rsidR="00BA11C2" w:rsidRPr="00B06331">
        <w:rPr>
          <w:rFonts w:ascii="Avenir Book" w:hAnsi="Avenir Book"/>
          <w:szCs w:val="24"/>
        </w:rPr>
        <w:t>.</w:t>
      </w:r>
      <w:r w:rsidRPr="00B06331">
        <w:rPr>
          <w:rFonts w:ascii="Avenir Book" w:hAnsi="Avenir Book"/>
          <w:szCs w:val="24"/>
        </w:rPr>
        <w:t xml:space="preserve"> which coupled with the fragmentation of administrations – multiple jurisdictions - managing these areas, pose a major challenge in planning and delivery of services in urban areas. Banjul, KMC and Brikama ought to be considered as one urban ecosystem and government must therefore urgently put in place appropriate institutional arrangements to ensure an integrated and comprehensive approach to urban planning and service delivery.</w:t>
      </w:r>
    </w:p>
    <w:p w:rsidR="00D90C92" w:rsidRPr="00B06331" w:rsidRDefault="00D90C92" w:rsidP="00D90C92">
      <w:pPr>
        <w:pStyle w:val="ListParagraph"/>
        <w:jc w:val="both"/>
        <w:rPr>
          <w:rFonts w:ascii="Avenir Book" w:hAnsi="Avenir Book"/>
          <w:szCs w:val="24"/>
        </w:rPr>
      </w:pPr>
    </w:p>
    <w:p w:rsidR="00D90C92" w:rsidRPr="00B06331" w:rsidRDefault="00D90C92" w:rsidP="00D90C92">
      <w:pPr>
        <w:pStyle w:val="ListParagraph"/>
        <w:jc w:val="both"/>
        <w:rPr>
          <w:rFonts w:ascii="Avenir Book" w:hAnsi="Avenir Book"/>
          <w:szCs w:val="24"/>
        </w:rPr>
      </w:pPr>
      <w:r w:rsidRPr="00B06331">
        <w:rPr>
          <w:rFonts w:ascii="Avenir Book" w:hAnsi="Avenir Book"/>
          <w:b/>
          <w:szCs w:val="24"/>
        </w:rPr>
        <w:t>An agriculture-led rural development agenda has become an urgent necessity to address rural poverty:</w:t>
      </w:r>
      <w:r w:rsidRPr="00B06331">
        <w:rPr>
          <w:rFonts w:ascii="Avenir Book" w:hAnsi="Avenir Book"/>
          <w:szCs w:val="24"/>
        </w:rPr>
        <w:t xml:space="preserve"> it is clear from the data and analysis that poverty in the Gambia is increasingly becoming a rural phenomenon. Although only 45% of the country’s population is rural, as high as 60% of the country’s poor are found there. The contrast is great; Banjul has 10.8% of households below the poverty line, but this rises to 69.8% for rural Gambia.</w:t>
      </w:r>
    </w:p>
    <w:p w:rsidR="00D90C92" w:rsidRPr="00B06331" w:rsidRDefault="00D90C92" w:rsidP="00D90C92">
      <w:pPr>
        <w:pStyle w:val="ListParagraph"/>
        <w:jc w:val="both"/>
        <w:rPr>
          <w:rFonts w:ascii="Avenir Book" w:hAnsi="Avenir Book"/>
          <w:szCs w:val="24"/>
        </w:rPr>
      </w:pPr>
    </w:p>
    <w:p w:rsidR="00D90C92" w:rsidRPr="00B06331" w:rsidRDefault="00D90C92" w:rsidP="00D90C92">
      <w:pPr>
        <w:pStyle w:val="ListParagraph"/>
        <w:jc w:val="both"/>
        <w:rPr>
          <w:rFonts w:ascii="Avenir Book" w:hAnsi="Avenir Book"/>
          <w:szCs w:val="24"/>
        </w:rPr>
      </w:pPr>
      <w:r w:rsidRPr="00B06331">
        <w:rPr>
          <w:rFonts w:ascii="Avenir Book" w:hAnsi="Avenir Book"/>
          <w:szCs w:val="24"/>
        </w:rPr>
        <w:t>As part of the strategy to address rural poverty, government must give priority to redynamizing and modernizing agriculture. This should be complemented by efforts to develop rural towns as “growth poles” with forward and backward linkages to agriculture, with adequate investments in infrastructures and incentives to attract the private sector, combined with skills building for rural youth</w:t>
      </w:r>
    </w:p>
    <w:p w:rsidR="00D90C92" w:rsidRPr="00B06331" w:rsidRDefault="00D90C92" w:rsidP="00D90C92">
      <w:pPr>
        <w:pStyle w:val="ListParagraph"/>
        <w:jc w:val="both"/>
        <w:rPr>
          <w:rFonts w:ascii="Avenir Book" w:hAnsi="Avenir Book"/>
          <w:szCs w:val="24"/>
        </w:rPr>
      </w:pPr>
    </w:p>
    <w:p w:rsidR="00D90C92" w:rsidRPr="00B06331" w:rsidRDefault="00D90C92" w:rsidP="00991700">
      <w:pPr>
        <w:pStyle w:val="ListParagraph"/>
        <w:numPr>
          <w:ilvl w:val="0"/>
          <w:numId w:val="127"/>
        </w:numPr>
        <w:jc w:val="both"/>
        <w:rPr>
          <w:rFonts w:ascii="Avenir Book" w:hAnsi="Avenir Book"/>
          <w:szCs w:val="24"/>
        </w:rPr>
      </w:pPr>
      <w:r w:rsidRPr="00B06331">
        <w:rPr>
          <w:rFonts w:ascii="Avenir Book" w:hAnsi="Avenir Book"/>
          <w:b/>
          <w:szCs w:val="24"/>
        </w:rPr>
        <w:t>A growing gap in access to basic services between urban and rural Gambia that is reflective of failures in local governance and accountability</w:t>
      </w:r>
      <w:r w:rsidRPr="00B06331">
        <w:rPr>
          <w:rFonts w:ascii="Avenir Book" w:hAnsi="Avenir Book"/>
          <w:szCs w:val="24"/>
        </w:rPr>
        <w:t>:  For nearly all indicators of access to services – educatio</w:t>
      </w:r>
      <w:r w:rsidR="00E44573" w:rsidRPr="00B06331">
        <w:rPr>
          <w:rFonts w:ascii="Avenir Book" w:hAnsi="Avenir Book"/>
          <w:szCs w:val="24"/>
        </w:rPr>
        <w:t xml:space="preserve">n, health, basic services </w:t>
      </w:r>
      <w:r w:rsidR="00BA11C2" w:rsidRPr="00B06331">
        <w:rPr>
          <w:rFonts w:ascii="Avenir Book" w:hAnsi="Avenir Book"/>
          <w:szCs w:val="24"/>
        </w:rPr>
        <w:t>– rural</w:t>
      </w:r>
      <w:r w:rsidRPr="00B06331">
        <w:rPr>
          <w:rFonts w:ascii="Avenir Book" w:hAnsi="Avenir Book"/>
          <w:szCs w:val="24"/>
        </w:rPr>
        <w:t xml:space="preserve"> areas are poorly served. Although the growing rural poverty can be linked to the poor performance of the agriculture sector, the gap in services represents failures in local governance and accountability which has resulted in Gambia’s rural population being systematically disadvantaged. Government needs to take decisive policy action to first stem and then reverse this trend. Government needs to adopt a regionalized approach to development and focus on ensuring the gaps in access to services is closed. Among the key measures needed is to adopt a regionalized approach to development planning and to consolidate and strengthen regional planning mechanisms. A close look/review </w:t>
      </w:r>
      <w:r w:rsidRPr="00B06331">
        <w:rPr>
          <w:rFonts w:ascii="Avenir Book" w:hAnsi="Avenir Book"/>
          <w:szCs w:val="24"/>
        </w:rPr>
        <w:lastRenderedPageBreak/>
        <w:t>of the mandate, functions and structures of the current Ministry of Local Government is called for to assess whether it is fit for purpose to spearhead the regionalized approach to development proposed. Going forward, sector plans must also be guided by the imperative need to ensure that past practices which resulted in rural Gambian communities being systematically disadvantaged with regards to service delivery end, and that access to services is equitable nationwide.</w:t>
      </w:r>
    </w:p>
    <w:p w:rsidR="00D90C92" w:rsidRPr="00B06331" w:rsidRDefault="00D90C92" w:rsidP="00D90C92">
      <w:pPr>
        <w:pStyle w:val="ListParagraph"/>
        <w:jc w:val="both"/>
        <w:rPr>
          <w:rFonts w:ascii="Avenir Book" w:hAnsi="Avenir Book"/>
          <w:szCs w:val="24"/>
        </w:rPr>
      </w:pPr>
    </w:p>
    <w:p w:rsidR="00D90C92" w:rsidRPr="00B06331" w:rsidRDefault="00D90C92" w:rsidP="00991700">
      <w:pPr>
        <w:pStyle w:val="ListParagraph"/>
        <w:numPr>
          <w:ilvl w:val="0"/>
          <w:numId w:val="127"/>
        </w:numPr>
        <w:jc w:val="both"/>
        <w:rPr>
          <w:rFonts w:ascii="Avenir Book" w:hAnsi="Avenir Book"/>
          <w:szCs w:val="24"/>
        </w:rPr>
      </w:pPr>
      <w:r w:rsidRPr="00B06331">
        <w:rPr>
          <w:rFonts w:ascii="Avenir Book" w:hAnsi="Avenir Book"/>
          <w:b/>
          <w:szCs w:val="24"/>
        </w:rPr>
        <w:t>The importance of evidence and data for development policy and planning:</w:t>
      </w:r>
      <w:r w:rsidRPr="00B06331">
        <w:rPr>
          <w:rFonts w:ascii="Avenir Book" w:hAnsi="Avenir Book"/>
          <w:szCs w:val="24"/>
        </w:rPr>
        <w:t xml:space="preserve"> traditionally, national development plan of the country have, except for poverty, have not treated regional differences nor integrated them in the national</w:t>
      </w:r>
      <w:r w:rsidR="00E44573" w:rsidRPr="00B06331">
        <w:rPr>
          <w:rFonts w:ascii="Avenir Book" w:hAnsi="Avenir Book"/>
          <w:szCs w:val="24"/>
        </w:rPr>
        <w:t xml:space="preserve"> plan. The analysis from this chapter</w:t>
      </w:r>
      <w:r w:rsidRPr="00B06331">
        <w:rPr>
          <w:rFonts w:ascii="Avenir Book" w:hAnsi="Avenir Book"/>
          <w:szCs w:val="24"/>
        </w:rPr>
        <w:t xml:space="preserve"> clearly demonstrates the importance of such data for evidence-based policy and development planning. The Gambia therefore needs to strengthen this aspect in the context of the new plan. </w:t>
      </w:r>
    </w:p>
    <w:p w:rsidR="00D90C92" w:rsidRPr="00B06331" w:rsidRDefault="00D90C92" w:rsidP="00D90C92">
      <w:pPr>
        <w:rPr>
          <w:rFonts w:ascii="Avenir Book" w:hAnsi="Avenir Book"/>
          <w:szCs w:val="24"/>
        </w:rPr>
      </w:pPr>
    </w:p>
    <w:p w:rsidR="00D90C92" w:rsidRPr="00B06331" w:rsidRDefault="00D90C92" w:rsidP="00F51AF8">
      <w:pPr>
        <w:pStyle w:val="Heading1"/>
        <w:rPr>
          <w:rFonts w:ascii="Calibri" w:hAnsi="Calibri" w:cs="Calibri"/>
          <w:b/>
          <w:sz w:val="22"/>
          <w:szCs w:val="22"/>
        </w:rPr>
      </w:pPr>
    </w:p>
    <w:p w:rsidR="00D90C92" w:rsidRPr="00B06331" w:rsidRDefault="00D90C92"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8D41AF" w:rsidP="00D90C92"/>
    <w:p w:rsidR="008D41AF" w:rsidRPr="00B06331" w:rsidRDefault="00D13B0F" w:rsidP="00D13B0F">
      <w:pPr>
        <w:spacing w:after="160" w:line="259" w:lineRule="auto"/>
      </w:pPr>
      <w:r w:rsidRPr="00B06331">
        <w:br w:type="page"/>
      </w:r>
    </w:p>
    <w:p w:rsidR="000D1921" w:rsidRPr="00B06331" w:rsidRDefault="000D1921" w:rsidP="000D1921">
      <w:pPr>
        <w:rPr>
          <w:b/>
          <w:color w:val="7F7F7F"/>
          <w:sz w:val="24"/>
          <w:szCs w:val="20"/>
        </w:rPr>
      </w:pPr>
    </w:p>
    <w:p w:rsidR="000D1921" w:rsidRPr="00B06331" w:rsidRDefault="00965AD2" w:rsidP="000D1921">
      <w:pPr>
        <w:jc w:val="both"/>
        <w:rPr>
          <w:color w:val="7F7F7F"/>
          <w:sz w:val="24"/>
          <w:szCs w:val="20"/>
        </w:rPr>
      </w:pPr>
      <w:r w:rsidRPr="00B06331">
        <w:rPr>
          <w:noProof/>
          <w:color w:val="7F7F7F"/>
          <w:sz w:val="24"/>
          <w:szCs w:val="20"/>
        </w:rPr>
        <w:pict>
          <v:group id="Group 179" o:spid="_x0000_s1036" style="position:absolute;left:0;text-align:left;margin-left:0;margin-top:0;width:234pt;height:738pt;z-index:251663360;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">
            <v:group id="Group 180" o:spid="_x0000_s1037"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38" style="position:absolute;width:9144;height:93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AasUA&#10;AADcAAAADwAAAGRycy9kb3ducmV2LnhtbERPTWvCQBC9F/oflhF6Kc1GqRJSVymWglIRGi25Dtkx&#10;CWZnY3arqb++Kwje5vE+ZzrvTSNO1LnasoJhFIMgLqyuuVSw236+JCCcR9bYWCYFf+RgPnt8mGKq&#10;7Zm/6ZT5UoQQdikqqLxvUyldUZFBF9mWOHB72xn0AXal1B2eQ7hp5CiOJ9JgzaGhwpYWFRWH7Nco&#10;OL4mvNp9jSZrv88vl/zneTv+2Cj1NOjf30B46v1dfHMvdZifDOH6TLh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BqxQAAANwAAAAPAAAAAAAAAAAAAAAAAJgCAABkcnMv&#10;ZG93bnJldi54bWxQSwUGAAAAAAQABAD1AAAAigMAAAAA&#10;" fillcolor="white [3212]" stroked="f" strokeweight="1pt">
                <v:fill opacity="0"/>
              </v:rect>
              <v:group id="Group 182" o:spid="_x0000_s1039"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40"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K08EA&#10;AADcAAAADwAAAGRycy9kb3ducmV2LnhtbERP24rCMBB9F/yHMMK+aaoLorWpiKyy+CB4+YChGdtq&#10;M+k20Xb/3giCb3M410mWnanEgxpXWlYwHkUgiDOrS84VnE+b4QyE88gaK8uk4J8cLNN+L8FY25YP&#10;9Dj6XIQQdjEqKLyvYyldVpBBN7I1ceAutjHoA2xyqRtsQ7ip5CSKptJgyaGhwJrWBWW3490ouFzt&#10;7s9sfg71dpfJ+aRq7W2/Uupr0K0WIDx1/iN+u391mD/7htcz4QK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CtPBAAAA3AAAAA8AAAAAAAAAAAAAAAAAmAIAAGRycy9kb3du&#10;cmV2LnhtbFBLBQYAAAAABAAEAPUAAACGAw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41" style="position:absolute;width:6858;height:93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618QA&#10;AADcAAAADwAAAGRycy9kb3ducmV2LnhtbERPS2vCQBC+F/wPywi91Y1tKRJdRSzB9NBDYy/ehuyY&#10;RLOzSXbN4993C4Xe5uN7zmY3mlr01LnKsoLlIgJBnFtdcaHg+5Q8rUA4j6yxtkwKJnKw284eNhhr&#10;O/AX9ZkvRAhhF6OC0vsmltLlJRl0C9sQB+5iO4M+wK6QusMhhJtaPkfRmzRYcWgosaFDSfktuxsF&#10;9UuxTKrTue2PE320yeX6maXvSj3Ox/0ahKfR/4v/3KkO81ev8PtMu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utfEAAAA3AAAAA8AAAAAAAAAAAAAAAAAmAIAAGRycy9k&#10;b3ducmV2LnhtbFBLBQYAAAAABAAEAPUAAACJAwAAAAA=&#10;" stroked="f" strokeweight="1pt">
                  <v:fill r:id="rId15" o:title="" recolor="t" rotate="t" type="frame"/>
                </v:rect>
              </v:group>
            </v:group>
            <v:shape id="Text Box 185" o:spid="_x0000_s1042" type="#_x0000_t202" style="position:absolute;left:9226;top:5916;width:20483;height:77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FD4AC6" w:rsidRPr="000D1921" w:rsidRDefault="00FD4AC6">
                    <w:pPr>
                      <w:pStyle w:val="TOCHeading"/>
                      <w:spacing w:before="120"/>
                      <w:rPr>
                        <w:rFonts w:asciiTheme="minorHAnsi" w:hAnsiTheme="minorHAnsi" w:cstheme="minorHAnsi"/>
                        <w:color w:val="4472C4" w:themeColor="accent1"/>
                        <w:sz w:val="26"/>
                        <w:szCs w:val="26"/>
                      </w:rPr>
                    </w:pPr>
                    <w:r w:rsidRPr="000D1921">
                      <w:rPr>
                        <w:rFonts w:asciiTheme="minorHAnsi" w:hAnsiTheme="minorHAnsi" w:cstheme="minorHAnsi"/>
                        <w:b/>
                        <w:sz w:val="24"/>
                        <w:szCs w:val="24"/>
                      </w:rPr>
                      <w:t>PART II: The Plan</w:t>
                    </w:r>
                  </w:p>
                  <w:p w:rsidR="00FD4AC6" w:rsidRDefault="00FD4AC6" w:rsidP="000D1921">
                    <w:pPr>
                      <w:rPr>
                        <w:color w:val="7F7F7F" w:themeColor="text1" w:themeTint="80"/>
                        <w:sz w:val="20"/>
                        <w:szCs w:val="20"/>
                      </w:rPr>
                    </w:pPr>
                  </w:p>
                  <w:p w:rsidR="00FD4AC6" w:rsidRDefault="00FD4AC6" w:rsidP="000D1921">
                    <w:pPr>
                      <w:jc w:val="both"/>
                      <w:rPr>
                        <w:color w:val="7F7F7F"/>
                        <w:sz w:val="24"/>
                        <w:szCs w:val="20"/>
                      </w:rPr>
                    </w:pPr>
                    <w:r w:rsidRPr="00860EC7">
                      <w:rPr>
                        <w:color w:val="7F7F7F"/>
                        <w:sz w:val="24"/>
                        <w:szCs w:val="20"/>
                      </w:rPr>
                      <w:t>Part II is the core of the document and presents what the Government intends to achieve over the plan period 2018-2021. It lays out the main goals to achieve, the desired outcomes and key planned interventions in all areas of development.</w:t>
                    </w:r>
                  </w:p>
                  <w:p w:rsidR="00FD4AC6" w:rsidRPr="00860EC7" w:rsidRDefault="00FD4AC6" w:rsidP="000D1921">
                    <w:pPr>
                      <w:jc w:val="both"/>
                      <w:rPr>
                        <w:color w:val="7F7F7F"/>
                        <w:sz w:val="24"/>
                        <w:szCs w:val="20"/>
                      </w:rPr>
                    </w:pPr>
                    <w:r>
                      <w:rPr>
                        <w:color w:val="7F7F7F"/>
                        <w:sz w:val="24"/>
                        <w:szCs w:val="20"/>
                      </w:rPr>
                      <w:t xml:space="preserve">The part covers four (4) chapters. Chapter 7 treats the 8 Strategic priorities, while Chapter 8 deals with the 6 </w:t>
                    </w:r>
                    <w:r w:rsidRPr="00860EC7">
                      <w:rPr>
                        <w:color w:val="7F7F7F"/>
                        <w:sz w:val="24"/>
                        <w:szCs w:val="20"/>
                      </w:rPr>
                      <w:t>Critical Enablers</w:t>
                    </w:r>
                    <w:r>
                      <w:rPr>
                        <w:color w:val="7F7F7F"/>
                        <w:sz w:val="24"/>
                        <w:szCs w:val="20"/>
                      </w:rPr>
                      <w:t>. Chapters 9 and 10 respectively deal with the accountability framework and resourcing the plan.</w:t>
                    </w:r>
                  </w:p>
                  <w:p w:rsidR="00FD4AC6" w:rsidRDefault="00FD4AC6" w:rsidP="000D1921">
                    <w:pPr>
                      <w:rPr>
                        <w:color w:val="7F7F7F" w:themeColor="text1" w:themeTint="80"/>
                        <w:sz w:val="20"/>
                        <w:szCs w:val="20"/>
                      </w:rPr>
                    </w:pPr>
                  </w:p>
                </w:txbxContent>
              </v:textbox>
            </v:shape>
            <w10:wrap type="square" anchorx="page" anchory="page"/>
          </v:group>
        </w:pict>
      </w:r>
    </w:p>
    <w:p w:rsidR="000D1921" w:rsidRPr="00B06331" w:rsidRDefault="000D1921" w:rsidP="000D1921">
      <w:pPr>
        <w:rPr>
          <w:color w:val="7F7F7F"/>
          <w:sz w:val="20"/>
          <w:szCs w:val="20"/>
        </w:rPr>
      </w:pPr>
    </w:p>
    <w:p w:rsidR="00E44573" w:rsidRPr="00B06331" w:rsidRDefault="00E44573">
      <w:pPr>
        <w:spacing w:after="160" w:line="259" w:lineRule="auto"/>
        <w:rPr>
          <w:rFonts w:eastAsia="MS Gothic" w:cs="Calibri"/>
          <w:b/>
          <w:color w:val="365F91"/>
        </w:rPr>
      </w:pPr>
      <w:r w:rsidRPr="00B06331">
        <w:rPr>
          <w:rFonts w:cs="Calibri"/>
          <w:b/>
        </w:rPr>
        <w:br w:type="page"/>
      </w:r>
    </w:p>
    <w:p w:rsidR="003A5A07" w:rsidRPr="00B06331" w:rsidRDefault="003A5A07" w:rsidP="00F51AF8">
      <w:pPr>
        <w:pStyle w:val="Heading1"/>
        <w:rPr>
          <w:rFonts w:ascii="Calibri" w:hAnsi="Calibri" w:cs="Calibri"/>
          <w:b/>
          <w:sz w:val="22"/>
          <w:szCs w:val="22"/>
        </w:rPr>
      </w:pPr>
      <w:bookmarkStart w:id="110" w:name="_Toc492364772"/>
      <w:r w:rsidRPr="00B06331">
        <w:rPr>
          <w:rFonts w:ascii="Calibri" w:hAnsi="Calibri" w:cs="Calibri"/>
          <w:b/>
          <w:sz w:val="22"/>
          <w:szCs w:val="22"/>
        </w:rPr>
        <w:lastRenderedPageBreak/>
        <w:t>Chapter 7: The Strategic Priorities</w:t>
      </w:r>
      <w:bookmarkEnd w:id="0"/>
      <w:bookmarkEnd w:id="110"/>
    </w:p>
    <w:p w:rsidR="003A5A07" w:rsidRPr="00B06331" w:rsidRDefault="003A5A07" w:rsidP="003A5A07">
      <w:pPr>
        <w:pStyle w:val="Heading2"/>
        <w:rPr>
          <w:rFonts w:ascii="Calibri" w:hAnsi="Calibri" w:cs="Calibri"/>
          <w:sz w:val="22"/>
          <w:szCs w:val="22"/>
        </w:rPr>
      </w:pPr>
      <w:bookmarkStart w:id="111" w:name="_Toc488689324"/>
      <w:bookmarkStart w:id="112" w:name="_Toc492364773"/>
      <w:r w:rsidRPr="00B06331">
        <w:rPr>
          <w:rFonts w:ascii="Calibri" w:hAnsi="Calibri" w:cs="Calibri"/>
          <w:sz w:val="22"/>
          <w:szCs w:val="22"/>
        </w:rPr>
        <w:t>7.1 Introduction</w:t>
      </w:r>
      <w:bookmarkEnd w:id="111"/>
      <w:bookmarkEnd w:id="112"/>
    </w:p>
    <w:p w:rsidR="003A5A07" w:rsidRPr="00B06331" w:rsidRDefault="0077317E" w:rsidP="003A5A07">
      <w:pPr>
        <w:jc w:val="both"/>
        <w:rPr>
          <w:rFonts w:ascii="Avenir Book" w:hAnsi="Avenir Book"/>
          <w:szCs w:val="24"/>
        </w:rPr>
      </w:pPr>
      <w:r w:rsidRPr="00B06331">
        <w:rPr>
          <w:rFonts w:ascii="Avenir Book" w:hAnsi="Avenir Book"/>
          <w:szCs w:val="24"/>
        </w:rPr>
        <w:t>The Gambia is in the cusp of</w:t>
      </w:r>
      <w:r w:rsidR="003A5A07" w:rsidRPr="00B06331">
        <w:rPr>
          <w:rFonts w:ascii="Avenir Book" w:hAnsi="Avenir Book"/>
          <w:szCs w:val="24"/>
        </w:rPr>
        <w:t xml:space="preserve"> a historic transition and finds itself at a critical juncture in its political history and economic life. The </w:t>
      </w:r>
      <w:r w:rsidRPr="00B06331">
        <w:rPr>
          <w:rFonts w:ascii="Avenir Book" w:hAnsi="Avenir Book"/>
          <w:szCs w:val="24"/>
        </w:rPr>
        <w:t xml:space="preserve">new </w:t>
      </w:r>
      <w:r w:rsidR="003A5A07" w:rsidRPr="00B06331">
        <w:rPr>
          <w:rFonts w:ascii="Avenir Book" w:hAnsi="Avenir Book"/>
          <w:szCs w:val="24"/>
        </w:rPr>
        <w:t>National Development Plan seeks to translate the new government’s political and economic agenda into a concrete set of actions toaddress key development challenges and meet the justified expectations of the citizens of the country.</w:t>
      </w:r>
    </w:p>
    <w:p w:rsidR="003A5A07" w:rsidRPr="00B06331" w:rsidRDefault="003A5A07" w:rsidP="003A5A07">
      <w:pPr>
        <w:jc w:val="both"/>
        <w:rPr>
          <w:rFonts w:ascii="Avenir Book" w:hAnsi="Avenir Book"/>
          <w:szCs w:val="24"/>
        </w:rPr>
      </w:pPr>
      <w:r w:rsidRPr="00B06331">
        <w:rPr>
          <w:rFonts w:ascii="Avenir Book" w:hAnsi="Avenir Book"/>
          <w:szCs w:val="24"/>
        </w:rPr>
        <w:t xml:space="preserve">Building upon the </w:t>
      </w:r>
      <w:r w:rsidRPr="00B06331">
        <w:rPr>
          <w:rFonts w:ascii="Avenir Book" w:hAnsi="Avenir Book"/>
          <w:szCs w:val="24"/>
          <w:u w:val="single"/>
        </w:rPr>
        <w:t>Government Compact</w:t>
      </w:r>
      <w:r w:rsidRPr="00B06331">
        <w:rPr>
          <w:rFonts w:ascii="Avenir Book" w:hAnsi="Avenir Book"/>
          <w:szCs w:val="24"/>
        </w:rPr>
        <w:t xml:space="preserve"> agreed 5-7 May 2017, the vision and overall goal outlined in Chapter one, the detailed situational analysis presented in Chapters 2-6, including the needs identified, as well as inputs from the work of the Thematic Working Groups (TWGs), key stakeholders (private sector, National Assembly, IEC, civil society, development partners), Chapter 7 outlines </w:t>
      </w:r>
      <w:r w:rsidR="000D1921" w:rsidRPr="00B06331">
        <w:rPr>
          <w:rFonts w:ascii="Avenir Book" w:hAnsi="Avenir Book"/>
          <w:szCs w:val="24"/>
        </w:rPr>
        <w:t>the</w:t>
      </w:r>
      <w:r w:rsidR="0077317E" w:rsidRPr="00B06331">
        <w:rPr>
          <w:rFonts w:ascii="Avenir Book" w:hAnsi="Avenir Book"/>
          <w:szCs w:val="24"/>
        </w:rPr>
        <w:t xml:space="preserve"> proposed actions and measures </w:t>
      </w:r>
      <w:r w:rsidRPr="00B06331">
        <w:rPr>
          <w:rFonts w:ascii="Avenir Book" w:hAnsi="Avenir Book"/>
          <w:szCs w:val="24"/>
        </w:rPr>
        <w:t>government p</w:t>
      </w:r>
      <w:r w:rsidR="0077317E" w:rsidRPr="00B06331">
        <w:rPr>
          <w:rFonts w:ascii="Avenir Book" w:hAnsi="Avenir Book"/>
          <w:szCs w:val="24"/>
        </w:rPr>
        <w:t xml:space="preserve">lans to undertake to address the country’s challenges over the </w:t>
      </w:r>
      <w:r w:rsidRPr="00B06331">
        <w:rPr>
          <w:rFonts w:ascii="Avenir Book" w:hAnsi="Avenir Book"/>
          <w:szCs w:val="24"/>
        </w:rPr>
        <w:t>four yearsof the plan period - 2018-2021.</w:t>
      </w:r>
    </w:p>
    <w:p w:rsidR="003A5A07" w:rsidRPr="00B06331" w:rsidRDefault="00965AD2" w:rsidP="003A5A07">
      <w:pPr>
        <w:jc w:val="both"/>
        <w:rPr>
          <w:rFonts w:ascii="Avenir Book" w:hAnsi="Avenir Book"/>
          <w:szCs w:val="24"/>
        </w:rPr>
      </w:pPr>
      <w:r w:rsidRPr="00B06331">
        <w:rPr>
          <w:rFonts w:ascii="Avenir Book" w:hAnsi="Avenir Book"/>
          <w:noProof/>
          <w:szCs w:val="24"/>
        </w:rPr>
        <w:pict>
          <v:group id="Group 17" o:spid="_x0000_s1043" style="position:absolute;left:0;text-align:left;margin-left:176.6pt;margin-top:273.9pt;width:280.8pt;height:162.7pt;z-index:251654144;mso-wrap-distance-left:14.4pt;mso-wrap-distance-top:3.6pt;mso-wrap-distance-right:14.4pt;mso-wrap-distance-bottom:3.6pt;mso-position-horizontal-relative:margin;mso-position-vertical-relative:margin;mso-width-relative:margin;mso-height-relative:margin" coordsize="35674,2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">
            <v:rect id="Rectangle 199" o:spid="_x0000_s1044"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6VsQA&#10;AADbAAAADwAAAGRycy9kb3ducmV2LnhtbESPwW7CMBBE70j9B2srcStOQUVtiolCKRWEEykfsIq3&#10;SdR4bcUGwt/jSpU4jmbmjWaRDaYTZ+p9a1nB8yQBQVxZ3XKt4Pi9eXoF4QOyxs4yKbiSh2z5MFpg&#10;qu2FD3QuQy0ihH2KCpoQXCqlrxoy6CfWEUfvx/YGQ5R9LXWPlwg3nZwmyVwabDkuNOjoo6HqtzwZ&#10;BXs3W/n8+LUpd2+r9aE1xafbF0qNH4f8HUSgIdzD/+2tVjB9g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OlbEAAAA2wAAAA8AAAAAAAAAAAAAAAAAmAIAAGRycy9k&#10;b3ducmV2LnhtbFBLBQYAAAAABAAEAPUAAACJAwAAAAA=&#10;" fillcolor="#4f81bd" stroked="f">
              <v:textbox>
                <w:txbxContent>
                  <w:p w:rsidR="00FD4AC6" w:rsidRPr="00860EC7" w:rsidRDefault="00FD4AC6" w:rsidP="003A5A07">
                    <w:pPr>
                      <w:jc w:val="center"/>
                      <w:rPr>
                        <w:rFonts w:eastAsia="MS Gothic" w:cs="Calibri"/>
                        <w:b/>
                        <w:color w:val="FFFFFF"/>
                        <w:sz w:val="24"/>
                        <w:szCs w:val="28"/>
                      </w:rPr>
                    </w:pPr>
                    <w:r>
                      <w:rPr>
                        <w:rFonts w:eastAsia="MS Gothic" w:cs="Calibri"/>
                        <w:b/>
                        <w:color w:val="FFFFFF"/>
                        <w:sz w:val="20"/>
                        <w:szCs w:val="28"/>
                      </w:rPr>
                      <w:t xml:space="preserve">Box 7.1: </w:t>
                    </w:r>
                    <w:r w:rsidRPr="00860EC7">
                      <w:rPr>
                        <w:rFonts w:eastAsia="MS Gothic" w:cs="Calibri"/>
                        <w:b/>
                        <w:color w:val="FFFFFF"/>
                        <w:sz w:val="20"/>
                        <w:szCs w:val="28"/>
                      </w:rPr>
                      <w:t>Strategic Priorities of the NDP</w:t>
                    </w:r>
                  </w:p>
                </w:txbxContent>
              </v:textbox>
            </v:rect>
            <v:shape id="Text Box 200" o:spid="_x0000_s1045" type="#_x0000_t202" style="position:absolute;top:2526;width:35674;height:18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j8IA&#10;AADbAAAADwAAAGRycy9kb3ducmV2LnhtbESPwWrDMBBE74X+g9hCb7VcH4xxo4SQupBDabCTD1is&#10;rW1irYyk2s7fV4VCjsPMvGE2u9WMYibnB8sKXpMUBHFr9cCdgsv546UA4QOyxtEyKbiRh9328WGD&#10;pbYL1zQ3oRMRwr5EBX0IUymlb3sy6BM7EUfv2zqDIUrXSe1wiXAzyixNc2lw4LjQ40SHntpr82MU&#10;1Pt2KPw7Zk5+VgsVtpq+TpVSz0/r/g1EoDXcw//to1aQ5fD3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1CPwgAAANsAAAAPAAAAAAAAAAAAAAAAAJgCAABkcnMvZG93&#10;bnJldi54bWxQSwUGAAAAAAQABAD1AAAAhwMAAAAA&#10;" filled="f" stroked="f">
              <v:textbox inset=",7.2pt,,0">
                <w:txbxContent>
                  <w:p w:rsidR="00FD4AC6" w:rsidRPr="006E32BA" w:rsidRDefault="00FD4AC6" w:rsidP="003715CF">
                    <w:pPr>
                      <w:pStyle w:val="ListParagraph"/>
                      <w:numPr>
                        <w:ilvl w:val="0"/>
                        <w:numId w:val="13"/>
                      </w:numPr>
                      <w:jc w:val="both"/>
                      <w:rPr>
                        <w:caps/>
                        <w:color w:val="4F81BD"/>
                        <w:sz w:val="20"/>
                        <w:szCs w:val="26"/>
                      </w:rPr>
                    </w:pPr>
                    <w:r w:rsidRPr="006E32BA">
                      <w:rPr>
                        <w:color w:val="4F81BD"/>
                        <w:sz w:val="20"/>
                        <w:szCs w:val="26"/>
                      </w:rPr>
                      <w:t>Governance, Human rights, and</w:t>
                    </w:r>
                    <w:r>
                      <w:rPr>
                        <w:color w:val="4F81BD"/>
                        <w:sz w:val="20"/>
                        <w:szCs w:val="26"/>
                      </w:rPr>
                      <w:t xml:space="preserve"> Access to Justice </w:t>
                    </w:r>
                  </w:p>
                  <w:p w:rsidR="00FD4AC6" w:rsidRPr="006E32BA" w:rsidRDefault="00FD4AC6" w:rsidP="003715CF">
                    <w:pPr>
                      <w:pStyle w:val="ListParagraph"/>
                      <w:numPr>
                        <w:ilvl w:val="0"/>
                        <w:numId w:val="13"/>
                      </w:numPr>
                      <w:jc w:val="both"/>
                      <w:rPr>
                        <w:caps/>
                        <w:color w:val="4F81BD"/>
                        <w:sz w:val="20"/>
                        <w:szCs w:val="26"/>
                      </w:rPr>
                    </w:pPr>
                    <w:r w:rsidRPr="006E32BA">
                      <w:rPr>
                        <w:color w:val="4F81BD"/>
                        <w:sz w:val="20"/>
                        <w:szCs w:val="26"/>
                      </w:rPr>
                      <w:t>Macroeconomic Stabilization and Economic Management</w:t>
                    </w:r>
                  </w:p>
                  <w:p w:rsidR="00FD4AC6" w:rsidRPr="009A4242" w:rsidRDefault="00FD4AC6" w:rsidP="003715CF">
                    <w:pPr>
                      <w:pStyle w:val="ListParagraph"/>
                      <w:numPr>
                        <w:ilvl w:val="0"/>
                        <w:numId w:val="13"/>
                      </w:numPr>
                      <w:jc w:val="both"/>
                      <w:rPr>
                        <w:caps/>
                        <w:color w:val="4F81BD"/>
                        <w:sz w:val="20"/>
                        <w:szCs w:val="26"/>
                      </w:rPr>
                    </w:pPr>
                    <w:r w:rsidRPr="00860EC7">
                      <w:rPr>
                        <w:color w:val="4F81BD"/>
                        <w:sz w:val="20"/>
                        <w:szCs w:val="26"/>
                      </w:rPr>
                      <w:t>Modernized Agriculture, Agribusiness, and Fisheries</w:t>
                    </w:r>
                  </w:p>
                  <w:p w:rsidR="00FD4AC6" w:rsidRPr="009A4242" w:rsidRDefault="00FD4AC6" w:rsidP="009A4242">
                    <w:pPr>
                      <w:pStyle w:val="ListParagraph"/>
                      <w:numPr>
                        <w:ilvl w:val="0"/>
                        <w:numId w:val="13"/>
                      </w:numPr>
                      <w:jc w:val="both"/>
                      <w:rPr>
                        <w:color w:val="4F81BD"/>
                        <w:sz w:val="20"/>
                        <w:szCs w:val="26"/>
                      </w:rPr>
                    </w:pPr>
                    <w:r>
                      <w:rPr>
                        <w:color w:val="4F81BD"/>
                        <w:sz w:val="20"/>
                        <w:szCs w:val="26"/>
                      </w:rPr>
                      <w:t xml:space="preserve">Investing in Our People - </w:t>
                    </w:r>
                    <w:r w:rsidRPr="00860EC7">
                      <w:rPr>
                        <w:color w:val="4F81BD"/>
                        <w:sz w:val="20"/>
                        <w:szCs w:val="26"/>
                      </w:rPr>
                      <w:t>Human Capital Development – Educatio</w:t>
                    </w:r>
                    <w:r>
                      <w:rPr>
                        <w:color w:val="4F81BD"/>
                        <w:sz w:val="20"/>
                        <w:szCs w:val="26"/>
                      </w:rPr>
                      <w:t>n, Health, and Social Protection</w:t>
                    </w:r>
                  </w:p>
                  <w:p w:rsidR="00FD4AC6" w:rsidRPr="00860EC7" w:rsidRDefault="00FD4AC6" w:rsidP="003715CF">
                    <w:pPr>
                      <w:pStyle w:val="ListParagraph"/>
                      <w:numPr>
                        <w:ilvl w:val="0"/>
                        <w:numId w:val="13"/>
                      </w:numPr>
                      <w:jc w:val="both"/>
                      <w:rPr>
                        <w:caps/>
                        <w:color w:val="4F81BD"/>
                        <w:sz w:val="20"/>
                        <w:szCs w:val="26"/>
                      </w:rPr>
                    </w:pPr>
                    <w:r w:rsidRPr="00860EC7">
                      <w:rPr>
                        <w:color w:val="4F81BD"/>
                        <w:sz w:val="20"/>
                        <w:szCs w:val="26"/>
                      </w:rPr>
                      <w:t>Tourism and Culture</w:t>
                    </w:r>
                  </w:p>
                  <w:p w:rsidR="00FD4AC6" w:rsidRPr="00860EC7" w:rsidRDefault="00FD4AC6" w:rsidP="003715CF">
                    <w:pPr>
                      <w:pStyle w:val="ListParagraph"/>
                      <w:numPr>
                        <w:ilvl w:val="0"/>
                        <w:numId w:val="13"/>
                      </w:numPr>
                      <w:jc w:val="both"/>
                      <w:rPr>
                        <w:color w:val="4F81BD"/>
                        <w:sz w:val="20"/>
                        <w:szCs w:val="26"/>
                      </w:rPr>
                    </w:pPr>
                    <w:r w:rsidRPr="00860EC7">
                      <w:rPr>
                        <w:color w:val="4F81BD"/>
                        <w:sz w:val="20"/>
                        <w:szCs w:val="26"/>
                      </w:rPr>
                      <w:t>Infrastructure and Energy</w:t>
                    </w:r>
                  </w:p>
                  <w:p w:rsidR="00FD4AC6" w:rsidRPr="00860EC7" w:rsidRDefault="00FD4AC6" w:rsidP="003715CF">
                    <w:pPr>
                      <w:pStyle w:val="ListParagraph"/>
                      <w:numPr>
                        <w:ilvl w:val="0"/>
                        <w:numId w:val="13"/>
                      </w:numPr>
                      <w:jc w:val="both"/>
                      <w:rPr>
                        <w:caps/>
                        <w:color w:val="4F81BD"/>
                        <w:sz w:val="20"/>
                        <w:szCs w:val="26"/>
                      </w:rPr>
                    </w:pPr>
                    <w:r w:rsidRPr="00860EC7">
                      <w:rPr>
                        <w:color w:val="4F81BD"/>
                        <w:sz w:val="20"/>
                        <w:szCs w:val="26"/>
                      </w:rPr>
                      <w:t>Youth Empowerment and Development</w:t>
                    </w:r>
                  </w:p>
                  <w:p w:rsidR="00FD4AC6" w:rsidRPr="00860EC7" w:rsidRDefault="00FD4AC6" w:rsidP="003715CF">
                    <w:pPr>
                      <w:pStyle w:val="ListParagraph"/>
                      <w:numPr>
                        <w:ilvl w:val="0"/>
                        <w:numId w:val="13"/>
                      </w:numPr>
                      <w:jc w:val="both"/>
                      <w:rPr>
                        <w:caps/>
                        <w:color w:val="4F81BD"/>
                        <w:sz w:val="20"/>
                        <w:szCs w:val="26"/>
                      </w:rPr>
                    </w:pPr>
                    <w:r w:rsidRPr="00860EC7">
                      <w:rPr>
                        <w:color w:val="4F81BD"/>
                        <w:sz w:val="20"/>
                        <w:szCs w:val="26"/>
                      </w:rPr>
                      <w:t>Private Sector Development and Trade</w:t>
                    </w:r>
                  </w:p>
                </w:txbxContent>
              </v:textbox>
            </v:shape>
            <w10:wrap type="square" anchorx="margin" anchory="margin"/>
          </v:group>
        </w:pict>
      </w:r>
      <w:r w:rsidR="003A5A07" w:rsidRPr="00B06331">
        <w:rPr>
          <w:rFonts w:ascii="Avenir Book" w:hAnsi="Avenir Book"/>
          <w:szCs w:val="24"/>
        </w:rPr>
        <w:t>The plan is anchored on eight (8) strategic priorities which are treated in this chapter and seven (7) critical enablers dealt with in the next chapter (8). For each strategic priority and critical enabler, the plan identifies the goal to achieve, the key results expected, the desired outcomes and key interventions</w:t>
      </w:r>
      <w:r w:rsidR="000D1921" w:rsidRPr="00B06331">
        <w:rPr>
          <w:rFonts w:ascii="Avenir Book" w:hAnsi="Avenir Book"/>
          <w:szCs w:val="24"/>
        </w:rPr>
        <w:t>. Annex 2</w:t>
      </w:r>
      <w:r w:rsidR="003A5A07" w:rsidRPr="00B06331">
        <w:rPr>
          <w:rFonts w:ascii="Avenir Book" w:hAnsi="Avenir Book"/>
          <w:szCs w:val="24"/>
        </w:rPr>
        <w:t xml:space="preserve"> presents a compilation of all the goals, the outcomes, and key interventions</w:t>
      </w:r>
      <w:r w:rsidR="000D1921" w:rsidRPr="00B06331">
        <w:rPr>
          <w:rFonts w:ascii="Avenir Book" w:hAnsi="Avenir Book"/>
          <w:szCs w:val="24"/>
        </w:rPr>
        <w:t>, as well as the lead/convening institutions and the supporting ones</w:t>
      </w:r>
      <w:r w:rsidR="003A5A07" w:rsidRPr="00B06331">
        <w:rPr>
          <w:rFonts w:ascii="Avenir Book" w:hAnsi="Avenir Book"/>
          <w:szCs w:val="24"/>
        </w:rPr>
        <w:t xml:space="preserve">. </w:t>
      </w:r>
    </w:p>
    <w:p w:rsidR="003A5A07" w:rsidRPr="00B06331" w:rsidRDefault="000D1921" w:rsidP="003A5A07">
      <w:pPr>
        <w:jc w:val="both"/>
        <w:rPr>
          <w:rFonts w:ascii="Avenir Book" w:hAnsi="Avenir Book"/>
        </w:rPr>
      </w:pPr>
      <w:r w:rsidRPr="00B06331">
        <w:rPr>
          <w:rFonts w:ascii="Avenir Book" w:hAnsi="Avenir Book"/>
          <w:szCs w:val="24"/>
        </w:rPr>
        <w:t>A</w:t>
      </w:r>
      <w:r w:rsidR="003A5A07" w:rsidRPr="00B06331">
        <w:rPr>
          <w:rFonts w:ascii="Avenir Book" w:hAnsi="Avenir Book"/>
          <w:szCs w:val="24"/>
        </w:rPr>
        <w:t xml:space="preserve"> results matrix setting out the targets, indicators and baselines and means of verification can </w:t>
      </w:r>
      <w:r w:rsidRPr="00B06331">
        <w:rPr>
          <w:rFonts w:ascii="Avenir Book" w:hAnsi="Avenir Book"/>
        </w:rPr>
        <w:t>be found in annex 3</w:t>
      </w:r>
      <w:r w:rsidR="003A5A07" w:rsidRPr="00B06331">
        <w:rPr>
          <w:rFonts w:ascii="Avenir Book" w:hAnsi="Avenir Book"/>
        </w:rPr>
        <w:t>.</w:t>
      </w:r>
    </w:p>
    <w:p w:rsidR="003A5A07" w:rsidRPr="00B06331" w:rsidRDefault="003A5A07" w:rsidP="003A5A07">
      <w:pPr>
        <w:pStyle w:val="Heading2"/>
        <w:rPr>
          <w:rFonts w:ascii="Calibri" w:hAnsi="Calibri" w:cs="Calibri"/>
          <w:caps/>
          <w:sz w:val="22"/>
          <w:szCs w:val="22"/>
        </w:rPr>
      </w:pPr>
      <w:bookmarkStart w:id="113" w:name="_Toc488689325"/>
      <w:bookmarkStart w:id="114" w:name="_Toc492364774"/>
      <w:r w:rsidRPr="00B06331">
        <w:rPr>
          <w:rFonts w:ascii="Calibri" w:hAnsi="Calibri" w:cs="Calibri"/>
          <w:sz w:val="22"/>
          <w:szCs w:val="22"/>
        </w:rPr>
        <w:t xml:space="preserve">7.2 Governance, Human Rights, and </w:t>
      </w:r>
      <w:bookmarkEnd w:id="113"/>
      <w:r w:rsidRPr="00B06331">
        <w:rPr>
          <w:rFonts w:ascii="Calibri" w:hAnsi="Calibri" w:cs="Calibri"/>
          <w:sz w:val="22"/>
          <w:szCs w:val="22"/>
        </w:rPr>
        <w:t>Access to Justice</w:t>
      </w:r>
      <w:bookmarkEnd w:id="114"/>
    </w:p>
    <w:p w:rsidR="003A5A07" w:rsidRPr="00B06331" w:rsidRDefault="003A5A07" w:rsidP="003A5A07">
      <w:pPr>
        <w:jc w:val="both"/>
        <w:rPr>
          <w:rFonts w:ascii="Avenir Book" w:hAnsi="Avenir Book"/>
          <w:szCs w:val="24"/>
        </w:rPr>
      </w:pPr>
      <w:r w:rsidRPr="00B06331">
        <w:rPr>
          <w:rFonts w:ascii="Avenir Book" w:hAnsi="Avenir Book"/>
          <w:caps/>
          <w:szCs w:val="24"/>
        </w:rPr>
        <w:t>G</w:t>
      </w:r>
      <w:r w:rsidRPr="00B06331">
        <w:rPr>
          <w:rFonts w:ascii="Avenir Book" w:hAnsi="Avenir Book"/>
          <w:szCs w:val="24"/>
        </w:rPr>
        <w:t>ood governance and human security are central to citizens’ well-being, prosperity, and safety, and underpin all modern societies.</w:t>
      </w:r>
    </w:p>
    <w:p w:rsidR="003A5A07" w:rsidRPr="00B06331" w:rsidRDefault="003A5A07" w:rsidP="003A5A07">
      <w:pPr>
        <w:jc w:val="both"/>
        <w:rPr>
          <w:rFonts w:ascii="Avenir Book" w:hAnsi="Avenir Book"/>
          <w:szCs w:val="24"/>
        </w:rPr>
      </w:pPr>
      <w:r w:rsidRPr="00B06331">
        <w:rPr>
          <w:rFonts w:ascii="Avenir Book" w:hAnsi="Avenir Book"/>
          <w:szCs w:val="24"/>
        </w:rPr>
        <w:t xml:space="preserve">Unsurprisingly, the decades of bad governance experienced by the Gambia had wide-ranging impacts on </w:t>
      </w:r>
      <w:r w:rsidR="009A4242" w:rsidRPr="00B06331">
        <w:rPr>
          <w:rFonts w:ascii="Avenir Book" w:hAnsi="Avenir Book"/>
          <w:szCs w:val="24"/>
        </w:rPr>
        <w:t>all segments of society and was</w:t>
      </w:r>
      <w:r w:rsidRPr="00B06331">
        <w:rPr>
          <w:rFonts w:ascii="Avenir Book" w:hAnsi="Avenir Book"/>
          <w:szCs w:val="24"/>
        </w:rPr>
        <w:t xml:space="preserve"> the bane of macro-economic stability and growth. Restoring good governance, rebuilding, and restoring public confidence in key institutions, upholding human rights and strengthening access to justice, in the context of transitional justice are urgent priorities.  </w:t>
      </w:r>
    </w:p>
    <w:p w:rsidR="003A5A07" w:rsidRPr="00B06331" w:rsidRDefault="003A5A07" w:rsidP="003A5A07">
      <w:pPr>
        <w:jc w:val="both"/>
        <w:rPr>
          <w:rFonts w:ascii="Avenir Book" w:hAnsi="Avenir Book"/>
          <w:szCs w:val="24"/>
        </w:rPr>
      </w:pPr>
      <w:r w:rsidRPr="00B06331">
        <w:rPr>
          <w:rFonts w:ascii="Avenir Book" w:hAnsi="Avenir Book"/>
          <w:szCs w:val="24"/>
        </w:rPr>
        <w:t xml:space="preserve">Government is determined that the country will regain its reputation as a beacon of democracy and be recognized as one which upholds the highest standards of governance. </w:t>
      </w:r>
    </w:p>
    <w:p w:rsidR="003A5A07" w:rsidRPr="00B06331" w:rsidRDefault="003A5A07" w:rsidP="003A5A07">
      <w:pPr>
        <w:jc w:val="both"/>
        <w:rPr>
          <w:rFonts w:ascii="Avenir Book" w:hAnsi="Avenir Book"/>
          <w:szCs w:val="24"/>
        </w:rPr>
      </w:pPr>
      <w:r w:rsidRPr="00B06331">
        <w:rPr>
          <w:rFonts w:ascii="Avenir Book" w:hAnsi="Avenir Book"/>
          <w:szCs w:val="24"/>
        </w:rPr>
        <w:lastRenderedPageBreak/>
        <w:t>Considering this, the goal of the NDP with respect to governance and human rights ist</w:t>
      </w:r>
      <w:r w:rsidR="00BA11C2" w:rsidRPr="00B06331">
        <w:rPr>
          <w:rFonts w:ascii="Avenir Book" w:hAnsi="Avenir Book"/>
          <w:szCs w:val="24"/>
        </w:rPr>
        <w:t>o</w:t>
      </w:r>
      <w:r w:rsidRPr="00B06331">
        <w:rPr>
          <w:rFonts w:ascii="Avenir Book" w:hAnsi="Avenir Book"/>
          <w:b/>
          <w:i/>
          <w:szCs w:val="24"/>
        </w:rPr>
        <w:t>enhance and improve human rights, access to justice and good governance for all</w:t>
      </w:r>
      <w:r w:rsidRPr="00B06331">
        <w:rPr>
          <w:rFonts w:ascii="Avenir Book" w:hAnsi="Avenir Book"/>
          <w:szCs w:val="24"/>
        </w:rPr>
        <w:t>.</w:t>
      </w:r>
    </w:p>
    <w:p w:rsidR="003A5A07" w:rsidRPr="00B06331" w:rsidRDefault="003A5A07" w:rsidP="003A5A07">
      <w:pPr>
        <w:rPr>
          <w:rFonts w:ascii="Avenir Book" w:hAnsi="Avenir Book"/>
          <w:b/>
          <w:szCs w:val="24"/>
        </w:rPr>
      </w:pPr>
      <w:r w:rsidRPr="00B06331">
        <w:rPr>
          <w:rFonts w:ascii="Avenir Book" w:hAnsi="Avenir Book"/>
          <w:b/>
          <w:szCs w:val="24"/>
        </w:rPr>
        <w:t>Table 7.1 Key Expected Results for Governance</w:t>
      </w:r>
      <w:r w:rsidR="00772C6A" w:rsidRPr="00B06331">
        <w:rPr>
          <w:rFonts w:ascii="Avenir Book" w:hAnsi="Avenir Book"/>
          <w:b/>
          <w:szCs w:val="24"/>
        </w:rPr>
        <w:t xml:space="preserve">, Human Rights and Access to Justice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5"/>
      </w:tblGrid>
      <w:tr w:rsidR="003A5A07" w:rsidRPr="00B06331" w:rsidTr="003604CF">
        <w:tc>
          <w:tcPr>
            <w:tcW w:w="8185" w:type="dxa"/>
            <w:shd w:val="clear" w:color="auto" w:fill="D9E2F3" w:themeFill="accent1" w:themeFillTint="33"/>
          </w:tcPr>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A revised Constitution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An amended Criminal Code and Public Order Act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An amended Information and Communications Act, Children’s Act, Women’s Act, District Tribunal Act, and Elections Act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Fully functional Human Rights and Anti- Corruption Commissions in conformity with International standards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Full compliance with reporting obligations under ratified Human Rights Treaties</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A Truth, Reconciliation, and Reparations Commission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An amended Ombudsman Act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Fully functional Ombudsman, NALA and ADRS offices in all the Administrative Regions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Fully functional Courts and Tribunals in all the Administrative Regions by 2021</w:t>
            </w:r>
          </w:p>
          <w:p w:rsidR="003A5A07" w:rsidRPr="00B06331" w:rsidRDefault="003A5A07" w:rsidP="004143E3">
            <w:pPr>
              <w:pStyle w:val="ListParagraph"/>
              <w:numPr>
                <w:ilvl w:val="0"/>
                <w:numId w:val="33"/>
              </w:numPr>
              <w:spacing w:after="0" w:line="240" w:lineRule="auto"/>
              <w:rPr>
                <w:rFonts w:ascii="Avenir Book" w:hAnsi="Avenir Book"/>
                <w:sz w:val="20"/>
                <w:szCs w:val="24"/>
              </w:rPr>
            </w:pPr>
            <w:r w:rsidRPr="00B06331">
              <w:rPr>
                <w:rFonts w:ascii="Avenir Book" w:hAnsi="Avenir Book"/>
                <w:sz w:val="20"/>
                <w:szCs w:val="24"/>
              </w:rPr>
              <w:t>Indigenized judiciary and State Law Office by 2021</w:t>
            </w:r>
          </w:p>
        </w:tc>
      </w:tr>
    </w:tbl>
    <w:p w:rsidR="003A5A07" w:rsidRPr="00B06331" w:rsidRDefault="003A5A07" w:rsidP="003A5A07">
      <w:pPr>
        <w:rPr>
          <w:rFonts w:ascii="Avenir Book" w:hAnsi="Avenir Book"/>
          <w:szCs w:val="24"/>
        </w:rPr>
      </w:pPr>
    </w:p>
    <w:p w:rsidR="003A5A07" w:rsidRPr="00B06331" w:rsidRDefault="003A5A07" w:rsidP="003A5A07">
      <w:pPr>
        <w:jc w:val="both"/>
        <w:rPr>
          <w:rFonts w:ascii="Avenir Book" w:hAnsi="Avenir Book"/>
          <w:szCs w:val="24"/>
        </w:rPr>
      </w:pPr>
      <w:r w:rsidRPr="00B06331">
        <w:rPr>
          <w:rFonts w:ascii="Avenir Book" w:hAnsi="Avenir Book"/>
          <w:szCs w:val="24"/>
        </w:rPr>
        <w:t>The NDP proposes three key outcomes to achieve this goal and results on strengthening governance (outcomes1.1, 1.2 and 1.3). The main interventions to realize these desired outcomes are detailed below.</w:t>
      </w:r>
    </w:p>
    <w:p w:rsidR="003A5A07" w:rsidRPr="00B06331" w:rsidRDefault="003A5A07" w:rsidP="003A5A07">
      <w:pPr>
        <w:jc w:val="both"/>
        <w:rPr>
          <w:rFonts w:ascii="Avenir Book" w:hAnsi="Avenir Book"/>
          <w:b/>
          <w:i/>
          <w:color w:val="4472C4" w:themeColor="accent1"/>
          <w:szCs w:val="24"/>
        </w:rPr>
      </w:pPr>
      <w:r w:rsidRPr="00B06331">
        <w:rPr>
          <w:rFonts w:ascii="Avenir Book" w:hAnsi="Avenir Book"/>
          <w:b/>
          <w:i/>
          <w:color w:val="4472C4" w:themeColor="accent1"/>
          <w:szCs w:val="24"/>
        </w:rPr>
        <w:t>Outcome 1.1: Enhanced Good Governance and Freedom of Expression</w:t>
      </w:r>
    </w:p>
    <w:p w:rsidR="003A5A07" w:rsidRPr="00B06331" w:rsidRDefault="003A5A07" w:rsidP="003A5A07">
      <w:pPr>
        <w:jc w:val="both"/>
        <w:rPr>
          <w:rFonts w:ascii="Avenir Book" w:hAnsi="Avenir Book"/>
          <w:szCs w:val="24"/>
        </w:rPr>
      </w:pPr>
      <w:r w:rsidRPr="00B06331">
        <w:rPr>
          <w:rFonts w:ascii="Avenir Book" w:hAnsi="Avenir Book"/>
          <w:szCs w:val="24"/>
        </w:rPr>
        <w:t>The Constitution of the Gambia has undergone several revisions over the past two decades – 49 amendments have been identified – which underscores the need for wholesale revision of the Constitution. By 2019, the 1997 Constitution of the Republic of The Gambia shall be comprehensively reviewed and necessary recommendations made and a new Constitution that promotes good governance and is suitable for the people of The Gambia adopted. Extensive consultations are planned, and if necessary a referendum on the new constitution will be held, following which the National Assembly will adopt a new constitution</w:t>
      </w:r>
    </w:p>
    <w:p w:rsidR="003A5A07" w:rsidRPr="00B06331" w:rsidRDefault="003A5A07" w:rsidP="003A5A07">
      <w:pPr>
        <w:jc w:val="both"/>
        <w:rPr>
          <w:rFonts w:ascii="Avenir Book" w:hAnsi="Avenir Book"/>
          <w:szCs w:val="24"/>
        </w:rPr>
      </w:pPr>
      <w:r w:rsidRPr="00B06331">
        <w:rPr>
          <w:rFonts w:ascii="Avenir Book" w:hAnsi="Avenir Book"/>
          <w:szCs w:val="24"/>
        </w:rPr>
        <w:t>In addition, there shall be a comprehensive review and harmonization of all existing criminal justice legislations, with a focus on those laws that were intended to stifle freedom of expression in all its forms</w:t>
      </w:r>
      <w:r w:rsidR="00BA11C2" w:rsidRPr="00B06331">
        <w:rPr>
          <w:rFonts w:ascii="Avenir Book" w:hAnsi="Avenir Book"/>
          <w:szCs w:val="24"/>
        </w:rPr>
        <w:t>. These</w:t>
      </w:r>
      <w:r w:rsidRPr="00B06331">
        <w:rPr>
          <w:rFonts w:ascii="Avenir Book" w:hAnsi="Avenir Book"/>
          <w:szCs w:val="24"/>
        </w:rPr>
        <w:t xml:space="preserve"> include, but are not limited to the Criminal Code, Public Order Act and the Information and Communication Act and the Elections Act.As part of this process, the Ministry of Justice would also support the Department of Social Welfare and the Ministry of Women’s Affairsin reviewing and consolidating the amendments to the Children’s Act of 2005 and the amendment to the Women’s Act 2010respectivelyto be in line with International standards. In the same vein, in collaboration with the Judiciary and the Ministry of Lands and Regional Government, the District Tribunal Act will also be reviewedby the end of 2020.</w:t>
      </w:r>
    </w:p>
    <w:p w:rsidR="003A5A07" w:rsidRPr="00B06331" w:rsidRDefault="003A5A07" w:rsidP="003A5A07">
      <w:pPr>
        <w:jc w:val="both"/>
        <w:rPr>
          <w:rFonts w:ascii="Avenir Book" w:hAnsi="Avenir Book"/>
          <w:b/>
          <w:i/>
          <w:szCs w:val="24"/>
        </w:rPr>
      </w:pPr>
      <w:r w:rsidRPr="00B06331">
        <w:rPr>
          <w:rFonts w:ascii="Avenir Book" w:hAnsi="Avenir Book"/>
          <w:b/>
          <w:i/>
          <w:color w:val="4472C4" w:themeColor="accent1"/>
          <w:szCs w:val="24"/>
        </w:rPr>
        <w:t>Outcome 1.2: Improved Access to Quality Justice Service (including the Ombudsman and ADRS), without undue delay by an Independent and Efficient Judiciary</w:t>
      </w:r>
    </w:p>
    <w:p w:rsidR="003A5A07" w:rsidRPr="00B06331" w:rsidRDefault="003A5A07" w:rsidP="003A5A07">
      <w:pPr>
        <w:jc w:val="both"/>
        <w:rPr>
          <w:rFonts w:ascii="Avenir Book" w:hAnsi="Avenir Book"/>
          <w:szCs w:val="24"/>
        </w:rPr>
      </w:pPr>
      <w:r w:rsidRPr="00B06331">
        <w:rPr>
          <w:rFonts w:ascii="Avenir Book" w:hAnsi="Avenir Book"/>
          <w:szCs w:val="24"/>
        </w:rPr>
        <w:lastRenderedPageBreak/>
        <w:t>Key institutions working on improving access to justice are the Judiciary which is the third arm of authority under Gambia’s constitution, the National Agency for Legal Aid, the Ombudsman’s Office, the Alternate Dispute Resolution Mechanism, and the Ministry of Justice. The performance of all these institutions was seriously undermined in the past decades, which hampered citizens’ access to justice. The plan seeks to redress this by the end of 2021.</w:t>
      </w:r>
    </w:p>
    <w:p w:rsidR="003A5A07" w:rsidRPr="00B06331" w:rsidRDefault="003A5A07" w:rsidP="003A5A07">
      <w:pPr>
        <w:rPr>
          <w:rFonts w:ascii="Avenir Book" w:hAnsi="Avenir Book"/>
          <w:b/>
          <w:szCs w:val="24"/>
        </w:rPr>
      </w:pPr>
      <w:r w:rsidRPr="00B06331">
        <w:rPr>
          <w:rFonts w:ascii="Avenir Book" w:hAnsi="Avenir Book"/>
          <w:b/>
          <w:szCs w:val="24"/>
        </w:rPr>
        <w:t xml:space="preserve">The Judiciary </w:t>
      </w:r>
    </w:p>
    <w:p w:rsidR="003A5A07" w:rsidRPr="00B06331" w:rsidRDefault="003A5A07" w:rsidP="003A5A07">
      <w:pPr>
        <w:spacing w:after="0"/>
        <w:jc w:val="both"/>
        <w:rPr>
          <w:rFonts w:ascii="Avenir Book" w:hAnsi="Avenir Book"/>
          <w:szCs w:val="24"/>
        </w:rPr>
      </w:pPr>
      <w:r w:rsidRPr="00B06331">
        <w:rPr>
          <w:rFonts w:ascii="Avenir Book" w:hAnsi="Avenir Book"/>
          <w:szCs w:val="24"/>
        </w:rPr>
        <w:t xml:space="preserve">An independent and efficient judiciary delivering justice without undue delay is indispensable for the rule of law and good governance.  Independence is best secured through security of tenure of judicial officers and through administrative autonomy of the judicial institution. The constitutional framework would be improved to ensure better security of tenure and avoid the abuses of the past two decades which were characterized by arbitrary dismissals of judges and magistrates. </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The 1997 Constitution provides for administrative autonomy of the judiciary as a self-accounting unit (Section 144) with responsibility for the recruiting of its staff through the Judicial Service Commission (Section 146) and for the administration of its affairs (Sections 120 and 121).  Most of these constitutional provisions have remained a dead letter.  They need to be implemented now as the Gambia seeks to enter a new era of respect for the rule of law, justice, human rights, and good governance.</w:t>
      </w:r>
    </w:p>
    <w:p w:rsidR="003A5A07" w:rsidRPr="00B06331" w:rsidRDefault="003A5A07" w:rsidP="003A5A07">
      <w:pPr>
        <w:pStyle w:val="ListParagraph"/>
        <w:spacing w:after="0"/>
        <w:jc w:val="both"/>
        <w:rPr>
          <w:rFonts w:ascii="Avenir Book" w:hAnsi="Avenir Book"/>
          <w:szCs w:val="24"/>
        </w:rPr>
      </w:pPr>
    </w:p>
    <w:p w:rsidR="003A5A07" w:rsidRPr="00B06331" w:rsidRDefault="003A5A07" w:rsidP="003A5A07">
      <w:pPr>
        <w:jc w:val="both"/>
        <w:rPr>
          <w:rFonts w:ascii="Avenir Book" w:hAnsi="Avenir Book"/>
          <w:szCs w:val="24"/>
        </w:rPr>
      </w:pPr>
      <w:r w:rsidRPr="00B06331">
        <w:rPr>
          <w:rFonts w:ascii="Avenir Book" w:hAnsi="Avenir Book"/>
          <w:szCs w:val="24"/>
        </w:rPr>
        <w:t>During the plan period, the Judicial Service Commission (JSC) would be strengthened to execute its mandate in line with the Constitution. The legal framework will be strengthened to support and enhance the independence of the judiciary and the relevant authorities will be sensitized on the need for judicial administrative and financial autonomy.</w:t>
      </w:r>
    </w:p>
    <w:p w:rsidR="003A5A07" w:rsidRPr="00B06331" w:rsidRDefault="003A5A07" w:rsidP="003A5A07">
      <w:pPr>
        <w:jc w:val="both"/>
        <w:rPr>
          <w:rFonts w:ascii="Avenir Book" w:hAnsi="Avenir Book"/>
          <w:szCs w:val="24"/>
        </w:rPr>
      </w:pPr>
      <w:r w:rsidRPr="00B06331">
        <w:rPr>
          <w:rFonts w:ascii="Avenir Book" w:hAnsi="Avenir Book"/>
          <w:szCs w:val="24"/>
        </w:rPr>
        <w:t xml:space="preserve">The successful implementation of the judiciary’s mandate will rest largely on the shoulders of well trained, competent, experienced, and well-motivated staff – Judges, Magistrates, Cadis and other administrative staff.  Because of unattractive terms and conditions of </w:t>
      </w:r>
      <w:r w:rsidR="00BA11C2" w:rsidRPr="00B06331">
        <w:rPr>
          <w:rFonts w:ascii="Avenir Book" w:hAnsi="Avenir Book"/>
          <w:szCs w:val="24"/>
        </w:rPr>
        <w:t>service,</w:t>
      </w:r>
      <w:r w:rsidRPr="00B06331">
        <w:rPr>
          <w:rFonts w:ascii="Avenir Book" w:hAnsi="Avenir Book"/>
          <w:szCs w:val="24"/>
        </w:rPr>
        <w:t xml:space="preserve"> many Gambian legal practitioners opt for the private sector leading to an unhealthy domination of the judiciary by non-Gambians. Thissituation needs to be reversed. </w:t>
      </w:r>
    </w:p>
    <w:p w:rsidR="003A5A07" w:rsidRPr="00B06331" w:rsidRDefault="003A5A07" w:rsidP="003A5A07">
      <w:pPr>
        <w:jc w:val="both"/>
        <w:rPr>
          <w:rFonts w:ascii="Avenir Book" w:hAnsi="Avenir Book"/>
          <w:szCs w:val="24"/>
        </w:rPr>
      </w:pPr>
      <w:r w:rsidRPr="00B06331">
        <w:rPr>
          <w:rFonts w:ascii="Avenir Book" w:hAnsi="Avenir Book"/>
          <w:szCs w:val="24"/>
        </w:rPr>
        <w:t>The indigenization of the judiciary will depend on incentives to attract and retain local staff.  During the plan period, government will adopt measures to indigenize the judiciary by providing incentives, improving the terms and conditions of service for Judges, Magistrates and Support Staff and expanding the Courts and Tribunals throughout the country. Performance will also be greatly enhanced by programs for initial and continuing professional training.  In this regard, government will activate the local Judicial Training Institute to enable it devise and deliver continuing legal education programmes for the staff of the Judiciary.</w:t>
      </w:r>
    </w:p>
    <w:p w:rsidR="003A5A07" w:rsidRPr="00B06331" w:rsidRDefault="003A5A07" w:rsidP="003A5A07">
      <w:pPr>
        <w:spacing w:after="0"/>
        <w:jc w:val="both"/>
        <w:rPr>
          <w:rFonts w:ascii="Avenir Book" w:hAnsi="Avenir Book"/>
          <w:szCs w:val="24"/>
        </w:rPr>
      </w:pPr>
      <w:r w:rsidRPr="00B06331">
        <w:rPr>
          <w:rFonts w:ascii="Avenir Book" w:hAnsi="Avenir Book"/>
          <w:szCs w:val="24"/>
        </w:rPr>
        <w:t xml:space="preserve">Delivery of justice within a reasonable time is a fundamental right.   For justice delayed is justice denied.  The use of modern technology for instance in the recording and transcription of court proceedings can significantly improve the pace of trials.  Currently all court proceedings are manually recorded by hand </w:t>
      </w:r>
      <w:r w:rsidRPr="00B06331">
        <w:rPr>
          <w:rFonts w:ascii="Avenir Book" w:hAnsi="Avenir Book"/>
          <w:szCs w:val="24"/>
        </w:rPr>
        <w:lastRenderedPageBreak/>
        <w:t xml:space="preserve">of the judges and magistrates and subsequently typed out to comprise the record of the case.  This process is slow, tedious, time consuming, fraught with many challenges which delay the process of cases at trial and on appeal.    Improved automation of recording and transcription of court proceedings through court stenography and other electronic systems can truly expedite court proceedings.   </w:t>
      </w:r>
      <w:r w:rsidR="00983C53" w:rsidRPr="00B06331">
        <w:rPr>
          <w:rFonts w:ascii="Avenir Book" w:hAnsi="Avenir Book"/>
          <w:szCs w:val="24"/>
        </w:rPr>
        <w:t>This could</w:t>
      </w:r>
      <w:r w:rsidRPr="00B06331">
        <w:rPr>
          <w:rFonts w:ascii="Avenir Book" w:hAnsi="Avenir Book"/>
          <w:szCs w:val="24"/>
        </w:rPr>
        <w:t xml:space="preserve"> perhaps be single most revolutionary step in dealing with the problem of delays in the machinery of justice.</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Government will therefore undertake measures to expedite Court proceedings and improve legal service delivery through an improved automation and database system (i.e. improve and expand the CAT -  Computer Automation and Transcription system), set up a database system to ensure the proper recording and preservation of judicial proceedings, and create specialized small claims courts to expedite timely justice delivery.</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Government will implement appropriate measures for the storage, preservation and retrieved of judicial records, many of which date back to the beginning of the last century.A well-stocked library for legal research is an indispensable tool for the legal profession.  Such a facility does not currently exist.    We need to develop it.  The judicial records – case files, judgments are an important element of the national history and heritage.    They need to be preserved.  There is currently no pro</w:t>
      </w:r>
      <w:r w:rsidR="00983C53" w:rsidRPr="00B06331">
        <w:rPr>
          <w:rFonts w:ascii="Avenir Book" w:hAnsi="Avenir Book"/>
          <w:szCs w:val="24"/>
        </w:rPr>
        <w:t>per management of court records,</w:t>
      </w:r>
      <w:r w:rsidRPr="00B06331">
        <w:rPr>
          <w:rFonts w:ascii="Avenir Book" w:hAnsi="Avenir Book"/>
          <w:szCs w:val="24"/>
        </w:rPr>
        <w:t xml:space="preserve"> no proper storage, or preservation.  Hence, they are in danger of being destroyed and a part of our history thus lost.  </w:t>
      </w:r>
    </w:p>
    <w:p w:rsidR="003A5A07" w:rsidRPr="00B06331" w:rsidRDefault="003A5A07" w:rsidP="003A5A07">
      <w:pPr>
        <w:spacing w:after="0"/>
        <w:jc w:val="both"/>
        <w:rPr>
          <w:rFonts w:ascii="Avenir Book" w:hAnsi="Avenir Book"/>
          <w:szCs w:val="24"/>
        </w:rPr>
      </w:pPr>
    </w:p>
    <w:p w:rsidR="003A5A07" w:rsidRPr="00B06331" w:rsidRDefault="003A5A07" w:rsidP="003B3B17">
      <w:pPr>
        <w:spacing w:after="0"/>
        <w:jc w:val="both"/>
        <w:rPr>
          <w:rFonts w:ascii="Avenir Book" w:hAnsi="Avenir Book"/>
          <w:szCs w:val="24"/>
        </w:rPr>
      </w:pPr>
      <w:r w:rsidRPr="00B06331">
        <w:rPr>
          <w:rFonts w:ascii="Avenir Book" w:hAnsi="Avenir Book"/>
          <w:szCs w:val="24"/>
        </w:rPr>
        <w:t xml:space="preserve">To substantially improve access to justice in rural Gambia, the government will take the following measures: (i) expand the court infrastructure to the rural areas to ensure that judges and magistrates can operate on a full-time basis in these areas. This would give concrete meaning to the right of access to justice by the people, particularly at the grassroots; (ii) Much of the existing court infrastructure is in serious need of repair and rehabilitation in order to make the environment more conducive to the work required to be carried out; and(iii) Integration of district tribunals within the judiciary - The District Tribunals which mainly administer customary law and some legislation continue to be under the purview of the Executive, rather than the judiciary. They fall under the ministry of Local Government which is responsible for the appointment of their members and the management of their affairs.  This is contrary to the principles of separation of executive power from the judicial power.  The Islamic courts have now come fully under the purview of the judiciary.  The District Tribunals likewise should be fully integrated into the judiciary with the Judicial Service Commission and the Office of the Chief Justice respectively being responsible for the appointment of their members and their administration. </w:t>
      </w:r>
    </w:p>
    <w:p w:rsidR="003B3B17" w:rsidRPr="00B06331" w:rsidRDefault="003B3B17" w:rsidP="003B3B17">
      <w:pPr>
        <w:spacing w:after="0"/>
        <w:jc w:val="both"/>
        <w:rPr>
          <w:rFonts w:ascii="Avenir Book" w:hAnsi="Avenir Book"/>
          <w:szCs w:val="24"/>
        </w:rPr>
      </w:pPr>
    </w:p>
    <w:p w:rsidR="003A5A07" w:rsidRPr="00B06331" w:rsidRDefault="003A5A07" w:rsidP="003A5A07">
      <w:pPr>
        <w:spacing w:after="0" w:line="240" w:lineRule="auto"/>
        <w:jc w:val="both"/>
        <w:rPr>
          <w:rFonts w:ascii="Avenir Book" w:hAnsi="Avenir Book"/>
          <w:b/>
          <w:szCs w:val="24"/>
        </w:rPr>
      </w:pPr>
      <w:r w:rsidRPr="00B06331">
        <w:rPr>
          <w:rFonts w:ascii="Avenir Book" w:hAnsi="Avenir Book"/>
          <w:b/>
          <w:szCs w:val="24"/>
        </w:rPr>
        <w:t>Office of the Ombudsman</w:t>
      </w:r>
    </w:p>
    <w:p w:rsidR="003A5A07" w:rsidRPr="00B06331" w:rsidRDefault="003A5A07" w:rsidP="003A5A07">
      <w:pPr>
        <w:spacing w:after="0" w:line="240" w:lineRule="auto"/>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 xml:space="preserve">The Office of the Ombudsman promotes good governance through access to justice, promotion of the rule of law and protection of human rights. While numerous cases have been addressed in the public sector, the private sector has not received due attention because of a lack of a clear mandate. During </w:t>
      </w:r>
      <w:r w:rsidRPr="00B06331">
        <w:rPr>
          <w:rFonts w:ascii="Avenir Book" w:hAnsi="Avenir Book"/>
          <w:szCs w:val="24"/>
        </w:rPr>
        <w:lastRenderedPageBreak/>
        <w:t xml:space="preserve">the plan period, the Ombudsman Act will be amended to enable the office meet the needs of the Private Sector. </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 xml:space="preserve">The institution has made significant progress in the execution of Chapter 1V of the 1997 constitution and section 3(b) and 11(2) of the Ombudsman Act. The Ombudsman has been granted unrestricted access to prisons and police cells and all detention centers.  In line with </w:t>
      </w:r>
      <w:r w:rsidR="00983C53" w:rsidRPr="00B06331">
        <w:rPr>
          <w:rFonts w:ascii="Avenir Book" w:hAnsi="Avenir Book"/>
          <w:szCs w:val="24"/>
        </w:rPr>
        <w:t>this,</w:t>
      </w:r>
      <w:r w:rsidRPr="00B06331">
        <w:rPr>
          <w:rFonts w:ascii="Avenir Book" w:hAnsi="Avenir Book"/>
          <w:szCs w:val="24"/>
        </w:rPr>
        <w:t xml:space="preserve"> the institution will vigorously visit these centers in a bid to </w:t>
      </w:r>
      <w:r w:rsidR="00983C53" w:rsidRPr="00B06331">
        <w:rPr>
          <w:rFonts w:ascii="Avenir Book" w:hAnsi="Avenir Book"/>
          <w:szCs w:val="24"/>
        </w:rPr>
        <w:t>advice</w:t>
      </w:r>
      <w:r w:rsidRPr="00B06331">
        <w:rPr>
          <w:rFonts w:ascii="Avenir Book" w:hAnsi="Avenir Book"/>
          <w:szCs w:val="24"/>
        </w:rPr>
        <w:t xml:space="preserve"> government and all stake holders on the observance of the fundamental human rights of prisoners and detainees.</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The investigation and complaint handling process will be furthers</w:t>
      </w:r>
      <w:r w:rsidR="00983C53" w:rsidRPr="00B06331">
        <w:rPr>
          <w:rFonts w:ascii="Avenir Book" w:hAnsi="Avenir Book"/>
          <w:szCs w:val="24"/>
        </w:rPr>
        <w:t>strengthened</w:t>
      </w:r>
      <w:r w:rsidRPr="00B06331">
        <w:rPr>
          <w:rFonts w:ascii="Avenir Book" w:hAnsi="Avenir Book"/>
          <w:szCs w:val="24"/>
        </w:rPr>
        <w:t xml:space="preserve"> to address the problems of maladministration, injustice, unfair treatment, discrimination and corruption in government institutions. New techniques will be employed using the online complaint handling system already started.Workshops, clinics and </w:t>
      </w:r>
      <w:r w:rsidR="00983C53" w:rsidRPr="00B06331">
        <w:rPr>
          <w:rFonts w:ascii="Avenir Book" w:hAnsi="Avenir Book"/>
          <w:szCs w:val="24"/>
        </w:rPr>
        <w:t>bananas</w:t>
      </w:r>
      <w:r w:rsidRPr="00B06331">
        <w:rPr>
          <w:rFonts w:ascii="Avenir Book" w:hAnsi="Avenir Book"/>
          <w:szCs w:val="24"/>
        </w:rPr>
        <w:t xml:space="preserve"> will be increased to further raise awareness of the role and functions of the Ombudsman.</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Chapter XX1 section 223 of the 1997Constitution requires all public officers to make a written declaration of their assets to the Ombudsman on assuming office, every two years and on leaving office.  This process will be intensified during the plan period to ensure that the scheme covers all officers concerned.</w:t>
      </w:r>
    </w:p>
    <w:p w:rsidR="003A5A07" w:rsidRPr="00B06331" w:rsidRDefault="003A5A07" w:rsidP="003A5A07">
      <w:pPr>
        <w:spacing w:after="0"/>
        <w:jc w:val="both"/>
        <w:rPr>
          <w:rFonts w:ascii="Avenir Book" w:hAnsi="Avenir Book"/>
          <w:szCs w:val="24"/>
        </w:rPr>
      </w:pPr>
    </w:p>
    <w:p w:rsidR="003A5A07" w:rsidRPr="00B06331" w:rsidRDefault="003A5A07" w:rsidP="003A5A07">
      <w:pPr>
        <w:spacing w:after="0"/>
        <w:jc w:val="both"/>
        <w:rPr>
          <w:rFonts w:ascii="Avenir Book" w:hAnsi="Avenir Book"/>
          <w:szCs w:val="24"/>
        </w:rPr>
      </w:pPr>
      <w:r w:rsidRPr="00B06331">
        <w:rPr>
          <w:rFonts w:ascii="Avenir Book" w:hAnsi="Avenir Book"/>
          <w:szCs w:val="24"/>
        </w:rPr>
        <w:t xml:space="preserve">The Association of Ombudsman and Mediators Association (AOMA) through the Grand </w:t>
      </w:r>
      <w:r w:rsidR="00983C53" w:rsidRPr="00B06331">
        <w:rPr>
          <w:rFonts w:ascii="Avenir Book" w:hAnsi="Avenir Book"/>
          <w:szCs w:val="24"/>
        </w:rPr>
        <w:t>Balsam</w:t>
      </w:r>
      <w:r w:rsidRPr="00B06331">
        <w:rPr>
          <w:rFonts w:ascii="Avenir Book" w:hAnsi="Avenir Book"/>
          <w:szCs w:val="24"/>
        </w:rPr>
        <w:t xml:space="preserve"> Declaration of 2017 has mandated Ombudsman Offices in Africa to serve as National Preventive Mechanisms (NPM) against torture and all forms of degrading treatment.  The Gambia has started setting the foundation for this and it will be pursued during the planned period.  </w:t>
      </w:r>
    </w:p>
    <w:p w:rsidR="003A5A07" w:rsidRPr="00B06331" w:rsidRDefault="003A5A07" w:rsidP="003A5A07">
      <w:pPr>
        <w:spacing w:after="0"/>
        <w:jc w:val="both"/>
        <w:rPr>
          <w:rFonts w:ascii="Avenir Book" w:hAnsi="Avenir Book"/>
          <w:szCs w:val="24"/>
        </w:rPr>
      </w:pPr>
    </w:p>
    <w:p w:rsidR="00D35D3D" w:rsidRPr="00B06331" w:rsidRDefault="003A5A07" w:rsidP="003B3B17">
      <w:pPr>
        <w:spacing w:after="0"/>
        <w:jc w:val="both"/>
        <w:rPr>
          <w:rFonts w:ascii="Avenir Book" w:hAnsi="Avenir Book"/>
          <w:szCs w:val="24"/>
        </w:rPr>
      </w:pPr>
      <w:r w:rsidRPr="00B06331">
        <w:rPr>
          <w:rFonts w:ascii="Avenir Book" w:hAnsi="Avenir Book"/>
          <w:szCs w:val="24"/>
        </w:rPr>
        <w:t>There is the need to further strengthen the capacity of some of the staff for effective service delivery.  During the plan period, there will be both long term and short-term training as per the institution’s strategic plan.   The decentralization process will continue during the plan period to increase access to justice for the average Gambian.  Satellite offices will be opened in North Bank, Central River and Upper River, West Coast, and Lower River Regions to strengthen theautonomy and independence of the office as mandated by the 1997 constitution. The office will continue to work with regional Governors, Nati</w:t>
      </w:r>
      <w:r w:rsidR="00E67D33" w:rsidRPr="00B06331">
        <w:rPr>
          <w:rFonts w:ascii="Avenir Book" w:hAnsi="Avenir Book"/>
          <w:szCs w:val="24"/>
        </w:rPr>
        <w:t>onal Assembly Members, Chiefs, youth leaders</w:t>
      </w:r>
      <w:r w:rsidR="00983C53" w:rsidRPr="00B06331">
        <w:rPr>
          <w:rFonts w:ascii="Avenir Book" w:hAnsi="Avenir Book"/>
          <w:szCs w:val="24"/>
        </w:rPr>
        <w:t>,</w:t>
      </w:r>
      <w:r w:rsidR="00E67D33" w:rsidRPr="00B06331">
        <w:rPr>
          <w:rFonts w:ascii="Avenir Book" w:hAnsi="Avenir Book"/>
          <w:szCs w:val="24"/>
        </w:rPr>
        <w:t xml:space="preserve"> women m</w:t>
      </w:r>
      <w:r w:rsidRPr="00B06331">
        <w:rPr>
          <w:rFonts w:ascii="Avenir Book" w:hAnsi="Avenir Book"/>
          <w:szCs w:val="24"/>
        </w:rPr>
        <w:t>obilizers and all stakeholders to strengthen the decentralization process and access to justice.</w:t>
      </w:r>
    </w:p>
    <w:p w:rsidR="003B3B17" w:rsidRPr="00B06331" w:rsidRDefault="003B3B17" w:rsidP="003B3B17">
      <w:pPr>
        <w:spacing w:after="0"/>
        <w:jc w:val="both"/>
        <w:rPr>
          <w:rFonts w:ascii="Avenir Book" w:hAnsi="Avenir Book"/>
          <w:szCs w:val="24"/>
        </w:rPr>
      </w:pPr>
    </w:p>
    <w:p w:rsidR="003A5A07" w:rsidRPr="00B06331" w:rsidRDefault="003A5A07" w:rsidP="003A5A07">
      <w:pPr>
        <w:jc w:val="both"/>
        <w:rPr>
          <w:rFonts w:ascii="Avenir Book" w:hAnsi="Avenir Book"/>
          <w:b/>
          <w:szCs w:val="24"/>
        </w:rPr>
      </w:pPr>
      <w:r w:rsidRPr="00B06331">
        <w:rPr>
          <w:rFonts w:ascii="Avenir Book" w:hAnsi="Avenir Book"/>
          <w:b/>
          <w:szCs w:val="24"/>
        </w:rPr>
        <w:t>The Alternative Dispute Resolution (ADR) Mechanism</w:t>
      </w:r>
    </w:p>
    <w:p w:rsidR="003A5A07" w:rsidRPr="00B06331" w:rsidRDefault="003A5A07" w:rsidP="003A5A07">
      <w:pPr>
        <w:jc w:val="both"/>
        <w:rPr>
          <w:rFonts w:ascii="Avenir Book" w:hAnsi="Avenir Book"/>
          <w:szCs w:val="24"/>
        </w:rPr>
      </w:pPr>
      <w:r w:rsidRPr="00B06331">
        <w:rPr>
          <w:rFonts w:ascii="Avenir Book" w:hAnsi="Avenir Book"/>
          <w:szCs w:val="24"/>
        </w:rPr>
        <w:t>The Alternative Dispute Resolution (ADR) will intensify efforts to strengthen the capacity of staff &amp; mediators for increased uptake of ADR cases and will take measures to decentralize the ADRS delivery mechanism. The number and background of Community Mediators will be improved and capacity buildingwill be provided to assist in conflict prevention and resolution.</w:t>
      </w:r>
    </w:p>
    <w:p w:rsidR="003A5A07" w:rsidRPr="00B06331" w:rsidRDefault="003A5A07" w:rsidP="003A5A07">
      <w:pPr>
        <w:jc w:val="both"/>
        <w:rPr>
          <w:rFonts w:ascii="Avenir Book" w:hAnsi="Avenir Book"/>
          <w:szCs w:val="24"/>
        </w:rPr>
      </w:pPr>
      <w:r w:rsidRPr="00B06331">
        <w:rPr>
          <w:rFonts w:ascii="Avenir Book" w:hAnsi="Avenir Book"/>
          <w:szCs w:val="24"/>
        </w:rPr>
        <w:lastRenderedPageBreak/>
        <w:t>To ensure sustainability, the ADR Secretariat will undertake measures for self-sufficiency and progressively reduce its dependency on government financial support in order to make it a fully autonomous institution.  This would be</w:t>
      </w:r>
      <w:r w:rsidR="00E67D33" w:rsidRPr="00B06331">
        <w:rPr>
          <w:rFonts w:ascii="Avenir Book" w:hAnsi="Avenir Book"/>
          <w:szCs w:val="24"/>
        </w:rPr>
        <w:t xml:space="preserve"> achieved by developing the a</w:t>
      </w:r>
      <w:r w:rsidRPr="00B06331">
        <w:rPr>
          <w:rFonts w:ascii="Avenir Book" w:hAnsi="Avenir Book"/>
          <w:szCs w:val="24"/>
        </w:rPr>
        <w:t xml:space="preserve">rbitration services in the short term and by initiating consultative process in 2020 to develop a training institution which offers accredited postgraduate degrees in ADR related courses. </w:t>
      </w:r>
    </w:p>
    <w:p w:rsidR="003A5A07" w:rsidRPr="00B06331" w:rsidRDefault="003A5A07" w:rsidP="003A5A07">
      <w:pPr>
        <w:tabs>
          <w:tab w:val="left" w:pos="7930"/>
        </w:tabs>
        <w:jc w:val="both"/>
        <w:rPr>
          <w:rFonts w:ascii="Avenir Book" w:hAnsi="Avenir Book"/>
          <w:b/>
          <w:szCs w:val="24"/>
        </w:rPr>
      </w:pPr>
      <w:r w:rsidRPr="00B06331">
        <w:rPr>
          <w:rFonts w:ascii="Avenir Book" w:hAnsi="Avenir Book"/>
          <w:b/>
          <w:szCs w:val="24"/>
        </w:rPr>
        <w:t>The Ministry of Justice</w:t>
      </w:r>
      <w:r w:rsidRPr="00B06331">
        <w:rPr>
          <w:rFonts w:ascii="Avenir Book" w:hAnsi="Avenir Book"/>
          <w:b/>
          <w:szCs w:val="24"/>
        </w:rPr>
        <w:tab/>
      </w:r>
    </w:p>
    <w:p w:rsidR="003A5A07" w:rsidRPr="00B06331" w:rsidRDefault="003A5A07" w:rsidP="003A5A07">
      <w:pPr>
        <w:jc w:val="both"/>
        <w:rPr>
          <w:rFonts w:ascii="Avenir Book" w:hAnsi="Avenir Book"/>
          <w:szCs w:val="24"/>
        </w:rPr>
      </w:pPr>
      <w:r w:rsidRPr="00B06331">
        <w:rPr>
          <w:rFonts w:ascii="Avenir Book" w:hAnsi="Avenir Book"/>
          <w:szCs w:val="24"/>
        </w:rPr>
        <w:t>In its efforts to improve access to quality justice service delivery, government plans to indigenize the State</w:t>
      </w:r>
      <w:r w:rsidR="00D349BA" w:rsidRPr="00B06331">
        <w:rPr>
          <w:rFonts w:ascii="Avenir Book" w:hAnsi="Avenir Book"/>
          <w:szCs w:val="24"/>
        </w:rPr>
        <w:t xml:space="preserve"> Law Office</w:t>
      </w:r>
      <w:r w:rsidRPr="00B06331">
        <w:rPr>
          <w:rFonts w:ascii="Avenir Book" w:hAnsi="Avenir Book"/>
          <w:szCs w:val="24"/>
        </w:rPr>
        <w:t xml:space="preserve">. Government also intends to improve the quality of its ancillary legal services at the Companies Registry (including the decentralization of the Single Window Business Registration to all administrative Regions), Curator of Intestate Estates office, Deeds and Intellectual Property Registry, through setting up automation and data base systems. </w:t>
      </w:r>
    </w:p>
    <w:p w:rsidR="003A5A07" w:rsidRPr="00B06331" w:rsidRDefault="003A5A07" w:rsidP="003A5A07">
      <w:pPr>
        <w:tabs>
          <w:tab w:val="left" w:pos="7930"/>
        </w:tabs>
        <w:jc w:val="both"/>
        <w:rPr>
          <w:rFonts w:ascii="Avenir Book" w:hAnsi="Avenir Book"/>
          <w:b/>
          <w:szCs w:val="24"/>
        </w:rPr>
      </w:pPr>
      <w:r w:rsidRPr="00B06331">
        <w:rPr>
          <w:rFonts w:ascii="Avenir Book" w:hAnsi="Avenir Book"/>
          <w:b/>
          <w:szCs w:val="24"/>
        </w:rPr>
        <w:t>National Agency for Legal Aid</w:t>
      </w:r>
    </w:p>
    <w:p w:rsidR="003A5A07" w:rsidRPr="00B06331" w:rsidRDefault="003A5A07" w:rsidP="003A5A07">
      <w:pPr>
        <w:jc w:val="both"/>
        <w:rPr>
          <w:rFonts w:ascii="Avenir Book" w:hAnsi="Avenir Book"/>
          <w:szCs w:val="24"/>
        </w:rPr>
      </w:pPr>
      <w:r w:rsidRPr="00B06331">
        <w:rPr>
          <w:rFonts w:ascii="Avenir Book" w:hAnsi="Avenir Book"/>
          <w:szCs w:val="24"/>
        </w:rPr>
        <w:t xml:space="preserve">NALA continues to be an essential component of the Government’s quest to bring to quality justice service to the doorsteps of the populace. During the plan period, the Agency intends to undertake a comprehensive institutional development programme that improves the way the Agency executes its mandate. </w:t>
      </w:r>
    </w:p>
    <w:p w:rsidR="003A5A07" w:rsidRPr="00B06331" w:rsidRDefault="003A5A07" w:rsidP="003A5A07">
      <w:pPr>
        <w:jc w:val="both"/>
        <w:rPr>
          <w:rFonts w:ascii="Avenir Book" w:hAnsi="Avenir Book"/>
          <w:szCs w:val="24"/>
        </w:rPr>
      </w:pPr>
      <w:r w:rsidRPr="00B06331">
        <w:rPr>
          <w:rFonts w:ascii="Avenir Book" w:hAnsi="Avenir Book"/>
          <w:szCs w:val="24"/>
        </w:rPr>
        <w:t xml:space="preserve">NALA requires a robust policy and regulatory framework to guide both its governance and operations. Therefore, the Agency will work with partners to ensure the existence and implementation of a policy and regulation by the end of 2021.  Key issues that will be addressed at the policy level include creating the right environment to attract and retain a corps of legal personnel. Similarly, and in response to the growing need for legal aid, the Agency will take deliberate measures to not only engage in staff recruitment processes but build the capacity of its staff through in-house and external based trainings and thus make them responsive to the diverse needs of their clients. A core component of the institutional development programme of NALA that will be pursued in this NDP is the establishment of a digital recording and information management system to improve the efficiency of the agency’s work. A communications plan to engage the society on a two-way process that not only informs and educates on the existence of NALA but also receives feedback on the service quality from clients will be developed In a bid to improve access, NALA will establish offices in the 5 Administrative Regions of the Gambia. The implementation of the comprehensive institutional development programme hinges on the availability of resources and in that respect, NALA will develop a resource mobilization strategy that will guide the search for financial and material resources during a four-year period. </w:t>
      </w:r>
    </w:p>
    <w:p w:rsidR="003A5A07" w:rsidRPr="00B06331" w:rsidRDefault="003A5A07" w:rsidP="003A5A07">
      <w:pPr>
        <w:jc w:val="both"/>
        <w:rPr>
          <w:rFonts w:ascii="Avenir Book" w:hAnsi="Avenir Book"/>
          <w:b/>
          <w:i/>
          <w:color w:val="4472C4" w:themeColor="accent1"/>
          <w:szCs w:val="24"/>
        </w:rPr>
      </w:pPr>
      <w:r w:rsidRPr="00B06331">
        <w:rPr>
          <w:rFonts w:ascii="Avenir Book" w:hAnsi="Avenir Book"/>
          <w:b/>
          <w:i/>
          <w:color w:val="4472C4" w:themeColor="accent1"/>
          <w:szCs w:val="24"/>
        </w:rPr>
        <w:t>Outcome 1.3: Human Rights and Democracy Institutions and Mechanisms Established and Strengthened</w:t>
      </w:r>
    </w:p>
    <w:p w:rsidR="003A5A07" w:rsidRPr="00B06331" w:rsidRDefault="003A5A07" w:rsidP="003A5A07">
      <w:pPr>
        <w:jc w:val="both"/>
        <w:rPr>
          <w:rFonts w:ascii="Avenir Book" w:hAnsi="Avenir Book"/>
          <w:szCs w:val="24"/>
        </w:rPr>
      </w:pPr>
      <w:r w:rsidRPr="00B06331">
        <w:rPr>
          <w:rFonts w:ascii="Avenir Book" w:hAnsi="Avenir Book"/>
          <w:szCs w:val="24"/>
        </w:rPr>
        <w:t xml:space="preserve">The repressive </w:t>
      </w:r>
      <w:r w:rsidR="003604CF" w:rsidRPr="00B06331">
        <w:rPr>
          <w:rFonts w:ascii="Avenir Book" w:hAnsi="Avenir Book"/>
          <w:szCs w:val="24"/>
        </w:rPr>
        <w:t>twenty-two</w:t>
      </w:r>
      <w:r w:rsidRPr="00B06331">
        <w:rPr>
          <w:rFonts w:ascii="Avenir Book" w:hAnsi="Avenir Book"/>
          <w:szCs w:val="24"/>
        </w:rPr>
        <w:t xml:space="preserve"> years of the past regime, during which Gambians suffered gross violations of human rights abuses, such as arbitrary arrest, unlawful detention, torture, disappearances and extra judicial executions justifies the need for the establishment of </w:t>
      </w:r>
      <w:r w:rsidRPr="00B06331">
        <w:rPr>
          <w:rFonts w:ascii="Avenir Book" w:hAnsi="Avenir Book"/>
          <w:b/>
          <w:szCs w:val="24"/>
          <w:u w:val="single"/>
        </w:rPr>
        <w:t>Transitional Justice Mechanism</w:t>
      </w:r>
      <w:r w:rsidRPr="00B06331">
        <w:rPr>
          <w:rFonts w:ascii="Avenir Book" w:hAnsi="Avenir Book"/>
          <w:szCs w:val="24"/>
        </w:rPr>
        <w:t xml:space="preserve"> by 2018. This process will include the setting up ofa</w:t>
      </w:r>
      <w:r w:rsidRPr="00B06331">
        <w:rPr>
          <w:rFonts w:ascii="Avenir Book" w:hAnsi="Avenir Book"/>
          <w:b/>
          <w:szCs w:val="24"/>
          <w:u w:val="single"/>
        </w:rPr>
        <w:t>Truth and Reconciliation and Reparations Commission</w:t>
      </w:r>
      <w:r w:rsidRPr="00B06331">
        <w:rPr>
          <w:rFonts w:ascii="Avenir Book" w:hAnsi="Avenir Book"/>
          <w:szCs w:val="24"/>
        </w:rPr>
        <w:t xml:space="preserve"> </w:t>
      </w:r>
      <w:r w:rsidRPr="00B06331">
        <w:rPr>
          <w:rFonts w:ascii="Avenir Book" w:hAnsi="Avenir Book"/>
          <w:szCs w:val="24"/>
        </w:rPr>
        <w:lastRenderedPageBreak/>
        <w:t>that will operate as a mechanism to solvemany of the human rights violations and abuses that took place in the last two decades. A TRRCwill help Government to document and establish an accurate historical record of events, pay reparations to victims and provide valuable lessons for the Government and the people of The Gambia in the future.The transitional Justice process also includes the establishment of various commissions of inquiry into past injustices and corruption.</w:t>
      </w:r>
    </w:p>
    <w:p w:rsidR="003A5A07" w:rsidRPr="00B06331" w:rsidRDefault="003A5A07" w:rsidP="003A5A07">
      <w:pPr>
        <w:jc w:val="both"/>
        <w:rPr>
          <w:rFonts w:ascii="Avenir Book" w:hAnsi="Avenir Book"/>
          <w:szCs w:val="24"/>
        </w:rPr>
      </w:pPr>
      <w:r w:rsidRPr="00B06331">
        <w:rPr>
          <w:rFonts w:ascii="Avenir Book" w:hAnsi="Avenir Book"/>
          <w:szCs w:val="24"/>
        </w:rPr>
        <w:t xml:space="preserve">In line with international best practices for the promotion and protection of human rights, the government has taken steps to set up a </w:t>
      </w:r>
      <w:r w:rsidRPr="00B06331">
        <w:rPr>
          <w:rFonts w:ascii="Avenir Book" w:hAnsi="Avenir Book"/>
          <w:b/>
          <w:szCs w:val="24"/>
          <w:u w:val="single"/>
        </w:rPr>
        <w:t>National Human Rights Commission</w:t>
      </w:r>
      <w:r w:rsidRPr="00B06331">
        <w:rPr>
          <w:rFonts w:ascii="Avenir Book" w:hAnsi="Avenir Book"/>
          <w:szCs w:val="24"/>
        </w:rPr>
        <w:t xml:space="preserve"> that will be responsible for the promotion and protection of human rights in The Gambia. Plans are already underway for the finalization of the draft bill and establishment of the Commission by 2018.</w:t>
      </w:r>
    </w:p>
    <w:p w:rsidR="003A5A07" w:rsidRPr="00B06331" w:rsidRDefault="003A5A07" w:rsidP="003A5A07">
      <w:pPr>
        <w:jc w:val="both"/>
        <w:rPr>
          <w:rFonts w:ascii="Avenir Book" w:hAnsi="Avenir Book"/>
          <w:szCs w:val="24"/>
        </w:rPr>
      </w:pPr>
      <w:r w:rsidRPr="00B06331">
        <w:rPr>
          <w:rFonts w:ascii="Avenir Book" w:hAnsi="Avenir Book"/>
          <w:szCs w:val="24"/>
        </w:rPr>
        <w:t xml:space="preserve">For Gambia’s compliance with the United Nations Convention against Corruption, Government is in the process of finalizing a draft Anti-Corruption Bill which seeks to establish an </w:t>
      </w:r>
      <w:r w:rsidRPr="00B06331">
        <w:rPr>
          <w:rFonts w:ascii="Avenir Book" w:hAnsi="Avenir Book"/>
          <w:b/>
          <w:szCs w:val="24"/>
          <w:u w:val="single"/>
        </w:rPr>
        <w:t xml:space="preserve">Anti-Corruption Commission </w:t>
      </w:r>
      <w:r w:rsidRPr="00B06331">
        <w:rPr>
          <w:rFonts w:ascii="Avenir Book" w:hAnsi="Avenir Book"/>
          <w:szCs w:val="24"/>
        </w:rPr>
        <w:t>by 2018 for the eradication, suppression and prevention of corruption and corrupt practices in The Gambia.</w:t>
      </w:r>
    </w:p>
    <w:p w:rsidR="003A5A07" w:rsidRPr="00B06331" w:rsidRDefault="003A5A07" w:rsidP="003A5A07">
      <w:pPr>
        <w:jc w:val="both"/>
        <w:rPr>
          <w:rFonts w:ascii="Avenir Book" w:hAnsi="Avenir Book"/>
          <w:szCs w:val="24"/>
        </w:rPr>
      </w:pPr>
      <w:r w:rsidRPr="00B06331">
        <w:rPr>
          <w:rFonts w:ascii="Avenir Book" w:hAnsi="Avenir Book"/>
          <w:szCs w:val="24"/>
        </w:rPr>
        <w:t xml:space="preserve">As party to various international treaties, the Government of The Gambia is obliged </w:t>
      </w:r>
      <w:r w:rsidR="003604CF" w:rsidRPr="00B06331">
        <w:rPr>
          <w:rFonts w:ascii="Avenir Book" w:hAnsi="Avenir Book"/>
          <w:szCs w:val="24"/>
        </w:rPr>
        <w:t>to</w:t>
      </w:r>
      <w:r w:rsidR="00983C53" w:rsidRPr="00B06331">
        <w:rPr>
          <w:rFonts w:ascii="Avenir Book" w:hAnsi="Avenir Book"/>
          <w:szCs w:val="24"/>
        </w:rPr>
        <w:t>regularly</w:t>
      </w:r>
      <w:r w:rsidR="003604CF" w:rsidRPr="00B06331">
        <w:rPr>
          <w:rFonts w:ascii="Avenir Book" w:hAnsi="Avenir Book"/>
          <w:szCs w:val="24"/>
        </w:rPr>
        <w:t>submit</w:t>
      </w:r>
      <w:r w:rsidRPr="00B06331">
        <w:rPr>
          <w:rFonts w:ascii="Avenir Book" w:hAnsi="Avenir Book"/>
          <w:szCs w:val="24"/>
        </w:rPr>
        <w:t xml:space="preserve"> periodic reports on the implementation of such treaties, most especially the treaties on human rights. Currently there is a backlog of State Reports for various treaties </w:t>
      </w:r>
      <w:r w:rsidR="006F3A32" w:rsidRPr="00B06331">
        <w:rPr>
          <w:rFonts w:ascii="Avenir Book" w:hAnsi="Avenir Book"/>
          <w:szCs w:val="24"/>
        </w:rPr>
        <w:t>and there</w:t>
      </w:r>
      <w:r w:rsidRPr="00B06331">
        <w:rPr>
          <w:rFonts w:ascii="Avenir Book" w:hAnsi="Avenir Book"/>
          <w:szCs w:val="24"/>
        </w:rPr>
        <w:t xml:space="preserve"> is need for a renewed sense of determination to clear all backlog of reports in line with our international obligations. Considering this, efforts are underway for the preparation of all outstanding reports for submission before 2021.</w:t>
      </w:r>
    </w:p>
    <w:p w:rsidR="003A5A07" w:rsidRPr="00B06331" w:rsidRDefault="003A5A07" w:rsidP="003A5A07">
      <w:pPr>
        <w:jc w:val="both"/>
        <w:rPr>
          <w:rFonts w:ascii="Avenir Book" w:hAnsi="Avenir Book"/>
          <w:szCs w:val="24"/>
        </w:rPr>
      </w:pPr>
      <w:r w:rsidRPr="00B06331">
        <w:rPr>
          <w:rFonts w:ascii="Avenir Book" w:hAnsi="Avenir Book"/>
          <w:szCs w:val="24"/>
        </w:rPr>
        <w:t>As part of the Host State Agreement with the African Union, The Gambia is obliged to build a befitting headquarters building for the African Commission on Human and People’s Rights since 1987. Given that the Commission is the only continental body hosted in The Gambia, the Ministry of Justice intends to commence the construction of the African Commission Headquarters to consolidate The Gambia`s position as the human rights capital of Africa. Land has already been identified for this project and construction is expected to be completed by 2020.</w:t>
      </w:r>
    </w:p>
    <w:p w:rsidR="003A5A07" w:rsidRPr="00B06331" w:rsidRDefault="003A5A07" w:rsidP="003A5A07">
      <w:pPr>
        <w:jc w:val="both"/>
        <w:rPr>
          <w:rFonts w:ascii="Avenir Book" w:hAnsi="Avenir Book"/>
          <w:szCs w:val="24"/>
        </w:rPr>
      </w:pPr>
      <w:r w:rsidRPr="00B06331">
        <w:rPr>
          <w:rFonts w:ascii="Avenir Book" w:hAnsi="Avenir Book"/>
          <w:szCs w:val="24"/>
        </w:rPr>
        <w:t>The existing juvenile justice system is beset with constraints such as poor handling of children’s cases, insufficient number of trained officials including judges, magistrates, and the police, immigration, and armed forces. These limitations contribute to further marginalization and neglect the rights of children. Government will therefore strengthen the Child Protection Unit of the Ministry of Justice to foster greater collaboration within the Child Justice Administrative System.</w:t>
      </w:r>
    </w:p>
    <w:p w:rsidR="003A5A07" w:rsidRPr="00B06331" w:rsidRDefault="003A5A07" w:rsidP="003A5A07">
      <w:pPr>
        <w:jc w:val="both"/>
        <w:rPr>
          <w:rFonts w:ascii="Avenir Book" w:hAnsi="Avenir Book"/>
          <w:b/>
          <w:szCs w:val="24"/>
        </w:rPr>
      </w:pPr>
      <w:r w:rsidRPr="00B06331">
        <w:rPr>
          <w:rFonts w:ascii="Avenir Book" w:hAnsi="Avenir Book"/>
          <w:b/>
          <w:szCs w:val="24"/>
        </w:rPr>
        <w:t>The National Assembly</w:t>
      </w:r>
    </w:p>
    <w:p w:rsidR="003A5A07" w:rsidRPr="00B06331" w:rsidRDefault="003A5A07" w:rsidP="003A5A07">
      <w:pPr>
        <w:jc w:val="both"/>
        <w:rPr>
          <w:rFonts w:ascii="Avenir Book" w:hAnsi="Avenir Book"/>
          <w:szCs w:val="24"/>
        </w:rPr>
      </w:pPr>
      <w:r w:rsidRPr="00B06331">
        <w:rPr>
          <w:rFonts w:ascii="Avenir Book" w:hAnsi="Avenir Book"/>
          <w:szCs w:val="24"/>
        </w:rPr>
        <w:t>The National Assembly of the country has experienced a drastic change with the hitherto opposition, which was insignificant in terms of its political representation, now assuming the role of the majority. In addition, most of the members are new. For the Assembly to effectively carry out its legislative, oversight and representational functions, the capacity of its members will need to be substantially built. Furthermore, the members’ capacity to fully function and be effective for the 15 oversight committees will need to be strengthened, as well as those of the staff of the Assembly The capacity of the professional staff of the Assembly will also be strengthened.</w:t>
      </w:r>
    </w:p>
    <w:p w:rsidR="00D349BA" w:rsidRPr="00B06331" w:rsidRDefault="00D349BA" w:rsidP="003A5A07">
      <w:pPr>
        <w:jc w:val="both"/>
        <w:rPr>
          <w:rFonts w:ascii="Avenir Book" w:hAnsi="Avenir Book"/>
          <w:b/>
          <w:szCs w:val="24"/>
        </w:rPr>
      </w:pPr>
    </w:p>
    <w:p w:rsidR="003A5A07" w:rsidRPr="00B06331" w:rsidRDefault="003A5A07" w:rsidP="003A5A07">
      <w:pPr>
        <w:jc w:val="both"/>
        <w:rPr>
          <w:rFonts w:ascii="Avenir Book" w:hAnsi="Avenir Book"/>
          <w:b/>
          <w:szCs w:val="24"/>
        </w:rPr>
      </w:pPr>
      <w:r w:rsidRPr="00B06331">
        <w:rPr>
          <w:rFonts w:ascii="Avenir Book" w:hAnsi="Avenir Book"/>
          <w:b/>
          <w:szCs w:val="24"/>
        </w:rPr>
        <w:t>The Independent Electoral Commission</w:t>
      </w:r>
    </w:p>
    <w:p w:rsidR="003A5A07" w:rsidRPr="00B06331" w:rsidRDefault="003A5A07" w:rsidP="003A5A07">
      <w:pPr>
        <w:jc w:val="both"/>
        <w:rPr>
          <w:rFonts w:ascii="Avenir Book" w:hAnsi="Avenir Book"/>
          <w:szCs w:val="24"/>
        </w:rPr>
      </w:pPr>
      <w:r w:rsidRPr="00B06331">
        <w:rPr>
          <w:rFonts w:ascii="Avenir Book" w:hAnsi="Avenir Book"/>
          <w:szCs w:val="24"/>
        </w:rPr>
        <w:t>The conduct of free and fair elections is a hallmark of a fully functioning democratic system. Gambia’s Independent Election Commission played a pivotal role in ushering the new democratic dispensation. However, it continues to face operational and capacity bottlenecks which will be addressed during the plan period.</w:t>
      </w:r>
    </w:p>
    <w:p w:rsidR="003A5A07" w:rsidRPr="00B06331" w:rsidRDefault="003A5A07" w:rsidP="003A5A07">
      <w:pPr>
        <w:jc w:val="both"/>
        <w:rPr>
          <w:rFonts w:ascii="Avenir Book" w:hAnsi="Avenir Book"/>
          <w:b/>
          <w:szCs w:val="24"/>
        </w:rPr>
      </w:pPr>
      <w:r w:rsidRPr="00B06331">
        <w:rPr>
          <w:rFonts w:ascii="Avenir Book" w:hAnsi="Avenir Book"/>
          <w:b/>
          <w:szCs w:val="24"/>
        </w:rPr>
        <w:t>National Council for Civic Education (NCCE)</w:t>
      </w:r>
    </w:p>
    <w:p w:rsidR="003A5A07" w:rsidRPr="00B06331" w:rsidRDefault="003A5A07" w:rsidP="003A5A07">
      <w:pPr>
        <w:jc w:val="both"/>
        <w:rPr>
          <w:rFonts w:ascii="Avenir Book" w:hAnsi="Avenir Book"/>
          <w:szCs w:val="24"/>
        </w:rPr>
      </w:pPr>
      <w:r w:rsidRPr="00B06331">
        <w:rPr>
          <w:rFonts w:ascii="Avenir Book" w:hAnsi="Avenir Book"/>
          <w:szCs w:val="24"/>
        </w:rPr>
        <w:t>Recognizing the need for public awareness and sensitization of the citizenry in promoting good governance, the role of the National Council for Civic Education (NCCE) cannot be underestimated. Government will work with the NCCE for effective sensitization and awareness raising of the public on all legal reforms.</w:t>
      </w:r>
    </w:p>
    <w:p w:rsidR="003A5A07" w:rsidRPr="00B06331" w:rsidRDefault="003A5A07" w:rsidP="003A5A07">
      <w:pPr>
        <w:jc w:val="both"/>
        <w:rPr>
          <w:rFonts w:ascii="Avenir Book" w:hAnsi="Avenir Book"/>
          <w:b/>
          <w:szCs w:val="20"/>
        </w:rPr>
      </w:pPr>
      <w:r w:rsidRPr="00B06331">
        <w:rPr>
          <w:rFonts w:ascii="Avenir Book" w:hAnsi="Avenir Book"/>
          <w:b/>
          <w:szCs w:val="20"/>
        </w:rPr>
        <w:t xml:space="preserve">National Agency Against Trafficking In Persons (NAATIP) </w:t>
      </w:r>
    </w:p>
    <w:p w:rsidR="003A5A07" w:rsidRPr="00B06331" w:rsidRDefault="003A5A07" w:rsidP="003A5A07">
      <w:pPr>
        <w:jc w:val="both"/>
        <w:rPr>
          <w:rFonts w:ascii="Avenir Book" w:hAnsi="Avenir Book"/>
        </w:rPr>
      </w:pPr>
      <w:r w:rsidRPr="00B06331">
        <w:rPr>
          <w:rFonts w:ascii="Avenir Book" w:hAnsi="Avenir Book"/>
        </w:rPr>
        <w:t xml:space="preserve">By the end of the plan period, NAATIP expects to improve on the Gambia’s rankings in the </w:t>
      </w:r>
      <w:r w:rsidRPr="00B06331">
        <w:rPr>
          <w:rFonts w:ascii="Avenir Book" w:hAnsi="Avenir Book"/>
          <w:b/>
          <w:bCs/>
        </w:rPr>
        <w:t xml:space="preserve">Trafficking Victims Protection Act </w:t>
      </w:r>
      <w:r w:rsidRPr="00B06331">
        <w:rPr>
          <w:rFonts w:ascii="Avenir Book" w:hAnsi="Avenir Book"/>
        </w:rPr>
        <w:t xml:space="preserve">(TVPA) minimum standard requirement used by the US Department of State to gauge the performance of countries from Tier 2 to Tier 1 which is the best standard in the fight against Trafficking in Persons. </w:t>
      </w:r>
    </w:p>
    <w:p w:rsidR="003A5A07" w:rsidRPr="00B06331" w:rsidRDefault="003A5A07" w:rsidP="003A5A07">
      <w:pPr>
        <w:jc w:val="both"/>
        <w:rPr>
          <w:rFonts w:ascii="Avenir Book" w:hAnsi="Avenir Book"/>
        </w:rPr>
      </w:pPr>
      <w:r w:rsidRPr="00B06331">
        <w:rPr>
          <w:rFonts w:ascii="Avenir Book" w:hAnsi="Avenir Book"/>
        </w:rPr>
        <w:t xml:space="preserve">In support of this vision, NAATIP will execute the following interventions: </w:t>
      </w:r>
    </w:p>
    <w:p w:rsidR="003A5A07" w:rsidRPr="00B06331" w:rsidRDefault="003A5A07" w:rsidP="003A5A07">
      <w:pPr>
        <w:jc w:val="both"/>
        <w:rPr>
          <w:rFonts w:ascii="Avenir Book" w:hAnsi="Avenir Book"/>
          <w:b/>
        </w:rPr>
      </w:pPr>
      <w:r w:rsidRPr="00B06331">
        <w:rPr>
          <w:rFonts w:ascii="Avenir Book" w:hAnsi="Avenir Book"/>
          <w:b/>
        </w:rPr>
        <w:t>Undertake Institutional Reforms in NAATIP</w:t>
      </w:r>
    </w:p>
    <w:p w:rsidR="003A5A07" w:rsidRPr="00B06331" w:rsidRDefault="003A5A07" w:rsidP="003A5A07">
      <w:pPr>
        <w:jc w:val="both"/>
        <w:rPr>
          <w:rFonts w:ascii="Avenir Book" w:hAnsi="Avenir Book"/>
          <w:szCs w:val="20"/>
        </w:rPr>
      </w:pPr>
      <w:r w:rsidRPr="00B06331">
        <w:rPr>
          <w:rFonts w:ascii="Avenir Book" w:hAnsi="Avenir Book"/>
        </w:rPr>
        <w:t xml:space="preserve">During this plan, NAATIP will engage in institutional reforms that are geared towards improving its legislative, policy and regulatory framework, the Agency’s human resources as </w:t>
      </w:r>
      <w:r w:rsidRPr="00B06331">
        <w:rPr>
          <w:rFonts w:ascii="Avenir Book" w:hAnsi="Avenir Book"/>
          <w:szCs w:val="20"/>
        </w:rPr>
        <w:t xml:space="preserve">well as its systems, tools and processes. </w:t>
      </w:r>
    </w:p>
    <w:p w:rsidR="003A5A07" w:rsidRPr="00B06331" w:rsidRDefault="003A5A07" w:rsidP="003A5A07">
      <w:pPr>
        <w:spacing w:after="0" w:line="240" w:lineRule="auto"/>
        <w:rPr>
          <w:rFonts w:ascii="Avenir Book" w:hAnsi="Avenir Book"/>
        </w:rPr>
      </w:pPr>
      <w:r w:rsidRPr="00B06331">
        <w:rPr>
          <w:rFonts w:ascii="Avenir Book" w:hAnsi="Avenir Book"/>
          <w:szCs w:val="20"/>
        </w:rPr>
        <w:t>The</w:t>
      </w:r>
      <w:r w:rsidRPr="00B06331">
        <w:rPr>
          <w:rFonts w:ascii="Avenir Book" w:hAnsi="Avenir Book"/>
        </w:rPr>
        <w:t xml:space="preserve"> key components of the reform process are as follows:</w:t>
      </w:r>
    </w:p>
    <w:p w:rsidR="003A5A07" w:rsidRPr="00B06331" w:rsidRDefault="003A5A07" w:rsidP="003A5A07">
      <w:pPr>
        <w:spacing w:after="0" w:line="240" w:lineRule="auto"/>
        <w:rPr>
          <w:sz w:val="18"/>
        </w:rPr>
      </w:pPr>
    </w:p>
    <w:p w:rsidR="003A5A07" w:rsidRPr="00B06331" w:rsidRDefault="003A5A07" w:rsidP="004143E3">
      <w:pPr>
        <w:numPr>
          <w:ilvl w:val="0"/>
          <w:numId w:val="53"/>
        </w:numPr>
        <w:spacing w:after="0"/>
        <w:jc w:val="both"/>
        <w:rPr>
          <w:rFonts w:ascii="Avenir Book" w:hAnsi="Avenir Book"/>
          <w:szCs w:val="20"/>
        </w:rPr>
      </w:pPr>
      <w:r w:rsidRPr="00B06331">
        <w:rPr>
          <w:rFonts w:ascii="Avenir Book" w:hAnsi="Avenir Book"/>
          <w:b/>
          <w:szCs w:val="20"/>
        </w:rPr>
        <w:t>Amendment of the TIP ACT 2007 to enhance prosecution and enforcement functions of the NAATIP:</w:t>
      </w:r>
      <w:r w:rsidRPr="00B06331">
        <w:rPr>
          <w:rFonts w:ascii="Avenir Book" w:hAnsi="Avenir Book"/>
          <w:szCs w:val="20"/>
        </w:rPr>
        <w:t xml:space="preserve">  Through this intervention, NAATIP will resolve one of the most binding challenges that hinder the execution of its mandate. NAATIP will collaborate with all stakeholders especially the National Assembly, Gambia Immigration, and Gambia Police to amend the TIP Act and make provisions that allow NAATIP to not only detect, deter and stop trafficking in persons, but to proceed to persecute offenders for punitive and reform purposes. </w:t>
      </w:r>
    </w:p>
    <w:p w:rsidR="003A5A07" w:rsidRPr="00B06331" w:rsidRDefault="003A5A07" w:rsidP="004143E3">
      <w:pPr>
        <w:numPr>
          <w:ilvl w:val="0"/>
          <w:numId w:val="53"/>
        </w:numPr>
        <w:spacing w:after="0"/>
        <w:jc w:val="both"/>
        <w:rPr>
          <w:rFonts w:ascii="Avenir Book" w:hAnsi="Avenir Book"/>
          <w:szCs w:val="20"/>
        </w:rPr>
      </w:pPr>
      <w:r w:rsidRPr="00B06331">
        <w:rPr>
          <w:rFonts w:ascii="Avenir Book" w:hAnsi="Avenir Book"/>
          <w:b/>
          <w:szCs w:val="20"/>
        </w:rPr>
        <w:t>Formulate a TIP Policy and Strategic Plan:</w:t>
      </w:r>
      <w:r w:rsidRPr="00B06331">
        <w:rPr>
          <w:rFonts w:ascii="Avenir Book" w:hAnsi="Avenir Book"/>
          <w:szCs w:val="20"/>
        </w:rPr>
        <w:t xml:space="preserve"> To manage for development results, NAATIP requires and will therefore formulate a policy and strategic plan that addresses issues which are critical to its existence including, governance, human resources, operations, financing, partnerships, monitoring and evaluation. It is envisaged that with this road map, NAATIP can operationalize its programmes through annual plan of actions and thus eradicate or drastically reduce the occurrences of trafficking in persons. </w:t>
      </w:r>
    </w:p>
    <w:p w:rsidR="003A5A07" w:rsidRPr="00B06331" w:rsidRDefault="003A5A07" w:rsidP="004143E3">
      <w:pPr>
        <w:numPr>
          <w:ilvl w:val="0"/>
          <w:numId w:val="53"/>
        </w:numPr>
        <w:spacing w:after="0"/>
        <w:jc w:val="both"/>
        <w:rPr>
          <w:rFonts w:ascii="Avenir Book" w:hAnsi="Avenir Book"/>
          <w:szCs w:val="20"/>
        </w:rPr>
      </w:pPr>
      <w:r w:rsidRPr="00B06331">
        <w:rPr>
          <w:rFonts w:ascii="Avenir Book" w:hAnsi="Avenir Book"/>
          <w:b/>
          <w:szCs w:val="20"/>
        </w:rPr>
        <w:lastRenderedPageBreak/>
        <w:t>Strengthen Human Resource Capacity:</w:t>
      </w:r>
      <w:r w:rsidRPr="00B06331">
        <w:rPr>
          <w:rFonts w:ascii="Avenir Book" w:hAnsi="Avenir Book"/>
          <w:szCs w:val="20"/>
        </w:rPr>
        <w:t xml:space="preserve"> NAATIP operates with a skeletal staff complement which hinders its operations. Furthermore, the staff of the agency require training to improve their output and in response to the changing trends on trafficking in persons.  To this end, the agency will develop and execute a capacity building programme that will not only provide optimal staff numbers but staff with the requisite qualifications and skills set.    </w:t>
      </w:r>
    </w:p>
    <w:p w:rsidR="003A5A07" w:rsidRPr="00B06331" w:rsidRDefault="003A5A07" w:rsidP="004143E3">
      <w:pPr>
        <w:numPr>
          <w:ilvl w:val="0"/>
          <w:numId w:val="53"/>
        </w:numPr>
        <w:spacing w:after="0"/>
        <w:jc w:val="both"/>
        <w:rPr>
          <w:rFonts w:ascii="Avenir Book" w:hAnsi="Avenir Book"/>
          <w:szCs w:val="20"/>
        </w:rPr>
      </w:pPr>
      <w:r w:rsidRPr="00B06331">
        <w:rPr>
          <w:rFonts w:ascii="Avenir Book" w:hAnsi="Avenir Book"/>
          <w:b/>
          <w:szCs w:val="20"/>
        </w:rPr>
        <w:t>Establish systems and tools for the management of NAATIP operations</w:t>
      </w:r>
      <w:r w:rsidRPr="00B06331">
        <w:rPr>
          <w:rFonts w:ascii="Avenir Book" w:hAnsi="Avenir Book"/>
          <w:szCs w:val="20"/>
        </w:rPr>
        <w:t>: This will feature management information systems (MIS), digital recording system, and other tools that aid investigation and data management. This aspect of NAATIP’s reform agenda is expected to improve on its efficiency.</w:t>
      </w:r>
    </w:p>
    <w:p w:rsidR="003A5A07" w:rsidRPr="00B06331" w:rsidRDefault="003A5A07" w:rsidP="004143E3">
      <w:pPr>
        <w:numPr>
          <w:ilvl w:val="0"/>
          <w:numId w:val="53"/>
        </w:numPr>
        <w:spacing w:after="0"/>
        <w:jc w:val="both"/>
        <w:rPr>
          <w:rFonts w:ascii="Avenir Book" w:hAnsi="Avenir Book"/>
          <w:szCs w:val="20"/>
        </w:rPr>
      </w:pPr>
      <w:r w:rsidRPr="00B06331">
        <w:rPr>
          <w:rFonts w:ascii="Avenir Book" w:hAnsi="Avenir Book"/>
          <w:b/>
          <w:bCs/>
          <w:szCs w:val="20"/>
        </w:rPr>
        <w:t>D</w:t>
      </w:r>
      <w:r w:rsidRPr="00B06331">
        <w:rPr>
          <w:rFonts w:ascii="Avenir Book" w:hAnsi="Avenir Book"/>
          <w:b/>
          <w:szCs w:val="20"/>
        </w:rPr>
        <w:t>evelop and execute a communications plan:</w:t>
      </w:r>
      <w:r w:rsidRPr="00B06331">
        <w:rPr>
          <w:rFonts w:ascii="Avenir Book" w:hAnsi="Avenir Book"/>
          <w:szCs w:val="20"/>
        </w:rPr>
        <w:t xml:space="preserve"> This will create awareness at all levels of society on the ills of trafficking in persons and on how to detect and report the matter. The agency will organize more sensitization activities esp</w:t>
      </w:r>
      <w:r w:rsidR="00772C6A" w:rsidRPr="00B06331">
        <w:rPr>
          <w:rFonts w:ascii="Avenir Book" w:hAnsi="Avenir Book"/>
          <w:szCs w:val="20"/>
        </w:rPr>
        <w:t>ecially within the border areas</w:t>
      </w:r>
      <w:r w:rsidRPr="00B06331">
        <w:rPr>
          <w:rFonts w:ascii="Avenir Book" w:hAnsi="Avenir Book"/>
          <w:szCs w:val="20"/>
        </w:rPr>
        <w:t>.</w:t>
      </w:r>
    </w:p>
    <w:p w:rsidR="003A5A07" w:rsidRPr="00B06331" w:rsidRDefault="003A5A07" w:rsidP="004143E3">
      <w:pPr>
        <w:numPr>
          <w:ilvl w:val="0"/>
          <w:numId w:val="53"/>
        </w:numPr>
        <w:spacing w:after="0"/>
        <w:jc w:val="both"/>
        <w:rPr>
          <w:rFonts w:ascii="Avenir Book" w:hAnsi="Avenir Book"/>
          <w:szCs w:val="20"/>
        </w:rPr>
      </w:pPr>
      <w:r w:rsidRPr="00B06331">
        <w:rPr>
          <w:rFonts w:ascii="Avenir Book" w:hAnsi="Avenir Book"/>
          <w:b/>
          <w:szCs w:val="20"/>
        </w:rPr>
        <w:t>Make operational the TIP Victim support fund:</w:t>
      </w:r>
      <w:r w:rsidRPr="00B06331">
        <w:rPr>
          <w:rFonts w:ascii="Avenir Book" w:hAnsi="Avenir Book"/>
          <w:szCs w:val="20"/>
        </w:rPr>
        <w:t xml:space="preserve"> Although </w:t>
      </w:r>
      <w:r w:rsidRPr="00B06331">
        <w:rPr>
          <w:rFonts w:ascii="Avenir Book" w:hAnsi="Avenir Book"/>
        </w:rPr>
        <w:t xml:space="preserve">the TIP Act provides for the creation of the victim support fund, it has not been operational. The Agency will collaborate with partners to use this fund for the rehabilitation and reintegration of victims of TIP.  </w:t>
      </w:r>
    </w:p>
    <w:p w:rsidR="003A5A07" w:rsidRPr="00B06331" w:rsidRDefault="003A5A07" w:rsidP="003A5A07">
      <w:pPr>
        <w:pStyle w:val="Heading2"/>
        <w:rPr>
          <w:rFonts w:ascii="Calibri" w:hAnsi="Calibri" w:cs="Calibri"/>
          <w:sz w:val="22"/>
          <w:szCs w:val="22"/>
        </w:rPr>
      </w:pPr>
      <w:bookmarkStart w:id="115" w:name="_Toc488689328"/>
      <w:bookmarkStart w:id="116" w:name="_Toc492364775"/>
      <w:r w:rsidRPr="00B06331">
        <w:rPr>
          <w:rFonts w:ascii="Calibri" w:hAnsi="Calibri" w:cs="Calibri"/>
          <w:sz w:val="22"/>
          <w:szCs w:val="22"/>
        </w:rPr>
        <w:t>7.3 Macroeconomic Stabilization &amp; Economic Management</w:t>
      </w:r>
      <w:bookmarkEnd w:id="115"/>
      <w:bookmarkEnd w:id="116"/>
    </w:p>
    <w:p w:rsidR="003A5A07" w:rsidRPr="00B06331" w:rsidRDefault="003A5A07" w:rsidP="001929BE">
      <w:pPr>
        <w:jc w:val="both"/>
        <w:rPr>
          <w:rFonts w:ascii="Avenir Book" w:hAnsi="Avenir Book"/>
          <w:b/>
          <w:i/>
          <w:color w:val="000000"/>
          <w:szCs w:val="20"/>
        </w:rPr>
      </w:pPr>
      <w:r w:rsidRPr="00B06331">
        <w:rPr>
          <w:rFonts w:ascii="Avenir Book" w:hAnsi="Avenir Book"/>
          <w:caps/>
        </w:rPr>
        <w:t>T</w:t>
      </w:r>
      <w:r w:rsidRPr="00B06331">
        <w:rPr>
          <w:rFonts w:ascii="Avenir Book" w:hAnsi="Avenir Book"/>
        </w:rPr>
        <w:t>he Gambia has experienced prolonged periods of macroeconomic instability and poor economic management</w:t>
      </w:r>
      <w:r w:rsidRPr="00B06331">
        <w:rPr>
          <w:rFonts w:ascii="Avenir Book" w:hAnsi="Avenir Book"/>
          <w:caps/>
        </w:rPr>
        <w:t xml:space="preserve">, </w:t>
      </w:r>
      <w:r w:rsidRPr="00B06331">
        <w:rPr>
          <w:rFonts w:ascii="Avenir Book" w:hAnsi="Avenir Book"/>
        </w:rPr>
        <w:t>arising principally from bad governance. The g</w:t>
      </w:r>
      <w:r w:rsidR="00983C53" w:rsidRPr="00B06331">
        <w:rPr>
          <w:rFonts w:ascii="Avenir Book" w:hAnsi="Avenir Book"/>
        </w:rPr>
        <w:t>oal of this priority area is to;</w:t>
      </w:r>
      <w:r w:rsidRPr="00B06331">
        <w:rPr>
          <w:rFonts w:ascii="Avenir Book" w:hAnsi="Avenir Book"/>
          <w:b/>
          <w:i/>
          <w:color w:val="000000"/>
          <w:szCs w:val="20"/>
        </w:rPr>
        <w:t xml:space="preserve">enhance macroeconomic management for sustainable and inclusive economic growth and poverty </w:t>
      </w:r>
      <w:r w:rsidR="00F51AF8" w:rsidRPr="00B06331">
        <w:rPr>
          <w:rFonts w:ascii="Avenir Book" w:hAnsi="Avenir Book"/>
          <w:b/>
          <w:i/>
          <w:color w:val="000000"/>
          <w:szCs w:val="20"/>
        </w:rPr>
        <w:t>reduction.</w:t>
      </w:r>
    </w:p>
    <w:p w:rsidR="003A5A07" w:rsidRPr="00B06331" w:rsidRDefault="003A5A07" w:rsidP="003A5A07">
      <w:pPr>
        <w:rPr>
          <w:rFonts w:ascii="Avenir Book" w:hAnsi="Avenir Book"/>
          <w:b/>
          <w:szCs w:val="24"/>
        </w:rPr>
      </w:pPr>
      <w:r w:rsidRPr="00B06331">
        <w:rPr>
          <w:rFonts w:ascii="Avenir Book" w:hAnsi="Avenir Book"/>
          <w:b/>
          <w:szCs w:val="24"/>
        </w:rPr>
        <w:t>Table 7.2: Key Expected Results for Macroeconomic Stabilization and Economi</w:t>
      </w:r>
      <w:r w:rsidR="00772C6A" w:rsidRPr="00B06331">
        <w:rPr>
          <w:rFonts w:ascii="Avenir Book" w:hAnsi="Avenir Book"/>
          <w:b/>
          <w:szCs w:val="24"/>
        </w:rPr>
        <w:t xml:space="preserve">c Management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A5A07" w:rsidRPr="00B06331" w:rsidTr="003604CF">
        <w:tc>
          <w:tcPr>
            <w:tcW w:w="9576" w:type="dxa"/>
            <w:shd w:val="clear" w:color="auto" w:fill="D9E2F3" w:themeFill="accent1" w:themeFillTint="33"/>
          </w:tcPr>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Reduce Overall Deficit as % of GDP from 9.8 % to 3.0 %</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Increase Total Government Revenue (Tax and non-tax) by source as % of GDP from 16.7 % (Tax) to 20%</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 xml:space="preserve">With respect to the Country’s debt burden, the key results for the plan period are: </w:t>
            </w:r>
          </w:p>
          <w:p w:rsidR="003A5A07" w:rsidRPr="00B06331" w:rsidRDefault="003A5A07" w:rsidP="004143E3">
            <w:pPr>
              <w:pStyle w:val="ListParagraph"/>
              <w:numPr>
                <w:ilvl w:val="2"/>
                <w:numId w:val="36"/>
              </w:numPr>
              <w:spacing w:after="0"/>
              <w:rPr>
                <w:rFonts w:ascii="Avenir Book" w:eastAsia="MS Mincho" w:hAnsi="Avenir Book"/>
                <w:sz w:val="20"/>
              </w:rPr>
            </w:pPr>
            <w:r w:rsidRPr="00B06331">
              <w:rPr>
                <w:rFonts w:ascii="Avenir Book" w:eastAsia="MS Mincho" w:hAnsi="Avenir Book"/>
                <w:sz w:val="20"/>
              </w:rPr>
              <w:t>Reduce Net Domestic Borrowing as % of GDP from 11.4% to 1%</w:t>
            </w:r>
          </w:p>
          <w:p w:rsidR="003A5A07" w:rsidRPr="00B06331" w:rsidRDefault="003A5A07" w:rsidP="004143E3">
            <w:pPr>
              <w:pStyle w:val="ListParagraph"/>
              <w:numPr>
                <w:ilvl w:val="2"/>
                <w:numId w:val="36"/>
              </w:numPr>
              <w:spacing w:after="0"/>
              <w:rPr>
                <w:rFonts w:ascii="Avenir Book" w:eastAsia="MS Mincho" w:hAnsi="Avenir Book"/>
                <w:sz w:val="20"/>
              </w:rPr>
            </w:pPr>
            <w:r w:rsidRPr="00B06331">
              <w:rPr>
                <w:rFonts w:ascii="Avenir Book" w:eastAsia="MS Mincho" w:hAnsi="Avenir Book"/>
                <w:sz w:val="20"/>
              </w:rPr>
              <w:t>Reduce Present Value of debt as % of GDP from 100.4 % to TBD</w:t>
            </w:r>
          </w:p>
          <w:p w:rsidR="003A5A07" w:rsidRPr="00B06331" w:rsidRDefault="003A5A07" w:rsidP="004143E3">
            <w:pPr>
              <w:pStyle w:val="ListParagraph"/>
              <w:numPr>
                <w:ilvl w:val="2"/>
                <w:numId w:val="36"/>
              </w:numPr>
              <w:spacing w:after="0"/>
              <w:rPr>
                <w:rFonts w:ascii="Avenir Book" w:eastAsia="MS Mincho" w:hAnsi="Avenir Book"/>
                <w:sz w:val="20"/>
              </w:rPr>
            </w:pPr>
            <w:r w:rsidRPr="00B06331">
              <w:rPr>
                <w:rFonts w:ascii="Avenir Book" w:eastAsia="MS Mincho" w:hAnsi="Avenir Book"/>
                <w:sz w:val="20"/>
              </w:rPr>
              <w:t>Reduce Total public debt stock as % of GDP from 120.3% to 87.1%</w:t>
            </w:r>
          </w:p>
          <w:p w:rsidR="003A5A07" w:rsidRPr="00B06331" w:rsidRDefault="003A5A07" w:rsidP="004143E3">
            <w:pPr>
              <w:pStyle w:val="ListParagraph"/>
              <w:numPr>
                <w:ilvl w:val="2"/>
                <w:numId w:val="36"/>
              </w:numPr>
              <w:spacing w:after="0"/>
              <w:rPr>
                <w:rFonts w:ascii="Avenir Book" w:eastAsia="MS Mincho" w:hAnsi="Avenir Book"/>
                <w:sz w:val="20"/>
              </w:rPr>
            </w:pPr>
            <w:r w:rsidRPr="00B06331">
              <w:rPr>
                <w:rFonts w:ascii="Avenir Book" w:eastAsia="MS Mincho" w:hAnsi="Avenir Book"/>
                <w:sz w:val="20"/>
              </w:rPr>
              <w:t>Reduce Domestic debt stock as % of GDP from 67.9% to 45.1%</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 xml:space="preserve">Establish a Budget variance (aggregate outturns compared to original approved budget) from TBD to 0 </w:t>
            </w:r>
            <w:r w:rsidR="00983C53" w:rsidRPr="00B06331">
              <w:rPr>
                <w:rFonts w:ascii="Avenir Book" w:eastAsia="MS Mincho" w:hAnsi="Avenir Book"/>
                <w:sz w:val="20"/>
              </w:rPr>
              <w:t>- (</w:t>
            </w:r>
            <w:r w:rsidRPr="00B06331">
              <w:rPr>
                <w:rFonts w:ascii="Avenir Book" w:eastAsia="MS Mincho" w:hAnsi="Avenir Book"/>
                <w:sz w:val="20"/>
              </w:rPr>
              <w:t>+-3%)</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Stock of accumulated arrears as % of domestic revenues moved from TBD toTBD</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Reduce Procurement violations as % of total procurement from TBD (Procurement) to TBD (Procurement)</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Improve competitive procurement methods (grade) from grade D (2014) to grade B (20??)</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Reduce P</w:t>
            </w:r>
            <w:r w:rsidR="000352D3" w:rsidRPr="00B06331">
              <w:rPr>
                <w:rFonts w:ascii="Avenir Book" w:eastAsia="MS Mincho" w:hAnsi="Avenir Book"/>
                <w:sz w:val="20"/>
              </w:rPr>
              <w:t xml:space="preserve">rice Stability measured by CPI </w:t>
            </w:r>
            <w:r w:rsidRPr="00B06331">
              <w:rPr>
                <w:rFonts w:ascii="Avenir Book" w:eastAsia="MS Mincho" w:hAnsi="Avenir Book"/>
                <w:sz w:val="20"/>
              </w:rPr>
              <w:t>from 7.1% to &lt;=5%</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Increase Profit margin of SoEs from XX % to XX%</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Existence of corporate governance and legal frameworks for SOEs</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Reduce Total SOEs' tax arrears as % of revenues excluding grants from XX % to XX%</w:t>
            </w:r>
          </w:p>
          <w:p w:rsidR="003A5A07" w:rsidRPr="00B06331" w:rsidRDefault="003A5A07" w:rsidP="004143E3">
            <w:pPr>
              <w:pStyle w:val="ListParagraph"/>
              <w:numPr>
                <w:ilvl w:val="0"/>
                <w:numId w:val="35"/>
              </w:numPr>
              <w:spacing w:after="0"/>
              <w:rPr>
                <w:rFonts w:ascii="Avenir Book" w:eastAsia="MS Mincho" w:hAnsi="Avenir Book"/>
                <w:sz w:val="20"/>
              </w:rPr>
            </w:pPr>
            <w:r w:rsidRPr="00B06331">
              <w:rPr>
                <w:rFonts w:ascii="Avenir Book" w:eastAsia="MS Mincho" w:hAnsi="Avenir Book"/>
                <w:sz w:val="20"/>
              </w:rPr>
              <w:t>Existence of revised legal framework strengthening the autonomy and independence of the CBG</w:t>
            </w:r>
          </w:p>
        </w:tc>
      </w:tr>
    </w:tbl>
    <w:p w:rsidR="003A5A07" w:rsidRPr="00B06331" w:rsidRDefault="003A5A07" w:rsidP="003A5A07">
      <w:pPr>
        <w:jc w:val="both"/>
        <w:rPr>
          <w:rFonts w:ascii="Avenir Book" w:eastAsia="MS Mincho" w:hAnsi="Avenir Book"/>
        </w:rPr>
      </w:pPr>
    </w:p>
    <w:p w:rsidR="003A5A07" w:rsidRPr="00B06331" w:rsidRDefault="003A5A07" w:rsidP="003A5A07">
      <w:pPr>
        <w:jc w:val="both"/>
        <w:rPr>
          <w:rFonts w:ascii="Avenir Book" w:eastAsia="MS Mincho" w:hAnsi="Avenir Book"/>
        </w:rPr>
      </w:pPr>
      <w:r w:rsidRPr="00B06331">
        <w:rPr>
          <w:rFonts w:ascii="Avenir Book" w:eastAsia="MS Mincho" w:hAnsi="Avenir Book"/>
        </w:rPr>
        <w:lastRenderedPageBreak/>
        <w:t>The priority area has five outcomes (outcomes 2.1 – 2.5) and the key interventions needed to realize them are detailed below.</w:t>
      </w:r>
    </w:p>
    <w:p w:rsidR="003A5A07" w:rsidRPr="00B06331" w:rsidRDefault="003715CF" w:rsidP="003A5A07">
      <w:pPr>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2.1: Prudent Fiscal Management for Debt Sustainability and Enhanced Resource Alignment</w:t>
      </w:r>
    </w:p>
    <w:p w:rsidR="003A5A07" w:rsidRPr="00B06331" w:rsidRDefault="003A5A07" w:rsidP="003A5A07">
      <w:pPr>
        <w:jc w:val="both"/>
        <w:rPr>
          <w:rFonts w:ascii="Avenir Book" w:eastAsia="MS Mincho" w:hAnsi="Avenir Book"/>
        </w:rPr>
      </w:pPr>
      <w:r w:rsidRPr="00B06331">
        <w:rPr>
          <w:rFonts w:ascii="Avenir Book" w:eastAsia="MS Mincho" w:hAnsi="Avenir Book"/>
        </w:rPr>
        <w:t xml:space="preserve">Achieving prudent fiscal management to ensure debt sustainability requires rational strategic plans and an expenditure framework in line with the resource envelope of the country. This would speed up reducing the domestic borrowing and interest payment. This policy shift will also ensure the achievement of the NDP debt target of one percent of GDP. </w:t>
      </w:r>
    </w:p>
    <w:p w:rsidR="003A5A07" w:rsidRPr="00B06331" w:rsidRDefault="003A5A07" w:rsidP="003A5A07">
      <w:pPr>
        <w:spacing w:after="0"/>
        <w:jc w:val="both"/>
        <w:rPr>
          <w:rFonts w:ascii="Avenir Book" w:eastAsia="MS Mincho" w:hAnsi="Avenir Book"/>
        </w:rPr>
      </w:pPr>
      <w:r w:rsidRPr="00B06331">
        <w:rPr>
          <w:rFonts w:ascii="Avenir Book" w:eastAsia="MS Mincho" w:hAnsi="Avenir Book"/>
        </w:rPr>
        <w:t xml:space="preserve">Prudent debt management is needed to manage the risks associated with the large public debt while accommodating financing needed for development.To successfully achieve this, a </w:t>
      </w:r>
      <w:r w:rsidRPr="00B06331">
        <w:rPr>
          <w:rFonts w:ascii="Avenir Book" w:eastAsia="MS Mincho" w:hAnsi="Avenir Book"/>
          <w:u w:val="single"/>
        </w:rPr>
        <w:t>Debt Management Advisory Committee</w:t>
      </w:r>
      <w:r w:rsidRPr="00B06331">
        <w:rPr>
          <w:rFonts w:ascii="Avenir Book" w:eastAsia="MS Mincho" w:hAnsi="Avenir Book"/>
        </w:rPr>
        <w:t xml:space="preserve"> would be established to improve coordination and information exchange between the relevant departments of MoFEA and the CBG, and relevant SOEs, on both domestic and external debt to better forecast debt service payments. The Government will continue to seek external grants and concessional loans to finance public investment with a minimum grant element of 35 percent. </w:t>
      </w:r>
    </w:p>
    <w:p w:rsidR="003A5A07" w:rsidRPr="00B06331" w:rsidRDefault="003A5A07" w:rsidP="003A5A07">
      <w:pPr>
        <w:spacing w:after="0"/>
        <w:jc w:val="both"/>
        <w:rPr>
          <w:rFonts w:ascii="Avenir Book" w:eastAsia="MS Mincho" w:hAnsi="Avenir Book"/>
        </w:rPr>
      </w:pPr>
    </w:p>
    <w:p w:rsidR="003A5A07" w:rsidRPr="00B06331" w:rsidRDefault="003A5A07" w:rsidP="003A5A07">
      <w:pPr>
        <w:spacing w:after="0"/>
        <w:jc w:val="both"/>
        <w:rPr>
          <w:rFonts w:ascii="Avenir Book" w:eastAsia="MS Mincho" w:hAnsi="Avenir Book"/>
          <w:b/>
        </w:rPr>
      </w:pPr>
      <w:r w:rsidRPr="00B06331">
        <w:rPr>
          <w:rFonts w:ascii="Avenir Book" w:eastAsia="MS Mincho" w:hAnsi="Avenir Book"/>
        </w:rPr>
        <w:t xml:space="preserve">To restore fiscal discipline, government will undertakereforms aimed at addressing fiscal imbalances through mainly rationalization of government institutions and diplomatic missions, the implementation of a vehicle policy, etc. This will ensure prudent expenditures and by association a reduced need for domestic borrowing. </w:t>
      </w:r>
    </w:p>
    <w:p w:rsidR="003A5A07" w:rsidRPr="00B06331" w:rsidRDefault="003A5A07" w:rsidP="003A5A07">
      <w:pPr>
        <w:spacing w:after="0"/>
        <w:jc w:val="both"/>
        <w:rPr>
          <w:rFonts w:ascii="Avenir Book" w:eastAsia="MS Mincho" w:hAnsi="Avenir Book"/>
          <w:b/>
        </w:rPr>
      </w:pPr>
    </w:p>
    <w:p w:rsidR="003A5A07" w:rsidRPr="00B06331" w:rsidRDefault="003A5A07" w:rsidP="003A5A07">
      <w:pPr>
        <w:spacing w:after="0"/>
        <w:jc w:val="both"/>
        <w:rPr>
          <w:rFonts w:ascii="Avenir Book" w:eastAsia="MS Mincho" w:hAnsi="Avenir Book"/>
          <w:b/>
        </w:rPr>
      </w:pPr>
      <w:r w:rsidRPr="00B06331">
        <w:rPr>
          <w:rFonts w:ascii="Avenir Book" w:eastAsia="MS Mincho" w:hAnsi="Avenir Book"/>
        </w:rPr>
        <w:t xml:space="preserve">Measures will be undertaken to strengthen cash management. In this regard, a robust, consistent, and reliable </w:t>
      </w:r>
      <w:r w:rsidRPr="00B06331">
        <w:rPr>
          <w:rFonts w:ascii="Avenir Book" w:eastAsia="MS Mincho" w:hAnsi="Avenir Book"/>
          <w:u w:val="single"/>
        </w:rPr>
        <w:t>Cash Management Committee</w:t>
      </w:r>
      <w:r w:rsidRPr="00B06331">
        <w:rPr>
          <w:rFonts w:ascii="Avenir Book" w:eastAsia="MS Mincho" w:hAnsi="Avenir Book"/>
        </w:rPr>
        <w:t xml:space="preserve"> (CMC) is to be constituted to determine the Net Domestic Borrowing (NDB) requirement, approve and continuously monitor the implementation of the consolidated government cash plan.A report identifying all extra-budgetary spending will be prepared.It will also involve the establishment of additional procedures adopted by MoFEA to ensure all government expenditures and revenues are entered through IFMIS.</w:t>
      </w:r>
    </w:p>
    <w:p w:rsidR="003A5A07" w:rsidRPr="00B06331" w:rsidRDefault="003A5A07" w:rsidP="003A5A07">
      <w:pPr>
        <w:spacing w:after="0"/>
        <w:jc w:val="both"/>
        <w:rPr>
          <w:rFonts w:ascii="Avenir Book" w:eastAsia="MS Mincho" w:hAnsi="Avenir Book"/>
        </w:rPr>
      </w:pPr>
    </w:p>
    <w:p w:rsidR="003A5A07" w:rsidRPr="00B06331" w:rsidRDefault="003A5A07" w:rsidP="003A5A07">
      <w:pPr>
        <w:spacing w:after="0"/>
        <w:jc w:val="both"/>
        <w:rPr>
          <w:rFonts w:ascii="Avenir Book" w:eastAsia="MS Mincho" w:hAnsi="Avenir Book"/>
          <w:b/>
        </w:rPr>
      </w:pPr>
      <w:r w:rsidRPr="00B06331">
        <w:rPr>
          <w:rFonts w:ascii="Avenir Book" w:eastAsia="MS Mincho" w:hAnsi="Avenir Book"/>
        </w:rPr>
        <w:t xml:space="preserve">Government will implement the </w:t>
      </w:r>
      <w:r w:rsidRPr="00B06331">
        <w:rPr>
          <w:rFonts w:ascii="Avenir Book" w:eastAsia="MS Mincho" w:hAnsi="Avenir Book"/>
          <w:u w:val="single"/>
        </w:rPr>
        <w:t>Medium-Term Debt Management Strategy</w:t>
      </w:r>
      <w:r w:rsidRPr="00B06331">
        <w:rPr>
          <w:rFonts w:ascii="Avenir Book" w:eastAsia="MS Mincho" w:hAnsi="Avenir Book"/>
        </w:rPr>
        <w:t>(MTDS)</w:t>
      </w:r>
      <w:r w:rsidRPr="00B06331">
        <w:rPr>
          <w:rFonts w:ascii="Avenir Book" w:eastAsia="MS Mincho" w:hAnsi="Avenir Book"/>
          <w:b/>
        </w:rPr>
        <w:t xml:space="preserve">. </w:t>
      </w:r>
      <w:r w:rsidRPr="00B06331">
        <w:rPr>
          <w:rFonts w:ascii="Avenir Book" w:eastAsia="MS Mincho" w:hAnsi="Avenir Book"/>
        </w:rPr>
        <w:t>To bring the country’s debt situation on to a sustainable path, government would take relevant steps to address the debt situation including the formulation and review of the MTDS. This would help to accommodate in a timely manner macroeconomic developments. It would also ease pressure on the domestic debt market thus maximizing the external concessional financing, as well as attract non-debt flows. The above strategic steps could be properly executed if:</w:t>
      </w:r>
    </w:p>
    <w:p w:rsidR="003A5A07" w:rsidRPr="00B06331" w:rsidRDefault="003A5A07" w:rsidP="004143E3">
      <w:pPr>
        <w:numPr>
          <w:ilvl w:val="0"/>
          <w:numId w:val="19"/>
        </w:numPr>
        <w:spacing w:after="0"/>
        <w:contextualSpacing/>
        <w:jc w:val="both"/>
        <w:rPr>
          <w:rFonts w:ascii="Avenir Book" w:eastAsia="MS Mincho" w:hAnsi="Avenir Book"/>
        </w:rPr>
      </w:pPr>
      <w:r w:rsidRPr="00B06331">
        <w:rPr>
          <w:rFonts w:ascii="Avenir Book" w:eastAsia="MS Mincho" w:hAnsi="Avenir Book"/>
        </w:rPr>
        <w:t>There is timely and comprehensive provision and monitoring of debt data.</w:t>
      </w:r>
    </w:p>
    <w:p w:rsidR="003A5A07" w:rsidRPr="00B06331" w:rsidRDefault="003A5A07" w:rsidP="004143E3">
      <w:pPr>
        <w:numPr>
          <w:ilvl w:val="0"/>
          <w:numId w:val="19"/>
        </w:numPr>
        <w:spacing w:after="0"/>
        <w:contextualSpacing/>
        <w:jc w:val="both"/>
        <w:rPr>
          <w:rFonts w:ascii="Avenir Book" w:eastAsia="MS Mincho" w:hAnsi="Avenir Book"/>
        </w:rPr>
      </w:pPr>
      <w:r w:rsidRPr="00B06331">
        <w:rPr>
          <w:rFonts w:ascii="Avenir Book" w:eastAsia="MS Mincho" w:hAnsi="Avenir Book"/>
        </w:rPr>
        <w:t xml:space="preserve">Debt management advisory committee comprising MOFEA the CBG, and the relevant SOEs is established, and hold quarterly meetings. </w:t>
      </w:r>
    </w:p>
    <w:p w:rsidR="003A5A07" w:rsidRPr="00B06331" w:rsidRDefault="003A5A07" w:rsidP="004143E3">
      <w:pPr>
        <w:numPr>
          <w:ilvl w:val="0"/>
          <w:numId w:val="19"/>
        </w:numPr>
        <w:spacing w:after="0"/>
        <w:contextualSpacing/>
        <w:jc w:val="both"/>
        <w:rPr>
          <w:rFonts w:ascii="Avenir Book" w:eastAsia="MS Mincho" w:hAnsi="Avenir Book"/>
        </w:rPr>
      </w:pPr>
      <w:r w:rsidRPr="00B06331">
        <w:rPr>
          <w:rFonts w:ascii="Avenir Book" w:eastAsia="MS Mincho" w:hAnsi="Avenir Book"/>
        </w:rPr>
        <w:t>There is continuous monitoring and coordination to avoid recurrence of arrears.</w:t>
      </w:r>
    </w:p>
    <w:p w:rsidR="003715CF" w:rsidRPr="00B06331" w:rsidRDefault="003715CF" w:rsidP="003A5A07">
      <w:pPr>
        <w:spacing w:after="0"/>
        <w:jc w:val="both"/>
        <w:rPr>
          <w:rFonts w:ascii="Avenir Book" w:eastAsia="MS Mincho" w:hAnsi="Avenir Book"/>
        </w:rPr>
      </w:pPr>
    </w:p>
    <w:p w:rsidR="003A5A07" w:rsidRPr="00B06331" w:rsidRDefault="003A5A07" w:rsidP="003A5A07">
      <w:pPr>
        <w:spacing w:after="0"/>
        <w:jc w:val="both"/>
        <w:rPr>
          <w:rFonts w:ascii="Avenir Book" w:eastAsia="MS Mincho" w:hAnsi="Avenir Book"/>
          <w:b/>
        </w:rPr>
      </w:pPr>
      <w:r w:rsidRPr="00B06331">
        <w:rPr>
          <w:rFonts w:ascii="Avenir Book" w:eastAsia="MS Mincho" w:hAnsi="Avenir Book"/>
        </w:rPr>
        <w:t>Government will enhance efficient and effective revenue generation</w:t>
      </w:r>
      <w:r w:rsidRPr="00B06331">
        <w:rPr>
          <w:rFonts w:ascii="Avenir Book" w:eastAsia="MS Mincho" w:hAnsi="Avenir Book"/>
          <w:b/>
        </w:rPr>
        <w:t xml:space="preserve">. </w:t>
      </w:r>
      <w:r w:rsidRPr="00B06331">
        <w:rPr>
          <w:rFonts w:ascii="Avenir Book" w:eastAsia="MS Mincho" w:hAnsi="Avenir Book"/>
        </w:rPr>
        <w:t xml:space="preserve">As a tax based economy, it is prudent to broaden the tax base and improve tax efficiency by venturing into viable tax areas such as </w:t>
      </w:r>
      <w:r w:rsidRPr="00B06331">
        <w:rPr>
          <w:rFonts w:ascii="Avenir Book" w:eastAsia="MS Mincho" w:hAnsi="Avenir Book"/>
        </w:rPr>
        <w:lastRenderedPageBreak/>
        <w:t xml:space="preserve">property taxes and put in mechanisms to encourage taxpayers’ compliance level (especially in the case of public enterprises). </w:t>
      </w:r>
    </w:p>
    <w:p w:rsidR="003A5A07" w:rsidRPr="00B06331" w:rsidRDefault="003A5A07" w:rsidP="003A5A07">
      <w:pPr>
        <w:spacing w:after="0"/>
        <w:jc w:val="both"/>
        <w:rPr>
          <w:rFonts w:ascii="Avenir Book" w:eastAsia="MS Mincho" w:hAnsi="Avenir Book"/>
          <w:b/>
        </w:rPr>
      </w:pPr>
    </w:p>
    <w:p w:rsidR="003A5A07" w:rsidRPr="00B06331" w:rsidRDefault="003A5A07" w:rsidP="003A5A07">
      <w:pPr>
        <w:jc w:val="both"/>
        <w:rPr>
          <w:rFonts w:ascii="Avenir Book" w:eastAsia="MS Mincho" w:hAnsi="Avenir Book"/>
        </w:rPr>
      </w:pPr>
      <w:r w:rsidRPr="00B06331">
        <w:rPr>
          <w:rFonts w:ascii="Avenir Book" w:eastAsia="MS Mincho" w:hAnsi="Avenir Book"/>
        </w:rPr>
        <w:t>The Gambia will also endeavor to:</w:t>
      </w:r>
    </w:p>
    <w:p w:rsidR="003A5A07" w:rsidRPr="00B06331" w:rsidRDefault="003A5A07" w:rsidP="004143E3">
      <w:pPr>
        <w:numPr>
          <w:ilvl w:val="0"/>
          <w:numId w:val="15"/>
        </w:numPr>
        <w:contextualSpacing/>
        <w:jc w:val="both"/>
        <w:rPr>
          <w:rFonts w:ascii="Avenir Book" w:eastAsia="MS Mincho" w:hAnsi="Avenir Book"/>
        </w:rPr>
      </w:pPr>
      <w:r w:rsidRPr="00B06331">
        <w:rPr>
          <w:rFonts w:ascii="Avenir Book" w:eastAsia="MS Mincho" w:hAnsi="Avenir Book"/>
        </w:rPr>
        <w:t xml:space="preserve">Eliminate all nuisance taxes and tax multiplicity; </w:t>
      </w:r>
    </w:p>
    <w:p w:rsidR="003A5A07" w:rsidRPr="00B06331" w:rsidRDefault="003A5A07" w:rsidP="004143E3">
      <w:pPr>
        <w:numPr>
          <w:ilvl w:val="0"/>
          <w:numId w:val="14"/>
        </w:numPr>
        <w:contextualSpacing/>
        <w:jc w:val="both"/>
        <w:rPr>
          <w:rFonts w:ascii="Avenir Book" w:eastAsia="MS Mincho" w:hAnsi="Avenir Book"/>
        </w:rPr>
      </w:pPr>
      <w:r w:rsidRPr="00B06331">
        <w:rPr>
          <w:rFonts w:ascii="Avenir Book" w:eastAsia="MS Mincho" w:hAnsi="Avenir Book"/>
        </w:rPr>
        <w:t>Exploit the opportunities presented by remittances as well as innovative financing mechanisms such as Public Private Partnerships</w:t>
      </w:r>
    </w:p>
    <w:p w:rsidR="003A5A07" w:rsidRPr="00B06331" w:rsidRDefault="003A5A07" w:rsidP="004143E3">
      <w:pPr>
        <w:numPr>
          <w:ilvl w:val="0"/>
          <w:numId w:val="14"/>
        </w:numPr>
        <w:contextualSpacing/>
        <w:jc w:val="both"/>
        <w:rPr>
          <w:rFonts w:ascii="Avenir Book" w:eastAsia="MS Mincho" w:hAnsi="Avenir Book"/>
        </w:rPr>
      </w:pPr>
      <w:r w:rsidRPr="00B06331">
        <w:rPr>
          <w:rFonts w:ascii="Avenir Book" w:eastAsia="MS Mincho" w:hAnsi="Avenir Book"/>
        </w:rPr>
        <w:t>Step up efforts to build and strengthen partnerships for development by ensuring that all development aid is properly captured and accounted for in the national budget.</w:t>
      </w:r>
    </w:p>
    <w:p w:rsidR="003A5A07" w:rsidRPr="00B06331" w:rsidRDefault="003A5A07" w:rsidP="003A5A07">
      <w:pPr>
        <w:spacing w:after="0"/>
        <w:jc w:val="both"/>
        <w:rPr>
          <w:rFonts w:ascii="Avenir Book" w:eastAsia="MS Mincho" w:hAnsi="Avenir Book"/>
        </w:rPr>
      </w:pPr>
    </w:p>
    <w:p w:rsidR="000352D3" w:rsidRPr="00B06331" w:rsidRDefault="003A5A07" w:rsidP="003A5A07">
      <w:pPr>
        <w:spacing w:after="0"/>
        <w:jc w:val="both"/>
        <w:rPr>
          <w:rFonts w:ascii="Avenir Book" w:eastAsia="MS Mincho" w:hAnsi="Avenir Book"/>
        </w:rPr>
      </w:pPr>
      <w:r w:rsidRPr="00B06331">
        <w:rPr>
          <w:rFonts w:ascii="Avenir Book" w:eastAsia="MS Mincho" w:hAnsi="Avenir Book"/>
        </w:rPr>
        <w:t xml:space="preserve">Measures will be taken to enhance the linkage between the budget and national development priorities (MTEF and PBB).One of the significant steps to be taken to ensure budget credibility is to address the variation between budget and actual expenditure. </w:t>
      </w:r>
    </w:p>
    <w:p w:rsidR="000352D3" w:rsidRPr="00B06331" w:rsidRDefault="000352D3" w:rsidP="003A5A07">
      <w:pPr>
        <w:spacing w:after="0"/>
        <w:jc w:val="both"/>
        <w:rPr>
          <w:rFonts w:ascii="Avenir Book" w:eastAsia="MS Mincho" w:hAnsi="Avenir Book"/>
        </w:rPr>
      </w:pPr>
    </w:p>
    <w:p w:rsidR="003A5A07" w:rsidRPr="00B06331" w:rsidRDefault="003A5A07" w:rsidP="003A5A07">
      <w:pPr>
        <w:spacing w:after="0"/>
        <w:jc w:val="both"/>
        <w:rPr>
          <w:rFonts w:ascii="Avenir Book" w:eastAsia="MS Mincho" w:hAnsi="Avenir Book"/>
          <w:b/>
        </w:rPr>
      </w:pPr>
      <w:r w:rsidRPr="00B06331">
        <w:rPr>
          <w:rFonts w:ascii="Avenir Book" w:eastAsia="MS Mincho" w:hAnsi="Avenir Book"/>
        </w:rPr>
        <w:t>This would be done by:</w:t>
      </w:r>
    </w:p>
    <w:p w:rsidR="003A5A07" w:rsidRPr="00B06331" w:rsidRDefault="003A5A07" w:rsidP="004143E3">
      <w:pPr>
        <w:numPr>
          <w:ilvl w:val="0"/>
          <w:numId w:val="20"/>
        </w:numPr>
        <w:spacing w:after="0"/>
        <w:jc w:val="both"/>
        <w:rPr>
          <w:rFonts w:ascii="Avenir Book" w:eastAsia="MS Mincho" w:hAnsi="Avenir Book"/>
        </w:rPr>
      </w:pPr>
      <w:r w:rsidRPr="00B06331">
        <w:rPr>
          <w:rFonts w:ascii="Avenir Book" w:eastAsia="MS Mincho" w:hAnsi="Avenir Book"/>
        </w:rPr>
        <w:t>Strengthening planning processes to ensure that there is full alignment of the budget with plans;</w:t>
      </w:r>
    </w:p>
    <w:p w:rsidR="003A5A07" w:rsidRPr="00B06331" w:rsidRDefault="003A5A07" w:rsidP="004143E3">
      <w:pPr>
        <w:numPr>
          <w:ilvl w:val="0"/>
          <w:numId w:val="20"/>
        </w:numPr>
        <w:spacing w:after="0"/>
        <w:jc w:val="both"/>
        <w:rPr>
          <w:rFonts w:ascii="Avenir Book" w:eastAsia="MS Mincho" w:hAnsi="Avenir Book"/>
        </w:rPr>
      </w:pPr>
      <w:r w:rsidRPr="00B06331">
        <w:rPr>
          <w:rFonts w:ascii="Avenir Book" w:eastAsia="MS Mincho" w:hAnsi="Avenir Book"/>
        </w:rPr>
        <w:t xml:space="preserve">Improving revenue forecasts accuracy through capacity building and the provision of quality and reliable data; </w:t>
      </w:r>
    </w:p>
    <w:p w:rsidR="003A5A07" w:rsidRPr="00B06331" w:rsidRDefault="003A5A07" w:rsidP="004143E3">
      <w:pPr>
        <w:numPr>
          <w:ilvl w:val="0"/>
          <w:numId w:val="20"/>
        </w:numPr>
        <w:spacing w:after="0"/>
        <w:jc w:val="both"/>
        <w:rPr>
          <w:rFonts w:ascii="Avenir Book" w:eastAsia="MS Mincho" w:hAnsi="Avenir Book"/>
        </w:rPr>
      </w:pPr>
      <w:r w:rsidRPr="00B06331">
        <w:rPr>
          <w:rFonts w:ascii="Avenir Book" w:eastAsia="MS Mincho" w:hAnsi="Avenir Book"/>
        </w:rPr>
        <w:t xml:space="preserve">Improving accounting, auditing, and reporting frameworks by minimizing arrears through commitment controls; and </w:t>
      </w:r>
    </w:p>
    <w:p w:rsidR="003A5A07" w:rsidRPr="00B06331" w:rsidRDefault="003A5A07" w:rsidP="004143E3">
      <w:pPr>
        <w:numPr>
          <w:ilvl w:val="0"/>
          <w:numId w:val="20"/>
        </w:numPr>
        <w:spacing w:after="0"/>
        <w:jc w:val="both"/>
        <w:rPr>
          <w:rFonts w:ascii="Avenir Book" w:eastAsia="MS Mincho" w:hAnsi="Avenir Book"/>
        </w:rPr>
      </w:pPr>
      <w:r w:rsidRPr="00B06331">
        <w:rPr>
          <w:rFonts w:ascii="Avenir Book" w:eastAsia="MS Mincho" w:hAnsi="Avenir Book"/>
        </w:rPr>
        <w:t>Strengthening the procurement cadre to ensure more value for money in the use of public resources.</w:t>
      </w:r>
    </w:p>
    <w:p w:rsidR="000352D3" w:rsidRPr="00B06331" w:rsidRDefault="000352D3" w:rsidP="000352D3">
      <w:pPr>
        <w:spacing w:after="0"/>
        <w:jc w:val="both"/>
        <w:rPr>
          <w:rFonts w:ascii="Avenir Book" w:eastAsia="MS Mincho" w:hAnsi="Avenir Book"/>
        </w:rPr>
      </w:pPr>
    </w:p>
    <w:p w:rsidR="000352D3" w:rsidRPr="00B06331" w:rsidRDefault="000352D3" w:rsidP="006F3A32">
      <w:pPr>
        <w:spacing w:after="0"/>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2.2: Transparent and Accountable Public Financial Management</w:t>
      </w:r>
    </w:p>
    <w:p w:rsidR="006F3A32" w:rsidRPr="00B06331" w:rsidRDefault="006F3A32" w:rsidP="006F3A32">
      <w:pPr>
        <w:spacing w:after="0"/>
        <w:jc w:val="both"/>
        <w:rPr>
          <w:rFonts w:ascii="Avenir Book" w:eastAsia="MS Mincho" w:hAnsi="Avenir Book"/>
          <w:b/>
          <w:i/>
          <w:color w:val="4472C4" w:themeColor="accent1"/>
        </w:rPr>
      </w:pPr>
    </w:p>
    <w:p w:rsidR="003A5A07" w:rsidRPr="00B06331" w:rsidRDefault="003A5A07" w:rsidP="003A5A07">
      <w:pPr>
        <w:jc w:val="both"/>
        <w:rPr>
          <w:rFonts w:ascii="Avenir Book" w:eastAsia="MS Mincho" w:hAnsi="Avenir Book"/>
        </w:rPr>
      </w:pPr>
      <w:r w:rsidRPr="00B06331">
        <w:rPr>
          <w:rFonts w:ascii="Avenir Book" w:eastAsia="MS Mincho" w:hAnsi="Avenir Book"/>
        </w:rPr>
        <w:t xml:space="preserve">As a catalyst for ensuring the efficient and effective allocation and utilization of economic resources, transparent, credible, and an accountable public financial management system must be put in place to improve and obtain sustainable financial management. </w:t>
      </w:r>
    </w:p>
    <w:p w:rsidR="003A5A07" w:rsidRPr="00B06331" w:rsidRDefault="003A5A07" w:rsidP="003A5A07">
      <w:pPr>
        <w:jc w:val="both"/>
        <w:rPr>
          <w:rFonts w:ascii="Avenir Book" w:eastAsia="MS Mincho" w:hAnsi="Avenir Book"/>
        </w:rPr>
      </w:pPr>
      <w:r w:rsidRPr="00B06331">
        <w:rPr>
          <w:rFonts w:ascii="Avenir Book" w:eastAsia="MS Mincho" w:hAnsi="Avenir Book"/>
        </w:rPr>
        <w:t>To achieve this government will implement the PFM strategy within which the following measures will be taken:</w:t>
      </w:r>
    </w:p>
    <w:p w:rsidR="003A5A07" w:rsidRPr="00B06331" w:rsidRDefault="003A5A07" w:rsidP="004143E3">
      <w:pPr>
        <w:numPr>
          <w:ilvl w:val="0"/>
          <w:numId w:val="21"/>
        </w:numPr>
        <w:spacing w:after="0"/>
        <w:jc w:val="both"/>
        <w:rPr>
          <w:rFonts w:ascii="Avenir Book" w:eastAsia="MS Mincho" w:hAnsi="Avenir Book"/>
        </w:rPr>
      </w:pPr>
      <w:r w:rsidRPr="00B06331">
        <w:rPr>
          <w:rFonts w:ascii="Avenir Book" w:eastAsia="MS Mincho" w:hAnsi="Avenir Book"/>
        </w:rPr>
        <w:t>Prepare a report identifying all extra-budgetary spending and, on that basis, establish additional procedures adopted by MoFEA to ensure all government expenditures and revenues are entered through IFMIS.</w:t>
      </w:r>
    </w:p>
    <w:p w:rsidR="003A5A07" w:rsidRPr="00B06331" w:rsidRDefault="003A5A07" w:rsidP="004143E3">
      <w:pPr>
        <w:numPr>
          <w:ilvl w:val="0"/>
          <w:numId w:val="21"/>
        </w:numPr>
        <w:spacing w:after="0"/>
        <w:jc w:val="both"/>
        <w:rPr>
          <w:rFonts w:ascii="Avenir Book" w:eastAsia="MS Mincho" w:hAnsi="Avenir Book"/>
        </w:rPr>
      </w:pPr>
      <w:r w:rsidRPr="00B06331">
        <w:rPr>
          <w:rFonts w:ascii="Avenir Book" w:eastAsia="MS Mincho" w:hAnsi="Avenir Book"/>
        </w:rPr>
        <w:t>Prepare a complete inventory of all government and other public-sector bank accounts at the CBG and commercial banks, and prepare an action plan to restore the Treasury single account.</w:t>
      </w:r>
    </w:p>
    <w:p w:rsidR="003A5A07" w:rsidRPr="00B06331" w:rsidRDefault="003A5A07" w:rsidP="003A5A07">
      <w:pPr>
        <w:spacing w:after="0"/>
        <w:jc w:val="both"/>
        <w:rPr>
          <w:rFonts w:ascii="Avenir Book" w:eastAsia="MS Mincho" w:hAnsi="Avenir Book"/>
          <w:b/>
        </w:rPr>
      </w:pPr>
    </w:p>
    <w:p w:rsidR="003A5A07" w:rsidRPr="00B06331" w:rsidRDefault="003A5A07" w:rsidP="003A5A07">
      <w:pPr>
        <w:jc w:val="both"/>
        <w:rPr>
          <w:rFonts w:ascii="Avenir Book" w:eastAsia="MS Mincho" w:hAnsi="Avenir Book"/>
        </w:rPr>
      </w:pPr>
      <w:r w:rsidRPr="00B06331">
        <w:rPr>
          <w:rFonts w:ascii="Avenir Book" w:eastAsia="MS Mincho" w:hAnsi="Avenir Book"/>
        </w:rPr>
        <w:t xml:space="preserve">Cash management in the context of prudent fiscal management will be strengthened, while monetary policy would continue to support prudent fiscal policy in the quest to attain macroeconomic </w:t>
      </w:r>
      <w:r w:rsidRPr="00B06331">
        <w:rPr>
          <w:rFonts w:ascii="Avenir Book" w:eastAsia="MS Mincho" w:hAnsi="Avenir Book"/>
        </w:rPr>
        <w:lastRenderedPageBreak/>
        <w:t>stability.Robust, consistent, and reliable Cash Management Committee (CMC) is to be constituted to determine the NDB requirement, approve and continuously monitor the implementation of the consolidated government cash plan.</w:t>
      </w:r>
    </w:p>
    <w:p w:rsidR="000352D3" w:rsidRPr="00B06331" w:rsidRDefault="000352D3" w:rsidP="003A5A07">
      <w:pPr>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2.3: Sound Monetary Policies in place for Price and Exchange Rate Stability</w:t>
      </w:r>
    </w:p>
    <w:p w:rsidR="003A5A07" w:rsidRPr="00B06331" w:rsidRDefault="003A5A07" w:rsidP="003A5A07">
      <w:pPr>
        <w:jc w:val="both"/>
        <w:rPr>
          <w:rFonts w:ascii="Avenir Book" w:eastAsia="MS Mincho" w:hAnsi="Avenir Book"/>
          <w:b/>
        </w:rPr>
      </w:pPr>
      <w:r w:rsidRPr="00B06331">
        <w:rPr>
          <w:rFonts w:ascii="Avenir Book" w:eastAsia="MS Mincho" w:hAnsi="Avenir Book"/>
        </w:rPr>
        <w:t>As the monetary authority, CBG will continue to design and implement sound monetary and flexible exchange rate policies with a view to ensuring that inflation remains relatively stable within single digit.</w:t>
      </w:r>
    </w:p>
    <w:p w:rsidR="003A5A07" w:rsidRPr="00B06331" w:rsidRDefault="003A5A07" w:rsidP="003A5A07">
      <w:pPr>
        <w:jc w:val="both"/>
        <w:rPr>
          <w:rFonts w:ascii="Avenir Book" w:eastAsia="MS Mincho" w:hAnsi="Avenir Book"/>
        </w:rPr>
      </w:pPr>
      <w:r w:rsidRPr="00B06331">
        <w:rPr>
          <w:rFonts w:ascii="Avenir Book" w:eastAsia="MS Mincho" w:hAnsi="Avenir Book"/>
        </w:rPr>
        <w:t>The CBG would continue the implementation of a flexible exchange rate and a monetary policy, which aims at price stability. It is essential to let the exchange rate fluctuate to absorb external shocks and increase the resilience of the economy. The CBG will intervene in the market only to ensure orderly market conditions, or purchase foreign exchange to meet its needs for external obligations. The CBG will continue to use a money targeting framework to pursue its price stability objective of keeping inflation at or below 5 percent, and use its rediscount rate to signal changes in the policy stance. After exiting fiscal dominance, monetary policy will become effective in terms of controlling liquidity.</w:t>
      </w:r>
    </w:p>
    <w:p w:rsidR="003A5A07" w:rsidRPr="00B06331" w:rsidRDefault="003A5A07" w:rsidP="003A5A07">
      <w:pPr>
        <w:spacing w:after="0"/>
        <w:jc w:val="both"/>
        <w:rPr>
          <w:rFonts w:ascii="Avenir Book" w:eastAsia="MS Mincho" w:hAnsi="Avenir Book"/>
        </w:rPr>
      </w:pPr>
      <w:r w:rsidRPr="00B06331">
        <w:rPr>
          <w:rFonts w:ascii="Avenir Book" w:eastAsia="MS Mincho" w:hAnsi="Avenir Book"/>
        </w:rPr>
        <w:t>Finally, government will rebuild foreign reserves and improve reserve management through appropriate strategic policies aimed at improving related financing flows of FDI, remittances and official flows (grants and loans) in the short to medium term, as well as through improving the business environment by lowering the cost of doing business.</w:t>
      </w:r>
    </w:p>
    <w:p w:rsidR="000352D3" w:rsidRPr="00B06331" w:rsidRDefault="000352D3" w:rsidP="003A5A07">
      <w:pPr>
        <w:spacing w:after="0"/>
        <w:jc w:val="both"/>
        <w:rPr>
          <w:rFonts w:ascii="Avenir Book" w:eastAsia="MS Mincho" w:hAnsi="Avenir Book"/>
        </w:rPr>
      </w:pPr>
    </w:p>
    <w:p w:rsidR="000352D3" w:rsidRPr="00B06331" w:rsidRDefault="000352D3" w:rsidP="003A5A07">
      <w:pPr>
        <w:spacing w:after="0"/>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2.4: Well governed and financially viable SoEs for enhanced macro-economic stability and service delivery</w:t>
      </w:r>
    </w:p>
    <w:p w:rsidR="000352D3" w:rsidRPr="00B06331" w:rsidRDefault="000352D3" w:rsidP="003A5A07">
      <w:pPr>
        <w:spacing w:after="0"/>
        <w:jc w:val="both"/>
        <w:rPr>
          <w:rFonts w:ascii="Avenir Book" w:eastAsia="MS Mincho" w:hAnsi="Avenir Book"/>
        </w:rPr>
      </w:pPr>
    </w:p>
    <w:p w:rsidR="003A5A07" w:rsidRPr="00B06331" w:rsidRDefault="003A5A07" w:rsidP="003A5A07">
      <w:pPr>
        <w:spacing w:after="0"/>
        <w:jc w:val="both"/>
        <w:rPr>
          <w:rFonts w:ascii="Avenir Book" w:eastAsia="MS Mincho" w:hAnsi="Avenir Book"/>
          <w:b/>
          <w:szCs w:val="24"/>
        </w:rPr>
      </w:pPr>
      <w:r w:rsidRPr="00B06331">
        <w:rPr>
          <w:rFonts w:ascii="Avenir Book" w:eastAsia="MS Mincho" w:hAnsi="Avenir Book"/>
          <w:b/>
          <w:szCs w:val="24"/>
        </w:rPr>
        <w:t>Strengthen the capacity of the central SOE oversight structure</w:t>
      </w:r>
    </w:p>
    <w:p w:rsidR="005D5E1C" w:rsidRPr="00B06331" w:rsidRDefault="005D5E1C" w:rsidP="003A5A07">
      <w:pPr>
        <w:jc w:val="both"/>
        <w:rPr>
          <w:rFonts w:ascii="Avenir Book" w:hAnsi="Avenir Book"/>
          <w:szCs w:val="24"/>
        </w:rPr>
      </w:pPr>
    </w:p>
    <w:p w:rsidR="003A5A07" w:rsidRPr="00B06331" w:rsidRDefault="005D5E1C" w:rsidP="003A5A07">
      <w:pPr>
        <w:jc w:val="both"/>
        <w:rPr>
          <w:rFonts w:ascii="Avenir Book" w:eastAsia="MS Mincho" w:hAnsi="Avenir Book"/>
          <w:b/>
          <w:szCs w:val="24"/>
          <w:u w:val="single"/>
        </w:rPr>
      </w:pPr>
      <w:r w:rsidRPr="00B06331">
        <w:rPr>
          <w:rFonts w:ascii="Avenir Book" w:hAnsi="Avenir Book"/>
          <w:szCs w:val="24"/>
        </w:rPr>
        <w:t>F</w:t>
      </w:r>
      <w:r w:rsidR="003A5A07" w:rsidRPr="00B06331">
        <w:rPr>
          <w:rFonts w:ascii="Avenir Book" w:hAnsi="Avenir Book"/>
          <w:szCs w:val="24"/>
        </w:rPr>
        <w:t xml:space="preserve">iscal oversight of the SOE sector has </w:t>
      </w:r>
      <w:r w:rsidR="003604CF" w:rsidRPr="00B06331">
        <w:rPr>
          <w:rFonts w:ascii="Avenir Book" w:hAnsi="Avenir Book"/>
          <w:szCs w:val="24"/>
        </w:rPr>
        <w:t>been weak</w:t>
      </w:r>
      <w:r w:rsidR="003A5A07" w:rsidRPr="00B06331">
        <w:rPr>
          <w:rFonts w:ascii="Avenir Book" w:hAnsi="Avenir Book"/>
          <w:szCs w:val="24"/>
        </w:rPr>
        <w:t xml:space="preserve"> and needs to be urgently strengthened. Inadequate oversight arrangements undermine GoTG’s ability to measure and monitor SOE performance on an ongoing basis, to anticipate the need for corrective action and formulate such action, and to identify and manage fiscal risks associated with SOE operations. Recognizing this, the GoTG will review the legal framework governing the operations and oversight of SOEs, and extend the fiscal reporting framework to include all general government operations</w:t>
      </w:r>
    </w:p>
    <w:p w:rsidR="003A5A07" w:rsidRPr="00B06331" w:rsidRDefault="003A5A07" w:rsidP="003A5A07">
      <w:pPr>
        <w:rPr>
          <w:rFonts w:ascii="Avenir Book" w:eastAsia="MS Mincho" w:hAnsi="Avenir Book"/>
          <w:b/>
          <w:szCs w:val="24"/>
        </w:rPr>
      </w:pPr>
      <w:r w:rsidRPr="00B06331">
        <w:rPr>
          <w:rFonts w:ascii="Avenir Book" w:eastAsia="MS Mincho" w:hAnsi="Avenir Book"/>
          <w:b/>
          <w:szCs w:val="24"/>
        </w:rPr>
        <w:t xml:space="preserve">Improving financial discipline, corporate </w:t>
      </w:r>
      <w:r w:rsidR="000352D3" w:rsidRPr="00B06331">
        <w:rPr>
          <w:rFonts w:ascii="Avenir Book" w:eastAsia="MS Mincho" w:hAnsi="Avenir Book"/>
          <w:b/>
          <w:szCs w:val="24"/>
        </w:rPr>
        <w:t>governance,</w:t>
      </w:r>
      <w:r w:rsidRPr="00B06331">
        <w:rPr>
          <w:rFonts w:ascii="Avenir Book" w:eastAsia="MS Mincho" w:hAnsi="Avenir Book"/>
          <w:b/>
          <w:szCs w:val="24"/>
        </w:rPr>
        <w:t xml:space="preserve"> and legal frameworks for SOEs</w:t>
      </w:r>
    </w:p>
    <w:p w:rsidR="003A5A07" w:rsidRPr="00B06331" w:rsidRDefault="00772C6A" w:rsidP="003A5A07">
      <w:pPr>
        <w:rPr>
          <w:rFonts w:ascii="Avenir Book" w:eastAsia="MS Mincho" w:hAnsi="Avenir Book"/>
          <w:b/>
          <w:szCs w:val="24"/>
        </w:rPr>
      </w:pPr>
      <w:r w:rsidRPr="00B06331">
        <w:rPr>
          <w:rFonts w:ascii="Avenir Book" w:eastAsia="MS Mincho" w:hAnsi="Avenir Book"/>
          <w:b/>
          <w:szCs w:val="24"/>
        </w:rPr>
        <w:t>Several</w:t>
      </w:r>
      <w:r w:rsidR="003A5A07" w:rsidRPr="00B06331">
        <w:rPr>
          <w:rFonts w:ascii="Avenir Book" w:eastAsia="MS Mincho" w:hAnsi="Avenir Book"/>
          <w:b/>
          <w:szCs w:val="24"/>
        </w:rPr>
        <w:t xml:space="preserve"> measures are planned to achieve this, including:</w:t>
      </w:r>
    </w:p>
    <w:p w:rsidR="003A5A07" w:rsidRPr="00B06331" w:rsidRDefault="003A5A07" w:rsidP="004143E3">
      <w:pPr>
        <w:numPr>
          <w:ilvl w:val="0"/>
          <w:numId w:val="65"/>
        </w:numPr>
        <w:spacing w:after="0"/>
        <w:contextualSpacing/>
        <w:jc w:val="both"/>
        <w:rPr>
          <w:rFonts w:ascii="Avenir Book" w:hAnsi="Avenir Book"/>
          <w:i/>
          <w:szCs w:val="24"/>
        </w:rPr>
      </w:pPr>
      <w:r w:rsidRPr="00B06331">
        <w:rPr>
          <w:rFonts w:ascii="Avenir Book" w:hAnsi="Avenir Book"/>
          <w:i/>
          <w:szCs w:val="24"/>
        </w:rPr>
        <w:t>Improving transparency and disclosure of SOE operations and finance</w:t>
      </w:r>
      <w:r w:rsidRPr="00B06331">
        <w:rPr>
          <w:rFonts w:ascii="Avenir Book" w:hAnsi="Avenir Book"/>
          <w:b/>
          <w:szCs w:val="24"/>
        </w:rPr>
        <w:t>s.</w:t>
      </w:r>
      <w:r w:rsidRPr="00B06331">
        <w:rPr>
          <w:rFonts w:ascii="Avenir Book" w:hAnsi="Avenir Book"/>
          <w:szCs w:val="24"/>
        </w:rPr>
        <w:t xml:space="preserve"> In this plan, Government will ensure that it receives sufficient information on SOE performance for use indecision making. The SOE oversight unit (MOFEA-PPP), as representative of the owner, will seek and receive copies of all annual and interim reports and financial statements, along with  any other information relevant to the SOEs International Financial Reporting Standards (IFRS) and </w:t>
      </w:r>
      <w:r w:rsidRPr="00B06331">
        <w:rPr>
          <w:rFonts w:ascii="Avenir Book" w:hAnsi="Avenir Book"/>
          <w:szCs w:val="24"/>
        </w:rPr>
        <w:lastRenderedPageBreak/>
        <w:t xml:space="preserve">International Standards for Audit (ISA) would be implemented to improve financial reporting and audit for all SOEs. To increase transparency all audited financial statements and annual operational reports of all SOEs would be made available to the public on the internet, as soon as they are submitted to the National Assembly. Training programs to upgrade accounting skills in the SOEs will also be strengthened. </w:t>
      </w:r>
    </w:p>
    <w:p w:rsidR="003A5A07" w:rsidRPr="00B06331" w:rsidRDefault="003A5A07" w:rsidP="004143E3">
      <w:pPr>
        <w:numPr>
          <w:ilvl w:val="0"/>
          <w:numId w:val="65"/>
        </w:numPr>
        <w:spacing w:after="0"/>
        <w:contextualSpacing/>
        <w:jc w:val="both"/>
        <w:rPr>
          <w:rFonts w:ascii="Avenir Book" w:hAnsi="Avenir Book"/>
          <w:i/>
          <w:szCs w:val="24"/>
        </w:rPr>
      </w:pPr>
      <w:r w:rsidRPr="00B06331">
        <w:rPr>
          <w:rFonts w:ascii="Avenir Book" w:hAnsi="Avenir Book"/>
          <w:i/>
          <w:szCs w:val="24"/>
        </w:rPr>
        <w:t>Normalizing financial relations between the SOEs and the State.</w:t>
      </w:r>
      <w:r w:rsidRPr="00B06331">
        <w:rPr>
          <w:rFonts w:ascii="Avenir Book" w:hAnsi="Avenir Book"/>
          <w:szCs w:val="24"/>
        </w:rPr>
        <w:t>In creating a sustainable relationship between the SOE sector and the national budget, a requirement would be included in the Law for full reimbursement by the Government of the costs incurred by SOEs in delivering public service obligations that are financially non-viable. This will include the costs of complying with any government directives that require them to deliver goods and services at prices below cost.  Dividend payments will be required from any SOEs that have the financial capacity to pay them after satisfying their internal needs for investment. Strong recovery action will also be taken against SOEs that accumulate tax or other payment arrears. Legal agreements would be signed between the MOFEA and the SOEs for all SOE debts guaranteed by the State. In addition fiscal risks will be monitored in a systematic way by the oversight unit and debt unit (including in the Debt Sustainability Analysis exercises) with risks mitigated by a series of measures, which includes restricting the SOEs' ability to raise debt, charging SOEs for the guarantees, imposing guarantee ceilings, and quantifying contingent liabilities in the annual national budget statement.</w:t>
      </w:r>
    </w:p>
    <w:p w:rsidR="003A5A07" w:rsidRPr="00B06331" w:rsidRDefault="003A5A07" w:rsidP="004143E3">
      <w:pPr>
        <w:numPr>
          <w:ilvl w:val="0"/>
          <w:numId w:val="65"/>
        </w:numPr>
        <w:spacing w:after="0"/>
        <w:contextualSpacing/>
        <w:jc w:val="both"/>
        <w:rPr>
          <w:rFonts w:ascii="Avenir Book" w:eastAsia="MS Mincho" w:hAnsi="Avenir Book"/>
          <w:b/>
          <w:sz w:val="24"/>
          <w:u w:val="single"/>
        </w:rPr>
      </w:pPr>
      <w:r w:rsidRPr="00B06331">
        <w:rPr>
          <w:rFonts w:ascii="Avenir Book" w:hAnsi="Avenir Book"/>
          <w:i/>
          <w:szCs w:val="24"/>
        </w:rPr>
        <w:t>Legal and regulatory reform.</w:t>
      </w:r>
      <w:r w:rsidRPr="00B06331">
        <w:rPr>
          <w:rFonts w:ascii="Avenir Book" w:hAnsi="Avenir Book"/>
          <w:szCs w:val="24"/>
        </w:rPr>
        <w:t xml:space="preserve">To effectively implement the reform agenda, Government will review the existing laws and regulations governing the SOE sector, notably the Public Enterprises Act, the Companies Act, and the individual Acts governing those SOEs not incorporated under the Companies Act.  This review exercise will focus </w:t>
      </w:r>
      <w:r w:rsidR="008A2AF8" w:rsidRPr="00B06331">
        <w:rPr>
          <w:rFonts w:ascii="Avenir Book" w:hAnsi="Avenir Book"/>
          <w:szCs w:val="24"/>
        </w:rPr>
        <w:t>on strengthening</w:t>
      </w:r>
      <w:r w:rsidRPr="00B06331">
        <w:rPr>
          <w:rFonts w:ascii="Avenir Book" w:hAnsi="Avenir Book"/>
          <w:szCs w:val="24"/>
        </w:rPr>
        <w:t xml:space="preserve"> the powers and role of the central oversight unit, creating a level playing field and improved corporate governance by incorporating all SOEs under the Companies Act. </w:t>
      </w:r>
    </w:p>
    <w:p w:rsidR="000352D3" w:rsidRPr="00B06331" w:rsidRDefault="000352D3" w:rsidP="003A5A07">
      <w:pPr>
        <w:rPr>
          <w:rFonts w:ascii="Avenir Book" w:hAnsi="Avenir Book"/>
          <w:caps/>
        </w:rPr>
      </w:pPr>
    </w:p>
    <w:p w:rsidR="000352D3" w:rsidRPr="00B06331" w:rsidRDefault="003604CF" w:rsidP="003A5A07">
      <w:pPr>
        <w:rPr>
          <w:rFonts w:ascii="Avenir Book" w:hAnsi="Avenir Book"/>
          <w:b/>
          <w:i/>
          <w:caps/>
        </w:rPr>
      </w:pPr>
      <w:r w:rsidRPr="00B06331">
        <w:rPr>
          <w:rFonts w:ascii="Avenir Book" w:hAnsi="Avenir Book"/>
          <w:b/>
          <w:i/>
          <w:color w:val="4472C4" w:themeColor="accent1"/>
        </w:rPr>
        <w:t>Outcome 2.5: Enhanced, Independent and Autonomous Economic Governance Institutions for effective Macro-Economic Management and Stability</w:t>
      </w:r>
    </w:p>
    <w:p w:rsidR="003A5A07" w:rsidRPr="00B06331" w:rsidRDefault="003A5A07" w:rsidP="003A5A07">
      <w:pPr>
        <w:rPr>
          <w:rFonts w:ascii="Avenir Book" w:hAnsi="Avenir Book"/>
          <w:caps/>
        </w:rPr>
      </w:pPr>
      <w:r w:rsidRPr="00B06331">
        <w:rPr>
          <w:rFonts w:ascii="Avenir Book" w:hAnsi="Avenir Book"/>
          <w:caps/>
        </w:rPr>
        <w:t>T</w:t>
      </w:r>
      <w:r w:rsidRPr="00B06331">
        <w:rPr>
          <w:rFonts w:ascii="Avenir Book" w:hAnsi="Avenir Book"/>
        </w:rPr>
        <w:t>his outcome will seek to strengthen key governance institutions</w:t>
      </w:r>
      <w:r w:rsidRPr="00B06331">
        <w:rPr>
          <w:rFonts w:ascii="Avenir Book" w:hAnsi="Avenir Book"/>
          <w:caps/>
        </w:rPr>
        <w:t xml:space="preserve">, </w:t>
      </w:r>
      <w:r w:rsidRPr="00B06331">
        <w:rPr>
          <w:rFonts w:ascii="Avenir Book" w:hAnsi="Avenir Book"/>
        </w:rPr>
        <w:t>such as the Central Bank of The Gambia and deepen Gambia</w:t>
      </w:r>
      <w:r w:rsidRPr="00B06331">
        <w:rPr>
          <w:rFonts w:ascii="Avenir Book" w:hAnsi="Avenir Book"/>
          <w:caps/>
        </w:rPr>
        <w:t>’</w:t>
      </w:r>
      <w:r w:rsidRPr="00B06331">
        <w:rPr>
          <w:rFonts w:ascii="Avenir Book" w:hAnsi="Avenir Book"/>
        </w:rPr>
        <w:t>s financial market</w:t>
      </w:r>
      <w:r w:rsidRPr="00B06331">
        <w:rPr>
          <w:rFonts w:ascii="Avenir Book" w:hAnsi="Avenir Book"/>
          <w:caps/>
        </w:rPr>
        <w:t>.</w:t>
      </w:r>
    </w:p>
    <w:p w:rsidR="003A5A07" w:rsidRPr="00B06331" w:rsidRDefault="003A5A07" w:rsidP="003A5A07">
      <w:pPr>
        <w:rPr>
          <w:rFonts w:ascii="Avenir Book" w:hAnsi="Avenir Book"/>
          <w:b/>
        </w:rPr>
      </w:pPr>
      <w:r w:rsidRPr="00B06331">
        <w:rPr>
          <w:rFonts w:ascii="Avenir Book" w:hAnsi="Avenir Book"/>
          <w:b/>
          <w:caps/>
        </w:rPr>
        <w:t>S</w:t>
      </w:r>
      <w:r w:rsidR="00772C6A" w:rsidRPr="00B06331">
        <w:rPr>
          <w:rFonts w:ascii="Avenir Book" w:hAnsi="Avenir Book"/>
          <w:b/>
        </w:rPr>
        <w:t>trengthen</w:t>
      </w:r>
      <w:r w:rsidRPr="00B06331">
        <w:rPr>
          <w:rFonts w:ascii="Avenir Book" w:hAnsi="Avenir Book"/>
          <w:b/>
        </w:rPr>
        <w:t>theautonomyandindependenceofthe Central Bankof The Gambia</w:t>
      </w:r>
    </w:p>
    <w:p w:rsidR="003A5A07" w:rsidRPr="00B06331" w:rsidRDefault="003A5A07" w:rsidP="003A5A07">
      <w:pPr>
        <w:rPr>
          <w:rFonts w:ascii="Avenir Book" w:hAnsi="Avenir Book"/>
        </w:rPr>
      </w:pPr>
      <w:r w:rsidRPr="00B06331">
        <w:rPr>
          <w:rFonts w:ascii="Avenir Book" w:hAnsi="Avenir Book"/>
        </w:rPr>
        <w:t>This will entail review of the Act and other legal provisions of the CBG with a view to strengthening of its autonomy and independence. Provisions relating to the Board of Governors and the Governor of the CBG will be reviewed. Similarly, the autonomy and independence of the National Audit Office will be strengthened.</w:t>
      </w:r>
    </w:p>
    <w:p w:rsidR="003A5A07" w:rsidRPr="00B06331" w:rsidRDefault="003A5A07" w:rsidP="003A5A07">
      <w:pPr>
        <w:spacing w:after="0" w:line="240" w:lineRule="auto"/>
        <w:rPr>
          <w:rFonts w:ascii="Avenir Book" w:hAnsi="Avenir Book"/>
          <w:b/>
          <w:szCs w:val="24"/>
        </w:rPr>
      </w:pPr>
    </w:p>
    <w:p w:rsidR="00D349BA" w:rsidRPr="00B06331" w:rsidRDefault="00D349BA" w:rsidP="003A5A07">
      <w:pPr>
        <w:spacing w:after="0" w:line="240" w:lineRule="auto"/>
        <w:rPr>
          <w:rFonts w:ascii="Avenir Book" w:hAnsi="Avenir Book"/>
          <w:b/>
          <w:szCs w:val="24"/>
        </w:rPr>
      </w:pPr>
    </w:p>
    <w:p w:rsidR="00D349BA" w:rsidRPr="00B06331" w:rsidRDefault="00D349BA" w:rsidP="003A5A07">
      <w:pPr>
        <w:spacing w:after="0" w:line="240" w:lineRule="auto"/>
        <w:rPr>
          <w:rFonts w:ascii="Avenir Book" w:hAnsi="Avenir Book"/>
          <w:b/>
          <w:szCs w:val="24"/>
        </w:rPr>
      </w:pPr>
    </w:p>
    <w:p w:rsidR="00D349BA" w:rsidRPr="00B06331" w:rsidRDefault="00D349BA" w:rsidP="003A5A07">
      <w:pPr>
        <w:spacing w:after="0" w:line="240" w:lineRule="auto"/>
        <w:rPr>
          <w:rFonts w:ascii="Avenir Book" w:hAnsi="Avenir Book"/>
          <w:b/>
          <w:szCs w:val="24"/>
        </w:rPr>
      </w:pPr>
    </w:p>
    <w:p w:rsidR="003A5A07" w:rsidRPr="00B06331" w:rsidRDefault="003A5A07" w:rsidP="003A5A07">
      <w:pPr>
        <w:spacing w:after="0" w:line="240" w:lineRule="auto"/>
        <w:rPr>
          <w:rFonts w:ascii="Avenir Book" w:hAnsi="Avenir Book"/>
          <w:b/>
          <w:szCs w:val="24"/>
        </w:rPr>
      </w:pPr>
      <w:r w:rsidRPr="00B06331">
        <w:rPr>
          <w:rFonts w:ascii="Avenir Book" w:hAnsi="Avenir Book"/>
          <w:b/>
          <w:szCs w:val="24"/>
        </w:rPr>
        <w:t xml:space="preserve">Strengthen and deepen Gambia’s Financial Sector </w:t>
      </w:r>
    </w:p>
    <w:p w:rsidR="003A5A07" w:rsidRPr="00B06331" w:rsidRDefault="003A5A07" w:rsidP="003A5A07">
      <w:pPr>
        <w:spacing w:after="0" w:line="240" w:lineRule="auto"/>
        <w:rPr>
          <w:rFonts w:ascii="Avenir Book" w:hAnsi="Avenir Book"/>
          <w:szCs w:val="24"/>
        </w:rPr>
      </w:pPr>
    </w:p>
    <w:p w:rsidR="003A5A07" w:rsidRPr="00B06331" w:rsidRDefault="003A5A07" w:rsidP="003A5A07">
      <w:pPr>
        <w:autoSpaceDE w:val="0"/>
        <w:autoSpaceDN w:val="0"/>
        <w:adjustRightInd w:val="0"/>
        <w:jc w:val="both"/>
        <w:rPr>
          <w:rFonts w:ascii="Avenir Book" w:hAnsi="Avenir Book"/>
          <w:szCs w:val="24"/>
        </w:rPr>
      </w:pPr>
      <w:r w:rsidRPr="00B06331">
        <w:rPr>
          <w:rFonts w:ascii="Avenir Book" w:hAnsi="Avenir Book"/>
          <w:szCs w:val="24"/>
        </w:rPr>
        <w:t xml:space="preserve">Under the plan, </w:t>
      </w:r>
      <w:r w:rsidR="003604CF" w:rsidRPr="00B06331">
        <w:rPr>
          <w:rFonts w:ascii="Avenir Book" w:hAnsi="Avenir Book"/>
          <w:szCs w:val="24"/>
        </w:rPr>
        <w:t>government will</w:t>
      </w:r>
      <w:r w:rsidRPr="00B06331">
        <w:rPr>
          <w:rFonts w:ascii="Avenir Book" w:hAnsi="Avenir Book"/>
          <w:szCs w:val="24"/>
        </w:rPr>
        <w:t xml:space="preserve"> formulate a Capital Markets Act which will facilitate the establishment of local capital markets, and </w:t>
      </w:r>
      <w:r w:rsidR="00142E41" w:rsidRPr="00B06331">
        <w:rPr>
          <w:rFonts w:ascii="Avenir Book" w:hAnsi="Avenir Book"/>
          <w:szCs w:val="24"/>
        </w:rPr>
        <w:t>which</w:t>
      </w:r>
      <w:r w:rsidRPr="00B06331">
        <w:rPr>
          <w:rFonts w:ascii="Avenir Book" w:hAnsi="Avenir Book"/>
          <w:szCs w:val="24"/>
        </w:rPr>
        <w:t xml:space="preserve"> spells out the institutional and legal framework capable of enhancing long term financing of developmental projects to spur sustainable and equitable economic growth and development.</w:t>
      </w:r>
    </w:p>
    <w:p w:rsidR="003A5A07" w:rsidRPr="00B06331" w:rsidRDefault="003A5A07" w:rsidP="003A5A07">
      <w:pPr>
        <w:autoSpaceDE w:val="0"/>
        <w:autoSpaceDN w:val="0"/>
        <w:adjustRightInd w:val="0"/>
        <w:jc w:val="both"/>
        <w:rPr>
          <w:rFonts w:ascii="Avenir Book" w:hAnsi="Avenir Book"/>
          <w:szCs w:val="24"/>
        </w:rPr>
      </w:pPr>
      <w:r w:rsidRPr="00B06331">
        <w:rPr>
          <w:rFonts w:ascii="Avenir Book" w:hAnsi="Avenir Book" w:cs="Arial"/>
          <w:szCs w:val="24"/>
        </w:rPr>
        <w:t>While much work has focused on improving the investment climate in developing countries for institutional investors, less work has focused on the institutional investors themselves. Therefore, emphasis will be placed on developing the domestic “buy side”—which encourages greater participation of local and regional institutional investors such as pension funds and insurance firms in domestic capital markets. Most fundamentally, the large pools of savings will be mobilized as important sources of long-term finance for economic growth—including for example infrastructure financing. In addition, a well-functioning buy side will be promoted to reduce the economy’s reliance on foreign portfolio investors, and increase macroeconomic resilience to shocks caused by sudden capital inflows and outflows.</w:t>
      </w:r>
    </w:p>
    <w:p w:rsidR="003A5A07" w:rsidRPr="00B06331" w:rsidRDefault="003A5A07" w:rsidP="003604CF">
      <w:pPr>
        <w:autoSpaceDE w:val="0"/>
        <w:autoSpaceDN w:val="0"/>
        <w:adjustRightInd w:val="0"/>
        <w:jc w:val="both"/>
        <w:rPr>
          <w:rFonts w:ascii="Avenir Book" w:hAnsi="Avenir Book" w:cs="Arial"/>
          <w:szCs w:val="24"/>
        </w:rPr>
      </w:pPr>
      <w:r w:rsidRPr="00B06331">
        <w:rPr>
          <w:rFonts w:ascii="Avenir Book" w:hAnsi="Avenir Book" w:cs="Arial"/>
          <w:szCs w:val="24"/>
        </w:rPr>
        <w:t>The importance of strong human capital as a foundation for financial-market development is often underestimated. Financial markets, particularly capital markets crucially need reliable regulation and enabling laws; and these can only be properly designed and enforced by people who have a clear understanding of private-sector behavior, armed with sufficient legal and financial training, and know how to be able to conduct detailed financial analysis, and risk assessment for decision making. To this end, Government will work with partners to ensure adequate and well qualified corps of practitioners within the industry. Similar measures will also be undertaken to develop and/or strengthen instruments such as Islamic Banking.</w:t>
      </w:r>
      <w:bookmarkStart w:id="117" w:name="_Toc488689329"/>
    </w:p>
    <w:p w:rsidR="003A5A07" w:rsidRPr="00B06331" w:rsidRDefault="003A5A07" w:rsidP="003A5A07">
      <w:pPr>
        <w:pStyle w:val="Heading2"/>
        <w:rPr>
          <w:rFonts w:ascii="Calibri" w:hAnsi="Calibri" w:cs="Calibri"/>
          <w:sz w:val="22"/>
          <w:szCs w:val="22"/>
        </w:rPr>
      </w:pPr>
      <w:bookmarkStart w:id="118" w:name="_Toc492364776"/>
      <w:r w:rsidRPr="00B06331">
        <w:rPr>
          <w:rFonts w:ascii="Calibri" w:hAnsi="Calibri" w:cs="Calibri"/>
          <w:sz w:val="22"/>
          <w:szCs w:val="22"/>
        </w:rPr>
        <w:t xml:space="preserve">7.4 Agriculture </w:t>
      </w:r>
      <w:bookmarkEnd w:id="117"/>
      <w:r w:rsidRPr="00B06331">
        <w:rPr>
          <w:rFonts w:ascii="Calibri" w:hAnsi="Calibri" w:cs="Calibri"/>
          <w:sz w:val="22"/>
          <w:szCs w:val="22"/>
        </w:rPr>
        <w:t>and Fisheries</w:t>
      </w:r>
      <w:bookmarkEnd w:id="118"/>
    </w:p>
    <w:p w:rsidR="003A5A07" w:rsidRPr="00B06331" w:rsidRDefault="003A5A07" w:rsidP="003A5A07">
      <w:pPr>
        <w:jc w:val="both"/>
        <w:rPr>
          <w:rFonts w:ascii="Avenir Book" w:hAnsi="Avenir Book"/>
        </w:rPr>
      </w:pPr>
      <w:r w:rsidRPr="00B06331">
        <w:rPr>
          <w:rFonts w:ascii="Avenir Book" w:hAnsi="Avenir Book"/>
        </w:rPr>
        <w:t xml:space="preserve">The agricultural sector is one of the leading contributors to GDP, accounting for 20-30%. It is a major employer and key contributor to poverty reduction. But the sector’s performance has been far from optimal. Under the plan, Government will therefore undertake major efforts to revitalize the sector. This will be achieved through creating an enabling policy environment, to promote private sector led and pro-poor public investment initiatives. This will provide significant boost to growth, transformation and food and nutritional security. It will also contribute in a major way to addressing growing rural poverty – although rural Gambia now has less than 50% of the country’s population, it accounts for 60% of the poor. </w:t>
      </w:r>
    </w:p>
    <w:p w:rsidR="003A5A07" w:rsidRPr="00B06331" w:rsidRDefault="003A5A07" w:rsidP="003A5A07">
      <w:pPr>
        <w:jc w:val="both"/>
        <w:rPr>
          <w:rFonts w:ascii="Avenir Book" w:hAnsi="Avenir Book"/>
        </w:rPr>
      </w:pPr>
      <w:r w:rsidRPr="00B06331">
        <w:rPr>
          <w:rFonts w:ascii="Avenir Book" w:hAnsi="Avenir Book"/>
        </w:rPr>
        <w:t>Agriculture-led rural transformation agenda is critical to addressing growing rural poverty. Government considers rapid agricultural growth a high priority and the NDP would be used as the foundation to achieve this. The aim is to reach an annual agricultural growth rate of 6% by 2021.</w:t>
      </w:r>
    </w:p>
    <w:p w:rsidR="003A5A07" w:rsidRPr="00B06331" w:rsidRDefault="003A5A07" w:rsidP="003A5A07">
      <w:pPr>
        <w:jc w:val="both"/>
        <w:rPr>
          <w:rFonts w:ascii="Avenir Book" w:hAnsi="Avenir Book"/>
        </w:rPr>
      </w:pPr>
      <w:r w:rsidRPr="00B06331">
        <w:rPr>
          <w:rFonts w:ascii="Avenir Book" w:hAnsi="Avenir Book"/>
        </w:rPr>
        <w:lastRenderedPageBreak/>
        <w:t xml:space="preserve">Fisheries Sector though operating way below its potential can play a major role in the economic development and poverty reduction efforts of the Country. </w:t>
      </w:r>
    </w:p>
    <w:p w:rsidR="00667BB2" w:rsidRPr="00B06331" w:rsidRDefault="00667BB2" w:rsidP="003A5A07">
      <w:pPr>
        <w:jc w:val="both"/>
        <w:rPr>
          <w:rFonts w:ascii="Avenir Book" w:hAnsi="Avenir Book"/>
        </w:rPr>
      </w:pPr>
    </w:p>
    <w:p w:rsidR="003A5A07" w:rsidRPr="00B06331" w:rsidRDefault="003A5A07" w:rsidP="003A5A07">
      <w:pPr>
        <w:pStyle w:val="Heading3"/>
        <w:rPr>
          <w:rFonts w:ascii="Calibri" w:hAnsi="Calibri" w:cs="Calibri"/>
          <w:b/>
          <w:sz w:val="22"/>
          <w:szCs w:val="22"/>
        </w:rPr>
      </w:pPr>
      <w:bookmarkStart w:id="119" w:name="_Toc492364777"/>
      <w:r w:rsidRPr="00B06331">
        <w:rPr>
          <w:rFonts w:ascii="Calibri" w:hAnsi="Calibri" w:cs="Calibri"/>
          <w:b/>
          <w:sz w:val="22"/>
          <w:szCs w:val="22"/>
        </w:rPr>
        <w:t>7.4.1 Agriculture</w:t>
      </w:r>
      <w:bookmarkEnd w:id="119"/>
    </w:p>
    <w:p w:rsidR="003A5A07" w:rsidRPr="00B06331" w:rsidRDefault="003A5A07" w:rsidP="003A5A07">
      <w:pPr>
        <w:spacing w:after="0"/>
        <w:rPr>
          <w:rFonts w:ascii="Avenir Book" w:hAnsi="Avenir Book"/>
          <w:b/>
          <w:szCs w:val="24"/>
        </w:rPr>
      </w:pPr>
    </w:p>
    <w:p w:rsidR="003A5A07" w:rsidRPr="00B06331" w:rsidRDefault="003A5A07" w:rsidP="001929BE">
      <w:pPr>
        <w:jc w:val="both"/>
        <w:rPr>
          <w:rFonts w:ascii="Avenir Book" w:hAnsi="Avenir Book"/>
          <w:i/>
          <w:color w:val="000000"/>
          <w:szCs w:val="20"/>
        </w:rPr>
      </w:pPr>
      <w:r w:rsidRPr="00B06331">
        <w:rPr>
          <w:rFonts w:ascii="Avenir Book" w:hAnsi="Avenir Book"/>
        </w:rPr>
        <w:t>The goal for Agriculture under the plan is</w:t>
      </w:r>
      <w:r w:rsidR="00142E41" w:rsidRPr="00B06331">
        <w:rPr>
          <w:rFonts w:ascii="Avenir Book" w:hAnsi="Avenir Book"/>
          <w:color w:val="000000"/>
          <w:sz w:val="20"/>
          <w:szCs w:val="20"/>
        </w:rPr>
        <w:t xml:space="preserve">: </w:t>
      </w:r>
      <w:r w:rsidRPr="00B06331">
        <w:rPr>
          <w:rFonts w:ascii="Avenir Book" w:hAnsi="Avenir Book"/>
          <w:b/>
          <w:i/>
          <w:color w:val="000000"/>
          <w:szCs w:val="20"/>
        </w:rPr>
        <w:t>a modern, sustainable and market oriented agriculture and livestock for increased food and nutrition security, income and employment generation, poverty reduction and economic transformation</w:t>
      </w:r>
    </w:p>
    <w:p w:rsidR="003A5A07" w:rsidRPr="00B06331" w:rsidRDefault="003A5A07" w:rsidP="003A5A07">
      <w:pPr>
        <w:spacing w:after="0"/>
        <w:rPr>
          <w:rFonts w:ascii="Avenir Book" w:hAnsi="Avenir Book"/>
          <w:b/>
          <w:szCs w:val="24"/>
        </w:rPr>
      </w:pPr>
      <w:r w:rsidRPr="00B06331">
        <w:rPr>
          <w:rFonts w:ascii="Avenir Book" w:hAnsi="Avenir Book"/>
          <w:b/>
          <w:szCs w:val="24"/>
        </w:rPr>
        <w:t xml:space="preserve">Table 7.3: Key </w:t>
      </w:r>
      <w:r w:rsidR="003604CF" w:rsidRPr="00B06331">
        <w:rPr>
          <w:rFonts w:ascii="Avenir Book" w:hAnsi="Avenir Book"/>
          <w:b/>
          <w:szCs w:val="24"/>
        </w:rPr>
        <w:t xml:space="preserve">Expected </w:t>
      </w:r>
      <w:r w:rsidRPr="00B06331">
        <w:rPr>
          <w:rFonts w:ascii="Avenir Book" w:hAnsi="Avenir Book"/>
          <w:b/>
          <w:szCs w:val="24"/>
        </w:rPr>
        <w:t xml:space="preserve">Results for </w:t>
      </w:r>
      <w:r w:rsidR="00772C6A" w:rsidRPr="00B06331">
        <w:rPr>
          <w:rFonts w:ascii="Avenir Book" w:hAnsi="Avenir Book"/>
          <w:b/>
          <w:szCs w:val="24"/>
        </w:rPr>
        <w:t xml:space="preserve">Agriculture </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2155"/>
        <w:gridCol w:w="7195"/>
      </w:tblGrid>
      <w:tr w:rsidR="003A5A07" w:rsidRPr="00B06331" w:rsidTr="003604CF">
        <w:tc>
          <w:tcPr>
            <w:tcW w:w="2155" w:type="dxa"/>
            <w:tcBorders>
              <w:top w:val="single" w:sz="4" w:space="0" w:color="4472C4" w:themeColor="accent1"/>
              <w:left w:val="single" w:sz="4" w:space="0" w:color="4472C4" w:themeColor="accent1"/>
              <w:bottom w:val="single" w:sz="4" w:space="0" w:color="4472C4" w:themeColor="accent1"/>
              <w:right w:val="nil"/>
            </w:tcBorders>
            <w:shd w:val="clear" w:color="auto" w:fill="4472C4"/>
          </w:tcPr>
          <w:p w:rsidR="003A5A07" w:rsidRPr="00B06331" w:rsidRDefault="003A5A07" w:rsidP="003604CF">
            <w:pPr>
              <w:spacing w:after="0"/>
              <w:rPr>
                <w:rFonts w:ascii="Avenir Book" w:hAnsi="Avenir Book"/>
                <w:b/>
                <w:bCs/>
                <w:color w:val="FFFFFF"/>
                <w:szCs w:val="24"/>
              </w:rPr>
            </w:pPr>
            <w:r w:rsidRPr="00B06331">
              <w:rPr>
                <w:rFonts w:ascii="Avenir Book" w:hAnsi="Avenir Book"/>
                <w:b/>
                <w:bCs/>
                <w:color w:val="FFFFFF"/>
                <w:szCs w:val="24"/>
              </w:rPr>
              <w:t>Results Area</w:t>
            </w:r>
          </w:p>
        </w:tc>
        <w:tc>
          <w:tcPr>
            <w:tcW w:w="7195" w:type="dxa"/>
            <w:tcBorders>
              <w:top w:val="single" w:sz="4" w:space="0" w:color="4472C4" w:themeColor="accent1"/>
              <w:left w:val="nil"/>
              <w:bottom w:val="single" w:sz="4" w:space="0" w:color="4472C4" w:themeColor="accent1"/>
              <w:right w:val="single" w:sz="4" w:space="0" w:color="4472C4" w:themeColor="accent1"/>
            </w:tcBorders>
            <w:shd w:val="clear" w:color="auto" w:fill="4472C4"/>
          </w:tcPr>
          <w:p w:rsidR="003A5A07" w:rsidRPr="00B06331" w:rsidRDefault="003A5A07" w:rsidP="003604CF">
            <w:pPr>
              <w:spacing w:after="0"/>
              <w:rPr>
                <w:rFonts w:ascii="Avenir Book" w:hAnsi="Avenir Book"/>
                <w:b/>
                <w:bCs/>
                <w:color w:val="FFFFFF"/>
                <w:szCs w:val="24"/>
              </w:rPr>
            </w:pPr>
            <w:r w:rsidRPr="00B06331">
              <w:rPr>
                <w:rFonts w:ascii="Avenir Book" w:hAnsi="Avenir Book"/>
                <w:b/>
                <w:bCs/>
                <w:color w:val="FFFFFF"/>
                <w:szCs w:val="24"/>
              </w:rPr>
              <w:t>Key Results</w:t>
            </w:r>
          </w:p>
        </w:tc>
      </w:tr>
      <w:tr w:rsidR="003A5A07" w:rsidRPr="00B06331" w:rsidTr="003604CF">
        <w:tc>
          <w:tcPr>
            <w:tcW w:w="2155" w:type="dxa"/>
            <w:shd w:val="clear" w:color="auto" w:fill="D9E2F3"/>
          </w:tcPr>
          <w:p w:rsidR="003A5A07" w:rsidRPr="00B06331" w:rsidRDefault="003A5A07" w:rsidP="003604CF">
            <w:pPr>
              <w:spacing w:after="0"/>
              <w:rPr>
                <w:rFonts w:ascii="Avenir Book" w:hAnsi="Avenir Book"/>
                <w:b/>
                <w:bCs/>
                <w:sz w:val="20"/>
                <w:szCs w:val="24"/>
              </w:rPr>
            </w:pPr>
            <w:r w:rsidRPr="00B06331">
              <w:rPr>
                <w:rFonts w:ascii="Avenir Book" w:hAnsi="Avenir Book"/>
                <w:b/>
                <w:bCs/>
                <w:sz w:val="20"/>
                <w:szCs w:val="24"/>
              </w:rPr>
              <w:t xml:space="preserve">Legislation and Policies </w:t>
            </w:r>
          </w:p>
          <w:p w:rsidR="003A5A07" w:rsidRPr="00B06331" w:rsidRDefault="003A5A07" w:rsidP="003604CF">
            <w:pPr>
              <w:spacing w:after="0"/>
              <w:rPr>
                <w:rFonts w:ascii="Avenir Book" w:hAnsi="Avenir Book"/>
                <w:b/>
                <w:bCs/>
                <w:szCs w:val="24"/>
              </w:rPr>
            </w:pPr>
          </w:p>
        </w:tc>
        <w:tc>
          <w:tcPr>
            <w:tcW w:w="7195" w:type="dxa"/>
            <w:shd w:val="clear" w:color="auto" w:fill="D9E2F3"/>
          </w:tcPr>
          <w:p w:rsidR="003A5A07" w:rsidRPr="00B06331" w:rsidRDefault="003A5A07" w:rsidP="004143E3">
            <w:pPr>
              <w:numPr>
                <w:ilvl w:val="0"/>
                <w:numId w:val="66"/>
              </w:numPr>
              <w:spacing w:after="0"/>
              <w:rPr>
                <w:rFonts w:ascii="Avenir Book" w:hAnsi="Avenir Book"/>
                <w:sz w:val="20"/>
              </w:rPr>
            </w:pPr>
            <w:r w:rsidRPr="00B06331">
              <w:rPr>
                <w:rFonts w:ascii="Avenir Book" w:hAnsi="Avenir Book"/>
                <w:sz w:val="20"/>
              </w:rPr>
              <w:t xml:space="preserve">A revised agricultural sector policy; </w:t>
            </w:r>
          </w:p>
          <w:p w:rsidR="003A5A07" w:rsidRPr="00B06331" w:rsidRDefault="003A5A07" w:rsidP="004143E3">
            <w:pPr>
              <w:numPr>
                <w:ilvl w:val="0"/>
                <w:numId w:val="66"/>
              </w:numPr>
              <w:spacing w:after="0"/>
              <w:rPr>
                <w:rFonts w:ascii="Avenir Book" w:hAnsi="Avenir Book"/>
                <w:sz w:val="20"/>
              </w:rPr>
            </w:pPr>
            <w:r w:rsidRPr="00B06331">
              <w:rPr>
                <w:rFonts w:ascii="Avenir Book" w:hAnsi="Avenir Book"/>
                <w:sz w:val="20"/>
              </w:rPr>
              <w:t>sub-sectors with costed strategic plans increased from 20% to 100%;</w:t>
            </w:r>
          </w:p>
          <w:p w:rsidR="003A5A07" w:rsidRPr="00B06331" w:rsidRDefault="003A5A07" w:rsidP="004143E3">
            <w:pPr>
              <w:numPr>
                <w:ilvl w:val="0"/>
                <w:numId w:val="66"/>
              </w:numPr>
              <w:spacing w:after="0"/>
              <w:rPr>
                <w:rFonts w:ascii="Avenir Book" w:hAnsi="Avenir Book"/>
                <w:sz w:val="20"/>
              </w:rPr>
            </w:pPr>
            <w:r w:rsidRPr="00B06331">
              <w:rPr>
                <w:rFonts w:ascii="Avenir Book" w:hAnsi="Avenir Book"/>
                <w:sz w:val="20"/>
              </w:rPr>
              <w:t xml:space="preserve">An animal health Act;  </w:t>
            </w:r>
          </w:p>
          <w:p w:rsidR="003A5A07" w:rsidRPr="00B06331" w:rsidRDefault="003A5A07" w:rsidP="004143E3">
            <w:pPr>
              <w:numPr>
                <w:ilvl w:val="0"/>
                <w:numId w:val="66"/>
              </w:numPr>
              <w:spacing w:after="0"/>
              <w:rPr>
                <w:rFonts w:ascii="Avenir Book" w:hAnsi="Avenir Book"/>
                <w:b/>
                <w:szCs w:val="24"/>
              </w:rPr>
            </w:pPr>
            <w:r w:rsidRPr="00B06331">
              <w:rPr>
                <w:rFonts w:ascii="Avenir Book" w:hAnsi="Avenir Book"/>
                <w:sz w:val="20"/>
              </w:rPr>
              <w:t>A Phytosanitary Act</w:t>
            </w:r>
            <w:r w:rsidRPr="00B06331">
              <w:rPr>
                <w:rFonts w:ascii="Avenir Book" w:hAnsi="Avenir Book"/>
                <w:sz w:val="20"/>
              </w:rPr>
              <w:tab/>
            </w:r>
          </w:p>
        </w:tc>
      </w:tr>
      <w:tr w:rsidR="003A5A07" w:rsidRPr="00B06331" w:rsidTr="003604CF">
        <w:tc>
          <w:tcPr>
            <w:tcW w:w="2155" w:type="dxa"/>
            <w:shd w:val="clear" w:color="auto" w:fill="auto"/>
          </w:tcPr>
          <w:p w:rsidR="003A5A07" w:rsidRPr="00B06331" w:rsidRDefault="003A5A07" w:rsidP="003604CF">
            <w:pPr>
              <w:spacing w:after="0"/>
              <w:rPr>
                <w:rFonts w:ascii="Avenir Book" w:hAnsi="Avenir Book"/>
                <w:b/>
                <w:bCs/>
                <w:szCs w:val="24"/>
              </w:rPr>
            </w:pPr>
            <w:r w:rsidRPr="00B06331">
              <w:rPr>
                <w:rFonts w:ascii="Avenir Book" w:hAnsi="Avenir Book"/>
                <w:b/>
                <w:bCs/>
                <w:sz w:val="20"/>
              </w:rPr>
              <w:t>Value Chain Development and Agricultural Commercialization</w:t>
            </w:r>
          </w:p>
        </w:tc>
        <w:tc>
          <w:tcPr>
            <w:tcW w:w="7195" w:type="dxa"/>
            <w:shd w:val="clear" w:color="auto" w:fill="auto"/>
          </w:tcPr>
          <w:p w:rsidR="003A5A07" w:rsidRPr="00B06331" w:rsidRDefault="003A5A07" w:rsidP="004143E3">
            <w:pPr>
              <w:pStyle w:val="ListParagraph"/>
              <w:numPr>
                <w:ilvl w:val="0"/>
                <w:numId w:val="37"/>
              </w:numPr>
              <w:spacing w:after="0"/>
              <w:rPr>
                <w:rFonts w:ascii="Avenir Book" w:hAnsi="Avenir Book"/>
                <w:sz w:val="20"/>
              </w:rPr>
            </w:pPr>
            <w:r w:rsidRPr="00B06331">
              <w:rPr>
                <w:rFonts w:ascii="Avenir Book" w:hAnsi="Avenir Book"/>
                <w:sz w:val="20"/>
              </w:rPr>
              <w:t>For agro-processed products by type (000’ Mt):</w:t>
            </w:r>
          </w:p>
          <w:p w:rsidR="003A5A07" w:rsidRPr="00B06331" w:rsidRDefault="003A5A07" w:rsidP="004143E3">
            <w:pPr>
              <w:pStyle w:val="ListParagraph"/>
              <w:numPr>
                <w:ilvl w:val="0"/>
                <w:numId w:val="39"/>
              </w:numPr>
              <w:spacing w:after="0"/>
              <w:rPr>
                <w:rFonts w:ascii="Avenir Book" w:hAnsi="Avenir Book"/>
                <w:sz w:val="20"/>
              </w:rPr>
            </w:pPr>
            <w:r w:rsidRPr="00B06331">
              <w:rPr>
                <w:rFonts w:ascii="Avenir Book" w:hAnsi="Avenir Book"/>
                <w:sz w:val="20"/>
              </w:rPr>
              <w:t xml:space="preserve">Increase Fruits production from </w:t>
            </w:r>
            <w:r w:rsidR="003604CF" w:rsidRPr="00B06331">
              <w:rPr>
                <w:rFonts w:ascii="Avenir Book" w:hAnsi="Avenir Book"/>
                <w:sz w:val="20"/>
              </w:rPr>
              <w:t>XXX (</w:t>
            </w:r>
            <w:r w:rsidRPr="00B06331">
              <w:rPr>
                <w:rFonts w:ascii="Avenir Book" w:hAnsi="Avenir Book"/>
                <w:sz w:val="20"/>
              </w:rPr>
              <w:t>000’ Mt) to (</w:t>
            </w:r>
            <w:r w:rsidR="003604CF" w:rsidRPr="00B06331">
              <w:rPr>
                <w:rFonts w:ascii="Avenir Book" w:hAnsi="Avenir Book"/>
                <w:sz w:val="20"/>
              </w:rPr>
              <w:t>TBD) (</w:t>
            </w:r>
            <w:r w:rsidRPr="00B06331">
              <w:rPr>
                <w:rFonts w:ascii="Avenir Book" w:hAnsi="Avenir Book"/>
                <w:sz w:val="20"/>
              </w:rPr>
              <w:t>000’ Mt)</w:t>
            </w:r>
          </w:p>
          <w:p w:rsidR="003A5A07" w:rsidRPr="00B06331" w:rsidRDefault="003A5A07" w:rsidP="004143E3">
            <w:pPr>
              <w:pStyle w:val="ListParagraph"/>
              <w:numPr>
                <w:ilvl w:val="0"/>
                <w:numId w:val="39"/>
              </w:numPr>
              <w:spacing w:after="0"/>
              <w:rPr>
                <w:rFonts w:ascii="Avenir Book" w:hAnsi="Avenir Book"/>
                <w:sz w:val="20"/>
              </w:rPr>
            </w:pPr>
            <w:r w:rsidRPr="00B06331">
              <w:rPr>
                <w:rFonts w:ascii="Avenir Book" w:hAnsi="Avenir Book"/>
                <w:sz w:val="20"/>
              </w:rPr>
              <w:t>Increase Vegetable production from 34 (000’ Mt) to 50 (000’ Mt)</w:t>
            </w:r>
          </w:p>
          <w:p w:rsidR="003A5A07" w:rsidRPr="00B06331" w:rsidRDefault="003A5A07" w:rsidP="004143E3">
            <w:pPr>
              <w:pStyle w:val="ListParagraph"/>
              <w:numPr>
                <w:ilvl w:val="0"/>
                <w:numId w:val="39"/>
              </w:numPr>
              <w:spacing w:after="0"/>
              <w:rPr>
                <w:rFonts w:ascii="Avenir Book" w:hAnsi="Avenir Book"/>
                <w:sz w:val="20"/>
              </w:rPr>
            </w:pPr>
            <w:r w:rsidRPr="00B06331">
              <w:rPr>
                <w:rFonts w:ascii="Avenir Book" w:hAnsi="Avenir Book"/>
                <w:sz w:val="20"/>
              </w:rPr>
              <w:t>Increase Dairy production from 0.811 (000’ Mt) to 30 (000’ Mt)</w:t>
            </w:r>
          </w:p>
          <w:p w:rsidR="003A5A07" w:rsidRPr="00B06331" w:rsidRDefault="003A5A07" w:rsidP="004143E3">
            <w:pPr>
              <w:pStyle w:val="ListParagraph"/>
              <w:numPr>
                <w:ilvl w:val="0"/>
                <w:numId w:val="39"/>
              </w:numPr>
              <w:spacing w:after="0"/>
              <w:rPr>
                <w:rFonts w:ascii="Avenir Book" w:hAnsi="Avenir Book"/>
                <w:sz w:val="20"/>
              </w:rPr>
            </w:pPr>
            <w:r w:rsidRPr="00B06331">
              <w:rPr>
                <w:rFonts w:ascii="Avenir Book" w:hAnsi="Avenir Book"/>
                <w:sz w:val="20"/>
              </w:rPr>
              <w:t>Increase Honey production from 5 (000’ Mt) to 6.5 (000’ Mt)</w:t>
            </w:r>
          </w:p>
          <w:p w:rsidR="003A5A07" w:rsidRPr="00B06331" w:rsidRDefault="003A5A07" w:rsidP="004143E3">
            <w:pPr>
              <w:pStyle w:val="ListParagraph"/>
              <w:numPr>
                <w:ilvl w:val="0"/>
                <w:numId w:val="38"/>
              </w:numPr>
              <w:spacing w:after="0"/>
              <w:rPr>
                <w:rFonts w:ascii="Avenir Book" w:hAnsi="Avenir Book"/>
                <w:sz w:val="20"/>
              </w:rPr>
            </w:pPr>
            <w:r w:rsidRPr="00B06331">
              <w:rPr>
                <w:rFonts w:ascii="Avenir Book" w:hAnsi="Avenir Book"/>
                <w:sz w:val="20"/>
              </w:rPr>
              <w:t xml:space="preserve">Increase % of farmers graduating into commercial farming </w:t>
            </w:r>
            <w:r w:rsidR="006F3A32" w:rsidRPr="00B06331">
              <w:rPr>
                <w:rFonts w:ascii="Avenir Book" w:hAnsi="Avenir Book"/>
                <w:sz w:val="20"/>
              </w:rPr>
              <w:t>from XXX% to X</w:t>
            </w:r>
          </w:p>
        </w:tc>
      </w:tr>
      <w:tr w:rsidR="003A5A07" w:rsidRPr="00B06331" w:rsidTr="003604CF">
        <w:tc>
          <w:tcPr>
            <w:tcW w:w="2155" w:type="dxa"/>
            <w:shd w:val="clear" w:color="auto" w:fill="D9E2F3"/>
          </w:tcPr>
          <w:p w:rsidR="003A5A07" w:rsidRPr="00B06331" w:rsidRDefault="003A5A07" w:rsidP="003604CF">
            <w:pPr>
              <w:spacing w:after="0"/>
              <w:rPr>
                <w:rFonts w:ascii="Avenir Book" w:hAnsi="Avenir Book"/>
                <w:b/>
                <w:bCs/>
                <w:szCs w:val="24"/>
              </w:rPr>
            </w:pPr>
            <w:r w:rsidRPr="00B06331">
              <w:rPr>
                <w:rFonts w:ascii="Avenir Book" w:hAnsi="Avenir Book"/>
                <w:b/>
                <w:bCs/>
                <w:sz w:val="20"/>
              </w:rPr>
              <w:t>Basic Agricultural Crop Commodities</w:t>
            </w:r>
          </w:p>
        </w:tc>
        <w:tc>
          <w:tcPr>
            <w:tcW w:w="7195" w:type="dxa"/>
            <w:shd w:val="clear" w:color="auto" w:fill="D9E2F3"/>
          </w:tcPr>
          <w:p w:rsidR="003A5A07" w:rsidRPr="00B06331" w:rsidRDefault="003A5A07" w:rsidP="004143E3">
            <w:pPr>
              <w:pStyle w:val="ListParagraph"/>
              <w:numPr>
                <w:ilvl w:val="0"/>
                <w:numId w:val="38"/>
              </w:numPr>
              <w:spacing w:after="0"/>
              <w:rPr>
                <w:rFonts w:ascii="Avenir Book" w:hAnsi="Avenir Book"/>
                <w:sz w:val="20"/>
              </w:rPr>
            </w:pPr>
            <w:r w:rsidRPr="00B06331">
              <w:rPr>
                <w:rFonts w:ascii="Avenir Book" w:hAnsi="Avenir Book"/>
                <w:sz w:val="20"/>
              </w:rPr>
              <w:t>Reduce % of post-harvest losses in major crops (cereal) from 30% to 20%</w:t>
            </w:r>
          </w:p>
          <w:p w:rsidR="003A5A07" w:rsidRPr="00B06331" w:rsidRDefault="003A5A07" w:rsidP="004143E3">
            <w:pPr>
              <w:pStyle w:val="ListParagraph"/>
              <w:numPr>
                <w:ilvl w:val="0"/>
                <w:numId w:val="38"/>
              </w:numPr>
              <w:spacing w:after="0"/>
              <w:rPr>
                <w:rFonts w:ascii="Avenir Book" w:hAnsi="Avenir Book"/>
                <w:sz w:val="20"/>
              </w:rPr>
            </w:pPr>
            <w:r w:rsidRPr="00B06331">
              <w:rPr>
                <w:rFonts w:ascii="Avenir Book" w:hAnsi="Avenir Book"/>
                <w:sz w:val="20"/>
              </w:rPr>
              <w:t xml:space="preserve">Increase production of basic agricultural commodities for enhanced food and nutrition security as follows:  </w:t>
            </w:r>
          </w:p>
          <w:p w:rsidR="003A5A07" w:rsidRPr="00B06331" w:rsidRDefault="003A5A07" w:rsidP="004143E3">
            <w:pPr>
              <w:pStyle w:val="ListParagraph"/>
              <w:numPr>
                <w:ilvl w:val="0"/>
                <w:numId w:val="40"/>
              </w:numPr>
              <w:spacing w:after="0"/>
              <w:rPr>
                <w:rFonts w:ascii="Avenir Book" w:hAnsi="Avenir Book"/>
                <w:sz w:val="20"/>
              </w:rPr>
            </w:pPr>
            <w:r w:rsidRPr="00B06331">
              <w:rPr>
                <w:rFonts w:ascii="Avenir Book" w:hAnsi="Avenir Book"/>
                <w:sz w:val="20"/>
              </w:rPr>
              <w:t xml:space="preserve">Increase Maize production from </w:t>
            </w:r>
            <w:r w:rsidR="003604CF" w:rsidRPr="00B06331">
              <w:rPr>
                <w:rFonts w:ascii="Avenir Book" w:hAnsi="Avenir Book"/>
                <w:sz w:val="20"/>
              </w:rPr>
              <w:t>38 (</w:t>
            </w:r>
            <w:r w:rsidRPr="00B06331">
              <w:rPr>
                <w:rFonts w:ascii="Avenir Book" w:hAnsi="Avenir Book"/>
                <w:sz w:val="20"/>
              </w:rPr>
              <w:t xml:space="preserve">000’ Mt) to </w:t>
            </w:r>
            <w:r w:rsidR="003604CF" w:rsidRPr="00B06331">
              <w:rPr>
                <w:rFonts w:ascii="Avenir Book" w:hAnsi="Avenir Book"/>
                <w:sz w:val="20"/>
              </w:rPr>
              <w:t>43 (</w:t>
            </w:r>
            <w:r w:rsidRPr="00B06331">
              <w:rPr>
                <w:rFonts w:ascii="Avenir Book" w:hAnsi="Avenir Book"/>
                <w:sz w:val="20"/>
              </w:rPr>
              <w:t>000’ Mt)</w:t>
            </w:r>
          </w:p>
          <w:p w:rsidR="003A5A07" w:rsidRPr="00B06331" w:rsidRDefault="003A5A07" w:rsidP="004143E3">
            <w:pPr>
              <w:pStyle w:val="ListParagraph"/>
              <w:numPr>
                <w:ilvl w:val="0"/>
                <w:numId w:val="40"/>
              </w:numPr>
              <w:spacing w:after="0"/>
              <w:rPr>
                <w:rFonts w:ascii="Avenir Book" w:hAnsi="Avenir Book"/>
                <w:sz w:val="20"/>
              </w:rPr>
            </w:pPr>
            <w:r w:rsidRPr="00B06331">
              <w:rPr>
                <w:rFonts w:ascii="Avenir Book" w:hAnsi="Avenir Book"/>
                <w:sz w:val="20"/>
              </w:rPr>
              <w:t xml:space="preserve">Increase Groundnut production from 89 (000’ Mt) to </w:t>
            </w:r>
            <w:r w:rsidR="003604CF" w:rsidRPr="00B06331">
              <w:rPr>
                <w:rFonts w:ascii="Avenir Book" w:hAnsi="Avenir Book"/>
                <w:sz w:val="20"/>
              </w:rPr>
              <w:t>100 (</w:t>
            </w:r>
            <w:r w:rsidRPr="00B06331">
              <w:rPr>
                <w:rFonts w:ascii="Avenir Book" w:hAnsi="Avenir Book"/>
                <w:sz w:val="20"/>
              </w:rPr>
              <w:t>000’ Mt)</w:t>
            </w:r>
          </w:p>
          <w:p w:rsidR="003A5A07" w:rsidRPr="00B06331" w:rsidRDefault="003A5A07" w:rsidP="004143E3">
            <w:pPr>
              <w:pStyle w:val="ListParagraph"/>
              <w:numPr>
                <w:ilvl w:val="0"/>
                <w:numId w:val="40"/>
              </w:numPr>
              <w:spacing w:after="0"/>
              <w:rPr>
                <w:rFonts w:ascii="Avenir Book" w:hAnsi="Avenir Book"/>
                <w:sz w:val="20"/>
              </w:rPr>
            </w:pPr>
            <w:r w:rsidRPr="00B06331">
              <w:rPr>
                <w:rFonts w:ascii="Avenir Book" w:hAnsi="Avenir Book"/>
                <w:sz w:val="20"/>
              </w:rPr>
              <w:t xml:space="preserve">Increase Rice production from 69 (000’ Mt) to </w:t>
            </w:r>
            <w:r w:rsidR="003604CF" w:rsidRPr="00B06331">
              <w:rPr>
                <w:rFonts w:ascii="Avenir Book" w:hAnsi="Avenir Book"/>
                <w:sz w:val="20"/>
              </w:rPr>
              <w:t>122 (</w:t>
            </w:r>
            <w:r w:rsidRPr="00B06331">
              <w:rPr>
                <w:rFonts w:ascii="Avenir Book" w:hAnsi="Avenir Book"/>
                <w:sz w:val="20"/>
              </w:rPr>
              <w:t>000’ Mt)</w:t>
            </w:r>
          </w:p>
          <w:p w:rsidR="003A5A07" w:rsidRPr="00B06331" w:rsidRDefault="003A5A07" w:rsidP="004143E3">
            <w:pPr>
              <w:pStyle w:val="ListParagraph"/>
              <w:numPr>
                <w:ilvl w:val="0"/>
                <w:numId w:val="40"/>
              </w:numPr>
              <w:spacing w:after="0"/>
              <w:rPr>
                <w:rFonts w:ascii="Avenir Book" w:hAnsi="Avenir Book"/>
                <w:sz w:val="20"/>
              </w:rPr>
            </w:pPr>
            <w:r w:rsidRPr="00B06331">
              <w:rPr>
                <w:rFonts w:ascii="Avenir Book" w:hAnsi="Avenir Book"/>
                <w:sz w:val="20"/>
              </w:rPr>
              <w:t>Increase Onion production from 6 (000’ Mt) to 19 (000’ Mt)</w:t>
            </w:r>
          </w:p>
          <w:p w:rsidR="003A5A07" w:rsidRPr="00B06331" w:rsidRDefault="003A5A07" w:rsidP="004143E3">
            <w:pPr>
              <w:pStyle w:val="ListParagraph"/>
              <w:numPr>
                <w:ilvl w:val="0"/>
                <w:numId w:val="40"/>
              </w:numPr>
              <w:spacing w:after="0"/>
              <w:rPr>
                <w:rFonts w:ascii="Avenir Book" w:hAnsi="Avenir Book"/>
                <w:sz w:val="20"/>
              </w:rPr>
            </w:pPr>
            <w:r w:rsidRPr="00B06331">
              <w:rPr>
                <w:rFonts w:ascii="Avenir Book" w:hAnsi="Avenir Book"/>
                <w:sz w:val="20"/>
              </w:rPr>
              <w:t>Increase Tomato production from 4 (000’ Mt) to 15 (000’ Mt)</w:t>
            </w:r>
          </w:p>
        </w:tc>
      </w:tr>
      <w:tr w:rsidR="003A5A07" w:rsidRPr="00B06331" w:rsidTr="003604CF">
        <w:tc>
          <w:tcPr>
            <w:tcW w:w="2155" w:type="dxa"/>
            <w:shd w:val="clear" w:color="auto" w:fill="auto"/>
          </w:tcPr>
          <w:p w:rsidR="003A5A07" w:rsidRPr="00B06331" w:rsidRDefault="003A5A07" w:rsidP="003604CF">
            <w:pPr>
              <w:pStyle w:val="ListParagraph"/>
              <w:spacing w:after="0"/>
              <w:ind w:left="0"/>
              <w:rPr>
                <w:rFonts w:ascii="Avenir Book" w:hAnsi="Avenir Book"/>
                <w:b/>
                <w:bCs/>
                <w:sz w:val="20"/>
              </w:rPr>
            </w:pPr>
            <w:r w:rsidRPr="00B06331">
              <w:rPr>
                <w:rFonts w:ascii="Avenir Book" w:hAnsi="Avenir Book"/>
                <w:b/>
                <w:bCs/>
                <w:sz w:val="20"/>
              </w:rPr>
              <w:t>Livestock Production and Animal Products</w:t>
            </w:r>
          </w:p>
          <w:p w:rsidR="003A5A07" w:rsidRPr="00B06331" w:rsidRDefault="003A5A07" w:rsidP="003604CF">
            <w:pPr>
              <w:spacing w:after="0"/>
              <w:rPr>
                <w:rFonts w:ascii="Avenir Book" w:hAnsi="Avenir Book"/>
                <w:b/>
                <w:bCs/>
                <w:szCs w:val="24"/>
              </w:rPr>
            </w:pPr>
          </w:p>
        </w:tc>
        <w:tc>
          <w:tcPr>
            <w:tcW w:w="7195" w:type="dxa"/>
            <w:shd w:val="clear" w:color="auto" w:fill="auto"/>
          </w:tcPr>
          <w:p w:rsidR="003A5A07" w:rsidRPr="00B06331" w:rsidRDefault="003A5A07" w:rsidP="004143E3">
            <w:pPr>
              <w:pStyle w:val="ListParagraph"/>
              <w:numPr>
                <w:ilvl w:val="0"/>
                <w:numId w:val="41"/>
              </w:numPr>
              <w:spacing w:after="0"/>
              <w:rPr>
                <w:rFonts w:ascii="Avenir Book" w:hAnsi="Avenir Book"/>
                <w:sz w:val="20"/>
              </w:rPr>
            </w:pPr>
            <w:r w:rsidRPr="00B06331">
              <w:rPr>
                <w:rFonts w:ascii="Avenir Book" w:hAnsi="Avenir Book"/>
                <w:sz w:val="20"/>
              </w:rPr>
              <w:t>Increase livestock production for food self-sufficiency in animal and animal products- Volume of total production by commodity (000’ Mt)</w:t>
            </w:r>
          </w:p>
          <w:p w:rsidR="003A5A07" w:rsidRPr="00B06331" w:rsidRDefault="003A5A07" w:rsidP="004143E3">
            <w:pPr>
              <w:pStyle w:val="ListParagraph"/>
              <w:numPr>
                <w:ilvl w:val="0"/>
                <w:numId w:val="42"/>
              </w:numPr>
              <w:spacing w:after="0"/>
              <w:rPr>
                <w:rFonts w:ascii="Avenir Book" w:hAnsi="Avenir Book"/>
                <w:sz w:val="20"/>
              </w:rPr>
            </w:pPr>
            <w:r w:rsidRPr="00B06331">
              <w:rPr>
                <w:rFonts w:ascii="Avenir Book" w:hAnsi="Avenir Book"/>
                <w:sz w:val="20"/>
              </w:rPr>
              <w:t xml:space="preserve">Increase Cattle production from 4931 (56%)(000’ Mt) to </w:t>
            </w:r>
            <w:r w:rsidR="003604CF" w:rsidRPr="00B06331">
              <w:rPr>
                <w:rFonts w:ascii="Avenir Book" w:hAnsi="Avenir Book"/>
                <w:sz w:val="20"/>
              </w:rPr>
              <w:t>5670 (</w:t>
            </w:r>
            <w:r w:rsidRPr="00B06331">
              <w:rPr>
                <w:rFonts w:ascii="Avenir Book" w:hAnsi="Avenir Book"/>
                <w:sz w:val="20"/>
              </w:rPr>
              <w:t>000’ Mt)</w:t>
            </w:r>
          </w:p>
          <w:p w:rsidR="003A5A07" w:rsidRPr="00B06331" w:rsidRDefault="003A5A07" w:rsidP="004143E3">
            <w:pPr>
              <w:pStyle w:val="ListParagraph"/>
              <w:numPr>
                <w:ilvl w:val="0"/>
                <w:numId w:val="42"/>
              </w:numPr>
              <w:spacing w:after="0"/>
              <w:rPr>
                <w:rFonts w:ascii="Avenir Book" w:hAnsi="Avenir Book"/>
                <w:sz w:val="20"/>
              </w:rPr>
            </w:pPr>
            <w:r w:rsidRPr="00B06331">
              <w:rPr>
                <w:rFonts w:ascii="Avenir Book" w:hAnsi="Avenir Book"/>
                <w:sz w:val="20"/>
              </w:rPr>
              <w:t>Increase sheep production from 449 (5%) (000’ Mt) to 750 (000’ Mt)</w:t>
            </w:r>
          </w:p>
          <w:p w:rsidR="003A5A07" w:rsidRPr="00B06331" w:rsidRDefault="003A5A07" w:rsidP="004143E3">
            <w:pPr>
              <w:pStyle w:val="ListParagraph"/>
              <w:numPr>
                <w:ilvl w:val="0"/>
                <w:numId w:val="42"/>
              </w:numPr>
              <w:spacing w:after="0"/>
              <w:rPr>
                <w:rFonts w:ascii="Avenir Book" w:hAnsi="Avenir Book"/>
                <w:sz w:val="20"/>
              </w:rPr>
            </w:pPr>
            <w:r w:rsidRPr="00B06331">
              <w:rPr>
                <w:rFonts w:ascii="Avenir Book" w:hAnsi="Avenir Book"/>
                <w:sz w:val="20"/>
              </w:rPr>
              <w:t>Increase Goat production from 988 (11%) (000’ Mt) to 1600 (000’ Mt)</w:t>
            </w:r>
          </w:p>
          <w:p w:rsidR="003A5A07" w:rsidRPr="00B06331" w:rsidRDefault="003A5A07" w:rsidP="004143E3">
            <w:pPr>
              <w:pStyle w:val="ListParagraph"/>
              <w:numPr>
                <w:ilvl w:val="0"/>
                <w:numId w:val="42"/>
              </w:numPr>
              <w:spacing w:after="0"/>
              <w:rPr>
                <w:rFonts w:ascii="Avenir Book" w:hAnsi="Avenir Book"/>
                <w:sz w:val="20"/>
              </w:rPr>
            </w:pPr>
            <w:r w:rsidRPr="00B06331">
              <w:rPr>
                <w:rFonts w:ascii="Avenir Book" w:hAnsi="Avenir Book"/>
                <w:sz w:val="20"/>
              </w:rPr>
              <w:t>Increase Pigs production from 1166 (13%) (000’ Mt) to 1400 (000’ Mt)</w:t>
            </w:r>
          </w:p>
          <w:p w:rsidR="003A5A07" w:rsidRPr="00B06331" w:rsidRDefault="003A5A07" w:rsidP="004143E3">
            <w:pPr>
              <w:pStyle w:val="ListParagraph"/>
              <w:numPr>
                <w:ilvl w:val="0"/>
                <w:numId w:val="42"/>
              </w:numPr>
              <w:spacing w:after="0"/>
              <w:rPr>
                <w:rFonts w:ascii="Avenir Book" w:hAnsi="Avenir Book"/>
                <w:sz w:val="20"/>
              </w:rPr>
            </w:pPr>
            <w:r w:rsidRPr="00B06331">
              <w:rPr>
                <w:rFonts w:ascii="Avenir Book" w:hAnsi="Avenir Book"/>
                <w:sz w:val="20"/>
              </w:rPr>
              <w:t xml:space="preserve">Increase Poultry (Local from 720(8%) to 1200; Broiler from 562(6%) to 1150) </w:t>
            </w:r>
          </w:p>
          <w:p w:rsidR="003A5A07" w:rsidRPr="00B06331" w:rsidRDefault="003A5A07" w:rsidP="004143E3">
            <w:pPr>
              <w:pStyle w:val="ListParagraph"/>
              <w:numPr>
                <w:ilvl w:val="0"/>
                <w:numId w:val="43"/>
              </w:numPr>
              <w:spacing w:after="0"/>
              <w:rPr>
                <w:rFonts w:ascii="Avenir Book" w:hAnsi="Avenir Book"/>
                <w:sz w:val="20"/>
              </w:rPr>
            </w:pPr>
            <w:r w:rsidRPr="00B06331">
              <w:rPr>
                <w:rFonts w:ascii="Avenir Book" w:hAnsi="Avenir Book"/>
                <w:sz w:val="20"/>
              </w:rPr>
              <w:t xml:space="preserve">Increase Off-take rate by animal species as follows: </w:t>
            </w:r>
          </w:p>
          <w:p w:rsidR="003A5A07" w:rsidRPr="00B06331" w:rsidRDefault="003A5A07" w:rsidP="004143E3">
            <w:pPr>
              <w:pStyle w:val="ListParagraph"/>
              <w:numPr>
                <w:ilvl w:val="1"/>
                <w:numId w:val="44"/>
              </w:numPr>
              <w:spacing w:after="0"/>
              <w:rPr>
                <w:rFonts w:ascii="Avenir Book" w:hAnsi="Avenir Book"/>
                <w:sz w:val="20"/>
              </w:rPr>
            </w:pPr>
            <w:r w:rsidRPr="00B06331">
              <w:rPr>
                <w:rFonts w:ascii="Avenir Book" w:hAnsi="Avenir Book"/>
                <w:sz w:val="20"/>
              </w:rPr>
              <w:t>Cattle from 11.9 to 15.9</w:t>
            </w:r>
          </w:p>
          <w:p w:rsidR="003A5A07" w:rsidRPr="00B06331" w:rsidRDefault="003A5A07" w:rsidP="004143E3">
            <w:pPr>
              <w:pStyle w:val="ListParagraph"/>
              <w:numPr>
                <w:ilvl w:val="1"/>
                <w:numId w:val="44"/>
              </w:numPr>
              <w:spacing w:after="0"/>
              <w:rPr>
                <w:rFonts w:ascii="Avenir Book" w:hAnsi="Avenir Book"/>
                <w:sz w:val="20"/>
              </w:rPr>
            </w:pPr>
            <w:r w:rsidRPr="00B06331">
              <w:rPr>
                <w:rFonts w:ascii="Avenir Book" w:hAnsi="Avenir Book"/>
                <w:sz w:val="20"/>
              </w:rPr>
              <w:t>Sheep from 22.3 to 29.8</w:t>
            </w:r>
          </w:p>
          <w:p w:rsidR="003A5A07" w:rsidRPr="00B06331" w:rsidRDefault="003A5A07" w:rsidP="004143E3">
            <w:pPr>
              <w:pStyle w:val="ListParagraph"/>
              <w:numPr>
                <w:ilvl w:val="1"/>
                <w:numId w:val="44"/>
              </w:numPr>
              <w:spacing w:after="0"/>
              <w:rPr>
                <w:rFonts w:ascii="Avenir Book" w:hAnsi="Avenir Book"/>
                <w:sz w:val="20"/>
              </w:rPr>
            </w:pPr>
            <w:r w:rsidRPr="00B06331">
              <w:rPr>
                <w:rFonts w:ascii="Avenir Book" w:hAnsi="Avenir Book"/>
                <w:sz w:val="20"/>
              </w:rPr>
              <w:t>Goat from 25.1 to 33.5</w:t>
            </w:r>
          </w:p>
          <w:p w:rsidR="003A5A07" w:rsidRPr="00B06331" w:rsidRDefault="003A5A07" w:rsidP="004143E3">
            <w:pPr>
              <w:pStyle w:val="ListParagraph"/>
              <w:numPr>
                <w:ilvl w:val="1"/>
                <w:numId w:val="44"/>
              </w:numPr>
              <w:spacing w:after="0"/>
              <w:rPr>
                <w:rFonts w:ascii="Avenir Book" w:hAnsi="Avenir Book"/>
                <w:sz w:val="20"/>
              </w:rPr>
            </w:pPr>
            <w:r w:rsidRPr="00B06331">
              <w:rPr>
                <w:rFonts w:ascii="Avenir Book" w:hAnsi="Avenir Book"/>
                <w:sz w:val="20"/>
              </w:rPr>
              <w:t>Pigs from 50 to 66.8</w:t>
            </w:r>
          </w:p>
          <w:p w:rsidR="003A5A07" w:rsidRPr="00B06331" w:rsidRDefault="003A5A07" w:rsidP="004143E3">
            <w:pPr>
              <w:pStyle w:val="ListParagraph"/>
              <w:numPr>
                <w:ilvl w:val="1"/>
                <w:numId w:val="44"/>
              </w:numPr>
              <w:spacing w:after="0"/>
              <w:rPr>
                <w:rFonts w:ascii="Avenir Book" w:hAnsi="Avenir Book"/>
                <w:sz w:val="20"/>
              </w:rPr>
            </w:pPr>
            <w:r w:rsidRPr="00B06331">
              <w:rPr>
                <w:rFonts w:ascii="Avenir Book" w:hAnsi="Avenir Book"/>
                <w:sz w:val="20"/>
              </w:rPr>
              <w:t xml:space="preserve">Poultry (Local from 40 to53.4; Broiler from 100 to 100) </w:t>
            </w:r>
            <w:r w:rsidRPr="00B06331">
              <w:rPr>
                <w:rFonts w:ascii="Avenir Book" w:hAnsi="Avenir Book"/>
                <w:sz w:val="20"/>
              </w:rPr>
              <w:tab/>
            </w:r>
          </w:p>
          <w:p w:rsidR="003A5A07" w:rsidRPr="00B06331" w:rsidRDefault="003A5A07" w:rsidP="004143E3">
            <w:pPr>
              <w:pStyle w:val="ListParagraph"/>
              <w:numPr>
                <w:ilvl w:val="0"/>
                <w:numId w:val="45"/>
              </w:numPr>
              <w:spacing w:after="0"/>
              <w:rPr>
                <w:rFonts w:ascii="Avenir Book" w:hAnsi="Avenir Book"/>
                <w:sz w:val="20"/>
              </w:rPr>
            </w:pPr>
            <w:r w:rsidRPr="00B06331">
              <w:rPr>
                <w:rFonts w:ascii="Avenir Book" w:hAnsi="Avenir Book"/>
                <w:sz w:val="20"/>
              </w:rPr>
              <w:lastRenderedPageBreak/>
              <w:t xml:space="preserve">Increase Average cattle milk </w:t>
            </w:r>
            <w:r w:rsidR="003604CF" w:rsidRPr="00B06331">
              <w:rPr>
                <w:rFonts w:ascii="Avenir Book" w:hAnsi="Avenir Book"/>
                <w:sz w:val="20"/>
              </w:rPr>
              <w:t>production per</w:t>
            </w:r>
            <w:r w:rsidRPr="00B06331">
              <w:rPr>
                <w:rFonts w:ascii="Avenir Book" w:hAnsi="Avenir Book"/>
                <w:sz w:val="20"/>
              </w:rPr>
              <w:t>/annum from 25,882,650 to 28,470,915 (liters)</w:t>
            </w:r>
          </w:p>
          <w:p w:rsidR="003A5A07" w:rsidRPr="00B06331" w:rsidRDefault="003A5A07" w:rsidP="004143E3">
            <w:pPr>
              <w:pStyle w:val="ListParagraph"/>
              <w:numPr>
                <w:ilvl w:val="0"/>
                <w:numId w:val="45"/>
              </w:numPr>
              <w:spacing w:after="0"/>
              <w:rPr>
                <w:rFonts w:ascii="Avenir Book" w:hAnsi="Avenir Book"/>
                <w:sz w:val="20"/>
              </w:rPr>
            </w:pPr>
            <w:r w:rsidRPr="00B06331">
              <w:rPr>
                <w:rFonts w:ascii="Avenir Book" w:hAnsi="Avenir Book"/>
                <w:sz w:val="20"/>
              </w:rPr>
              <w:t>Inc</w:t>
            </w:r>
            <w:r w:rsidR="003604CF" w:rsidRPr="00B06331">
              <w:rPr>
                <w:rFonts w:ascii="Avenir Book" w:hAnsi="Avenir Book"/>
                <w:sz w:val="20"/>
              </w:rPr>
              <w:t>rease Quantity of eggs produced</w:t>
            </w:r>
            <w:r w:rsidRPr="00B06331">
              <w:rPr>
                <w:rFonts w:ascii="Avenir Book" w:hAnsi="Avenir Book"/>
                <w:sz w:val="20"/>
              </w:rPr>
              <w:t xml:space="preserve"> per/annum from 675 to1,148 (000’Mt)</w:t>
            </w:r>
          </w:p>
        </w:tc>
      </w:tr>
    </w:tbl>
    <w:p w:rsidR="003A5A07" w:rsidRPr="00B06331" w:rsidRDefault="003A5A07" w:rsidP="003A5A07">
      <w:pPr>
        <w:pStyle w:val="ListParagraph"/>
        <w:spacing w:after="0"/>
        <w:ind w:left="0"/>
        <w:rPr>
          <w:rFonts w:ascii="Avenir Book" w:hAnsi="Avenir Book"/>
          <w:sz w:val="20"/>
        </w:rPr>
      </w:pPr>
    </w:p>
    <w:p w:rsidR="003A5A07" w:rsidRPr="00B06331" w:rsidRDefault="006A006A" w:rsidP="003A5A07">
      <w:pPr>
        <w:pStyle w:val="ListParagraph"/>
        <w:spacing w:after="0"/>
        <w:ind w:left="0"/>
        <w:rPr>
          <w:rFonts w:ascii="Avenir Book" w:hAnsi="Avenir Book"/>
          <w:b/>
          <w:i/>
          <w:color w:val="4472C4" w:themeColor="accent1"/>
          <w:sz w:val="20"/>
        </w:rPr>
      </w:pPr>
      <w:r w:rsidRPr="00B06331">
        <w:rPr>
          <w:rFonts w:ascii="Avenir Book" w:hAnsi="Avenir Book"/>
          <w:b/>
          <w:i/>
          <w:color w:val="4472C4" w:themeColor="accent1"/>
          <w:sz w:val="20"/>
        </w:rPr>
        <w:t>Outcome 3.1: Consolidated Agriculture Sector Policy with appropriate sub-sector policies to create an enabling environment for modern, market-led agriculture in place</w:t>
      </w:r>
    </w:p>
    <w:p w:rsidR="003A5A07" w:rsidRPr="00B06331" w:rsidRDefault="003A5A07" w:rsidP="003A5A07">
      <w:pPr>
        <w:pStyle w:val="ListParagraph"/>
        <w:spacing w:after="0"/>
        <w:ind w:left="0"/>
        <w:rPr>
          <w:rFonts w:ascii="Avenir Book" w:hAnsi="Avenir Book"/>
          <w:b/>
          <w:sz w:val="20"/>
        </w:rPr>
      </w:pPr>
    </w:p>
    <w:p w:rsidR="003A5A07" w:rsidRPr="00B06331" w:rsidRDefault="006A006A" w:rsidP="003A5A07">
      <w:pPr>
        <w:spacing w:after="160" w:line="256" w:lineRule="auto"/>
        <w:jc w:val="both"/>
      </w:pPr>
      <w:r w:rsidRPr="00B06331">
        <w:t>A</w:t>
      </w:r>
      <w:r w:rsidR="003A5A07" w:rsidRPr="00B06331">
        <w:t xml:space="preserve"> revised agriculture policy framework is essential to address many of the shortcomings that are contributing to the poor performance of the sector. An updated policy will help government create the needed public goods and services and complement private investments in the sector. In this regard, government will make efforts to improve expenditure prioritization and enhance the efficiency and productivity of public spending on agriculture. </w:t>
      </w:r>
      <w:r w:rsidR="003A5A07" w:rsidRPr="00B06331">
        <w:rPr>
          <w:rFonts w:cs="Calibri"/>
          <w:szCs w:val="24"/>
        </w:rPr>
        <w:t>Government will launch a comprehensive consultative process to develop and validate the new/revised policy and adopt the requisite legislative framework. This will also include development of the appropriate sub-sector policies</w:t>
      </w:r>
    </w:p>
    <w:p w:rsidR="003A5A07" w:rsidRPr="00B06331" w:rsidRDefault="003A5A07" w:rsidP="003A5A07">
      <w:pPr>
        <w:spacing w:after="160" w:line="256" w:lineRule="auto"/>
        <w:jc w:val="both"/>
      </w:pPr>
      <w:r w:rsidRPr="00B06331">
        <w:t>As part of implementation of the new policy, government will adopt a multi-year financial programming, especially a medium-term expenditure framework, to help bring greater predictability in the allocation of budgetary resources to the sector.</w:t>
      </w:r>
    </w:p>
    <w:p w:rsidR="003A5A07" w:rsidRPr="00B06331" w:rsidRDefault="003A5A07" w:rsidP="003A5A07">
      <w:pPr>
        <w:spacing w:after="160" w:line="256" w:lineRule="auto"/>
        <w:jc w:val="both"/>
      </w:pPr>
      <w:r w:rsidRPr="00B06331">
        <w:t>Without adequate institutional and technical capacity, the goal of rapid and sustained agricultural transformation would be difficult to achieve. Government will work to enhance the institutional capacity of the Ministry of Agriculture. In the short-term, focus will be given to: (a) policy analysis entailing tools and expertise in investment and project appraisals; (b) monitoring and evaluation to ensure that projects are having the desired results; and (c) development of agricultural statistics and information to strengthen planning.</w:t>
      </w:r>
    </w:p>
    <w:p w:rsidR="005809EA" w:rsidRPr="00B06331" w:rsidRDefault="005809EA" w:rsidP="003A5A07">
      <w:pPr>
        <w:spacing w:after="160" w:line="256" w:lineRule="auto"/>
        <w:jc w:val="both"/>
      </w:pPr>
      <w:r w:rsidRPr="00B06331">
        <w:t xml:space="preserve">Currently the Gambia is engaged in the “Zero Hunger” strategic review process which aims at examining government approach to food security and nutrition with a view to identifying successes, </w:t>
      </w:r>
      <w:r w:rsidR="00076564" w:rsidRPr="00B06331">
        <w:t>bottlenecks,</w:t>
      </w:r>
      <w:r w:rsidRPr="00B06331">
        <w:t xml:space="preserve"> and opportunities, and on that basis craft strategies to achieve zero hunger by 2030. The results of the review will </w:t>
      </w:r>
      <w:r w:rsidR="00076564" w:rsidRPr="00B06331">
        <w:t xml:space="preserve">provide significant inputs into the sector policy adjustment envisaged under this outcome, and will provide </w:t>
      </w:r>
      <w:r w:rsidRPr="00B06331">
        <w:t xml:space="preserve">baseline </w:t>
      </w:r>
      <w:r w:rsidR="00076564" w:rsidRPr="00B06331">
        <w:t xml:space="preserve">on food and nutrition security in The Gambia. </w:t>
      </w:r>
    </w:p>
    <w:p w:rsidR="006A006A" w:rsidRPr="00B06331" w:rsidRDefault="006A006A" w:rsidP="003A5A07">
      <w:pPr>
        <w:spacing w:after="160" w:line="256" w:lineRule="auto"/>
        <w:jc w:val="both"/>
        <w:rPr>
          <w:rFonts w:cs="Calibri"/>
          <w:b/>
          <w:i/>
          <w:color w:val="4472C4" w:themeColor="accent1"/>
          <w:szCs w:val="24"/>
        </w:rPr>
      </w:pPr>
      <w:r w:rsidRPr="00B06331">
        <w:rPr>
          <w:rFonts w:cs="Calibri"/>
          <w:b/>
          <w:i/>
          <w:color w:val="4472C4" w:themeColor="accent1"/>
          <w:szCs w:val="24"/>
        </w:rPr>
        <w:t>Outcome 3.2: Value chains enhanced for Agriculture and Livestock Transformation</w:t>
      </w:r>
    </w:p>
    <w:p w:rsidR="003A5A07" w:rsidRPr="00B06331" w:rsidRDefault="003A5A07" w:rsidP="003A5A07">
      <w:pPr>
        <w:spacing w:after="160" w:line="256" w:lineRule="auto"/>
        <w:jc w:val="both"/>
        <w:rPr>
          <w:rFonts w:cs="Calibri"/>
          <w:szCs w:val="24"/>
        </w:rPr>
      </w:pPr>
      <w:r w:rsidRPr="00B06331">
        <w:rPr>
          <w:rFonts w:cs="Calibri"/>
          <w:szCs w:val="24"/>
        </w:rPr>
        <w:t>To realize this outcome, measures will be taken to: identify priority value chains in agriculture (crop and Livestock), identify and strengthen the capacities of value chain actors; promote agribusiness and agro-processing, including access to finance; promote a viable agricultural marketing system, including cooperatives and commodities exchange; and adopt and implement quality assurances framework in line with National, Regional, and International standards.</w:t>
      </w:r>
    </w:p>
    <w:p w:rsidR="003A5A07" w:rsidRPr="00B06331" w:rsidRDefault="003A5A07" w:rsidP="003A5A07">
      <w:pPr>
        <w:spacing w:after="160" w:line="256" w:lineRule="auto"/>
        <w:jc w:val="both"/>
        <w:rPr>
          <w:rFonts w:cs="Calibri"/>
          <w:b/>
          <w:i/>
          <w:szCs w:val="24"/>
        </w:rPr>
      </w:pPr>
      <w:r w:rsidRPr="00B06331">
        <w:rPr>
          <w:rFonts w:cs="Calibri"/>
          <w:b/>
          <w:i/>
          <w:szCs w:val="24"/>
        </w:rPr>
        <w:t>Identification of the priority value chains (Crops &amp; livestock)</w:t>
      </w:r>
    </w:p>
    <w:p w:rsidR="003A5A07" w:rsidRPr="00B06331" w:rsidRDefault="003A5A07" w:rsidP="003A5A07">
      <w:pPr>
        <w:jc w:val="both"/>
        <w:rPr>
          <w:rFonts w:cs="Calibri"/>
          <w:szCs w:val="24"/>
        </w:rPr>
      </w:pPr>
      <w:r w:rsidRPr="00B06331">
        <w:rPr>
          <w:rFonts w:cs="Calibri"/>
          <w:b/>
          <w:szCs w:val="24"/>
        </w:rPr>
        <w:t>Poultry and Small ruminant value chains</w:t>
      </w:r>
      <w:r w:rsidRPr="00B06331">
        <w:rPr>
          <w:rFonts w:cs="Calibri"/>
          <w:szCs w:val="24"/>
        </w:rPr>
        <w:t xml:space="preserve"> would be developed in this regard under the plan. Short cycle species are ideal for value chain development. The range of products (milk, eggs and meat) provides opportunity for good nutrition security and employment creation. Currently, production technologies are available and widespread in the country. Women and youth folk are already engaged in either the production or processing of products of these animal species such as sale of milk and milk products, etc. </w:t>
      </w:r>
    </w:p>
    <w:p w:rsidR="003A5A07" w:rsidRPr="00B06331" w:rsidRDefault="003A5A07" w:rsidP="003A5A07">
      <w:pPr>
        <w:jc w:val="both"/>
        <w:rPr>
          <w:rFonts w:cs="Calibri"/>
          <w:szCs w:val="24"/>
        </w:rPr>
      </w:pPr>
      <w:r w:rsidRPr="00B06331">
        <w:rPr>
          <w:rFonts w:cs="Calibri"/>
          <w:b/>
          <w:szCs w:val="24"/>
        </w:rPr>
        <w:lastRenderedPageBreak/>
        <w:t>Crops value chains</w:t>
      </w:r>
      <w:r w:rsidRPr="00B06331">
        <w:rPr>
          <w:rFonts w:cs="Calibri"/>
          <w:szCs w:val="24"/>
        </w:rPr>
        <w:t xml:space="preserve">: emphasis will be given to the development of food and high value crops, upland and tidal rice, </w:t>
      </w:r>
      <w:r w:rsidR="006A006A" w:rsidRPr="00B06331">
        <w:rPr>
          <w:rFonts w:cs="Calibri"/>
          <w:szCs w:val="24"/>
        </w:rPr>
        <w:t>maize,</w:t>
      </w:r>
      <w:r w:rsidRPr="00B06331">
        <w:rPr>
          <w:rFonts w:cs="Calibri"/>
          <w:szCs w:val="24"/>
        </w:rPr>
        <w:t xml:space="preserve"> and horticulture e.g. vegetables and fruits trees such as mango and oranges whose potentials for import substitution will be harnessed and promoted to expand their export and marketing. This will provide the opportunity to broaden and accelerate the agro-based industries, and maximize agriculture value added</w:t>
      </w:r>
    </w:p>
    <w:p w:rsidR="003A5A07" w:rsidRPr="00B06331" w:rsidRDefault="003A5A07" w:rsidP="003A5A07">
      <w:pPr>
        <w:jc w:val="both"/>
        <w:rPr>
          <w:rFonts w:cs="Calibri"/>
          <w:szCs w:val="24"/>
        </w:rPr>
      </w:pPr>
      <w:r w:rsidRPr="00B06331">
        <w:rPr>
          <w:rFonts w:cs="Calibri"/>
          <w:szCs w:val="24"/>
        </w:rPr>
        <w:t xml:space="preserve">Measures will be taken to strengthen the crop sub-sector through the provision of relevant and modern technologies to reduce the drudgery. In addition to </w:t>
      </w:r>
      <w:r w:rsidR="00142E41" w:rsidRPr="00B06331">
        <w:rPr>
          <w:rFonts w:cs="Calibri"/>
          <w:szCs w:val="24"/>
        </w:rPr>
        <w:t>this,</w:t>
      </w:r>
      <w:r w:rsidRPr="00B06331">
        <w:rPr>
          <w:rFonts w:cs="Calibri"/>
          <w:szCs w:val="24"/>
        </w:rPr>
        <w:t xml:space="preserve"> the sector will advocate for more public investment for improved infrastructure to ease access to markets. Public private partnership (PPP) initiatives will be formulated in other critical value chain infrastructures such as transport, storage, </w:t>
      </w:r>
      <w:r w:rsidR="006A006A" w:rsidRPr="00B06331">
        <w:rPr>
          <w:rFonts w:cs="Calibri"/>
          <w:szCs w:val="24"/>
        </w:rPr>
        <w:t>processing,</w:t>
      </w:r>
      <w:r w:rsidRPr="00B06331">
        <w:rPr>
          <w:rFonts w:cs="Calibri"/>
          <w:szCs w:val="24"/>
        </w:rPr>
        <w:t xml:space="preserve"> and packaging.</w:t>
      </w:r>
    </w:p>
    <w:p w:rsidR="003A5A07" w:rsidRPr="00B06331" w:rsidRDefault="003A5A07" w:rsidP="003A5A07">
      <w:pPr>
        <w:spacing w:after="160" w:line="256" w:lineRule="auto"/>
        <w:jc w:val="both"/>
        <w:rPr>
          <w:rFonts w:cs="Calibri"/>
          <w:b/>
          <w:i/>
          <w:szCs w:val="24"/>
        </w:rPr>
      </w:pPr>
      <w:r w:rsidRPr="00B06331">
        <w:rPr>
          <w:rFonts w:cs="Calibri"/>
          <w:b/>
          <w:i/>
          <w:szCs w:val="24"/>
        </w:rPr>
        <w:t>Strengthen capacity of value chains actors</w:t>
      </w:r>
    </w:p>
    <w:p w:rsidR="003A5A07" w:rsidRPr="00B06331" w:rsidRDefault="003A5A07" w:rsidP="003A5A07">
      <w:pPr>
        <w:jc w:val="both"/>
        <w:rPr>
          <w:rFonts w:cs="Calibri"/>
          <w:szCs w:val="24"/>
        </w:rPr>
      </w:pPr>
      <w:r w:rsidRPr="00B06331">
        <w:rPr>
          <w:rFonts w:cs="Calibri"/>
          <w:szCs w:val="24"/>
        </w:rPr>
        <w:t xml:space="preserve">Actors in the poultry and small ruminant value chains include the Producers, value addition (Processors), dealers in live animal sales, transporters, and feed vendors. These actors operate as either individuals, groups or organizations, locally and/or national. </w:t>
      </w:r>
    </w:p>
    <w:p w:rsidR="003A5A07" w:rsidRPr="00B06331" w:rsidRDefault="003A5A07" w:rsidP="003A5A07">
      <w:pPr>
        <w:tabs>
          <w:tab w:val="left" w:pos="7046"/>
        </w:tabs>
        <w:jc w:val="both"/>
        <w:rPr>
          <w:rFonts w:cs="Calibri"/>
          <w:szCs w:val="24"/>
        </w:rPr>
      </w:pPr>
      <w:r w:rsidRPr="00B06331">
        <w:rPr>
          <w:rFonts w:cs="Calibri"/>
          <w:szCs w:val="24"/>
        </w:rPr>
        <w:t>Investment will be directed to developing both technical and Institutional capacities of the actors in the form of trainings, exchange visits etc. Skill development and access to information is also key. The formation of Innovation platforms around specific commodities and using farmer field schools approach for communication and information sharing will be promoted among value chains actors which include producers, marketers, processors technicians, transporters, and, their associations.</w:t>
      </w:r>
    </w:p>
    <w:p w:rsidR="003A5A07" w:rsidRPr="00B06331" w:rsidRDefault="003A5A07" w:rsidP="003A5A07">
      <w:pPr>
        <w:jc w:val="both"/>
        <w:rPr>
          <w:rFonts w:cs="Calibri"/>
          <w:szCs w:val="24"/>
        </w:rPr>
      </w:pPr>
      <w:r w:rsidRPr="00B06331">
        <w:rPr>
          <w:rFonts w:cs="Calibri"/>
          <w:szCs w:val="24"/>
        </w:rPr>
        <w:t xml:space="preserve">Awareness creation and sensitization of actors in the value chains will be undertaken to form viable groups /cooperatives and legalize their status. This will be followed by developing their capacities in group management and entrepreneurship skills, </w:t>
      </w:r>
      <w:r w:rsidR="006A006A" w:rsidRPr="00B06331">
        <w:rPr>
          <w:rFonts w:cs="Calibri"/>
          <w:szCs w:val="24"/>
        </w:rPr>
        <w:t>advocacy,</w:t>
      </w:r>
      <w:r w:rsidRPr="00B06331">
        <w:rPr>
          <w:rFonts w:cs="Calibri"/>
          <w:szCs w:val="24"/>
        </w:rPr>
        <w:t xml:space="preserve"> and lobbying. Furthermore, improving capacities of actors to meet consumer demands and international and national food safety and quality standards will be pursued. </w:t>
      </w:r>
    </w:p>
    <w:p w:rsidR="003A5A07" w:rsidRPr="00B06331" w:rsidRDefault="003A5A07" w:rsidP="003A5A07">
      <w:pPr>
        <w:spacing w:after="160" w:line="256" w:lineRule="auto"/>
        <w:jc w:val="both"/>
        <w:rPr>
          <w:rFonts w:cs="Calibri"/>
          <w:b/>
          <w:i/>
          <w:szCs w:val="24"/>
        </w:rPr>
      </w:pPr>
      <w:r w:rsidRPr="00B06331">
        <w:rPr>
          <w:rFonts w:cs="Calibri"/>
          <w:b/>
          <w:i/>
          <w:szCs w:val="24"/>
        </w:rPr>
        <w:t>Promote agri-business and agro processing, including access to finance</w:t>
      </w:r>
    </w:p>
    <w:p w:rsidR="003A5A07" w:rsidRPr="00B06331" w:rsidDel="00176CC1" w:rsidRDefault="003A5A07" w:rsidP="003A5A07">
      <w:pPr>
        <w:jc w:val="both"/>
        <w:rPr>
          <w:rFonts w:cs="Calibri"/>
          <w:szCs w:val="24"/>
        </w:rPr>
      </w:pPr>
      <w:r w:rsidRPr="00B06331">
        <w:rPr>
          <w:rFonts w:cs="Calibri"/>
          <w:szCs w:val="24"/>
        </w:rPr>
        <w:t xml:space="preserve">Government will seek to promote and diversify agro-based industries including animal feed production, food preparation e.g. coarse grain flour, processed findi, canned fruits &amp; juices to provide further stimulus to the growth of the manufacturing sector.  The ongoing </w:t>
      </w:r>
      <w:r w:rsidR="006A006A" w:rsidRPr="00B06331">
        <w:rPr>
          <w:rFonts w:cs="Calibri"/>
          <w:szCs w:val="24"/>
        </w:rPr>
        <w:t xml:space="preserve">investment in the sector </w:t>
      </w:r>
      <w:r w:rsidRPr="00B06331">
        <w:rPr>
          <w:rFonts w:cs="Calibri"/>
          <w:szCs w:val="24"/>
        </w:rPr>
        <w:t>have resulted to building capacity of a considerable number of young people on fruit and vegetable processing, preservation, and packaging.  The has provided a critical mass of young people for private investors to invest in processing and marketing of fruit and vegetable</w:t>
      </w:r>
    </w:p>
    <w:p w:rsidR="003A5A07" w:rsidRPr="00B06331" w:rsidRDefault="003A5A07" w:rsidP="003A5A07">
      <w:pPr>
        <w:jc w:val="both"/>
        <w:rPr>
          <w:rFonts w:cs="Calibri"/>
          <w:szCs w:val="24"/>
        </w:rPr>
      </w:pPr>
      <w:r w:rsidRPr="00B06331">
        <w:rPr>
          <w:rFonts w:cs="Calibri"/>
          <w:szCs w:val="24"/>
        </w:rPr>
        <w:t xml:space="preserve">Measures will be taken to develop agricultural shows from the regions to the National level to enhance access to market and showcase the opportunities and achievements in the agricultural value chain.   </w:t>
      </w:r>
    </w:p>
    <w:p w:rsidR="003A5A07" w:rsidRPr="00B06331" w:rsidRDefault="003A5A07" w:rsidP="003A5A07">
      <w:pPr>
        <w:jc w:val="both"/>
        <w:rPr>
          <w:rFonts w:cs="Calibri"/>
          <w:szCs w:val="24"/>
        </w:rPr>
      </w:pPr>
      <w:r w:rsidRPr="00B06331">
        <w:rPr>
          <w:rFonts w:cs="Calibri"/>
          <w:szCs w:val="24"/>
        </w:rPr>
        <w:t xml:space="preserve">Access to finance is a crucial factor in micro-enterprise development. Traditionally, cash saving with financial institutions is limited in rural settings. VISACAs which provide micro-finance have not been successful and banks have cumbersome bureaucratic procedures and levy high interest rates. The issue </w:t>
      </w:r>
      <w:r w:rsidRPr="00B06331">
        <w:rPr>
          <w:rFonts w:cs="Calibri"/>
          <w:szCs w:val="24"/>
        </w:rPr>
        <w:lastRenderedPageBreak/>
        <w:t>of providing collaterals has also hindered access to finance especially farmers. Considering these, government will consider the need to create an Agricultural Development Bank which focuses on investment in agriculture.</w:t>
      </w:r>
    </w:p>
    <w:p w:rsidR="003A5A07" w:rsidRPr="00B06331" w:rsidRDefault="003A5A07" w:rsidP="003A5A07">
      <w:pPr>
        <w:jc w:val="both"/>
        <w:rPr>
          <w:rFonts w:cs="Calibri"/>
          <w:szCs w:val="24"/>
        </w:rPr>
      </w:pPr>
      <w:r w:rsidRPr="00B06331">
        <w:rPr>
          <w:rFonts w:cs="Calibri"/>
          <w:szCs w:val="24"/>
        </w:rPr>
        <w:t xml:space="preserve">To promote agri-business and agro-processing, the Ministry of Agriculture will take the lead and work closely with the Ministry of Trade and private sector.    </w:t>
      </w:r>
    </w:p>
    <w:p w:rsidR="003A5A07" w:rsidRPr="00B06331" w:rsidRDefault="003A5A07" w:rsidP="003A5A07">
      <w:pPr>
        <w:spacing w:after="160" w:line="256" w:lineRule="auto"/>
        <w:jc w:val="both"/>
        <w:rPr>
          <w:rFonts w:cs="Calibri"/>
          <w:b/>
          <w:i/>
          <w:szCs w:val="24"/>
        </w:rPr>
      </w:pPr>
      <w:r w:rsidRPr="00B06331">
        <w:rPr>
          <w:rFonts w:cs="Calibri"/>
          <w:b/>
          <w:i/>
          <w:szCs w:val="24"/>
        </w:rPr>
        <w:t>Promote a viable agricultural marketing system, including cooperatives and commodities exchange</w:t>
      </w:r>
    </w:p>
    <w:p w:rsidR="003A5A07" w:rsidRPr="00B06331" w:rsidRDefault="003A5A07" w:rsidP="003A5A07">
      <w:pPr>
        <w:jc w:val="both"/>
        <w:rPr>
          <w:rFonts w:cs="Calibri"/>
          <w:i/>
          <w:szCs w:val="24"/>
        </w:rPr>
      </w:pPr>
      <w:r w:rsidRPr="00B06331">
        <w:rPr>
          <w:rFonts w:cs="Calibri"/>
          <w:i/>
          <w:szCs w:val="24"/>
        </w:rPr>
        <w:t xml:space="preserve">Agricultural marketing channels: The </w:t>
      </w:r>
      <w:r w:rsidRPr="00B06331">
        <w:rPr>
          <w:rFonts w:cs="Calibri"/>
          <w:szCs w:val="24"/>
        </w:rPr>
        <w:t>Gambia witnessed the growth of informal but highly organized marketing systems which now constitute an important part of the country’s economic system. These are linked to sub-regional trade and marketing networks. The government will build upon this and exploit the potentials for commodity-based cooperatives.</w:t>
      </w:r>
    </w:p>
    <w:p w:rsidR="003A5A07" w:rsidRPr="00B06331" w:rsidRDefault="003A5A07" w:rsidP="003A5A07">
      <w:pPr>
        <w:spacing w:after="160" w:line="256" w:lineRule="auto"/>
        <w:jc w:val="both"/>
        <w:rPr>
          <w:rFonts w:cs="Calibri"/>
          <w:i/>
          <w:szCs w:val="24"/>
        </w:rPr>
      </w:pPr>
      <w:r w:rsidRPr="00B06331">
        <w:rPr>
          <w:rFonts w:cs="Calibri"/>
          <w:i/>
          <w:szCs w:val="24"/>
        </w:rPr>
        <w:t xml:space="preserve">Contract farming with focus on Poultry and Fruits &amp; Vegetables: </w:t>
      </w:r>
      <w:r w:rsidRPr="00B06331">
        <w:rPr>
          <w:rFonts w:cs="Calibri"/>
          <w:szCs w:val="24"/>
        </w:rPr>
        <w:t xml:space="preserve">Contract farming is increasingly becoming important in the horticulture and livestock sub sector especially where marketing of products are facing challenges related to price stability, uncertainty and their perishable nature. Thus, to circumvent these marketing challenges, contract farming will be strengthened by government as a viable marketing strategy. </w:t>
      </w:r>
    </w:p>
    <w:p w:rsidR="003A5A07" w:rsidRPr="00B06331" w:rsidRDefault="003A5A07" w:rsidP="003A5A07">
      <w:pPr>
        <w:spacing w:after="160" w:line="256" w:lineRule="auto"/>
        <w:jc w:val="both"/>
        <w:rPr>
          <w:rFonts w:cs="Calibri"/>
          <w:szCs w:val="24"/>
        </w:rPr>
      </w:pPr>
      <w:r w:rsidRPr="00B06331">
        <w:rPr>
          <w:rFonts w:cs="Calibri"/>
          <w:i/>
          <w:szCs w:val="24"/>
        </w:rPr>
        <w:t xml:space="preserve">Formation of commodity cooperatives: </w:t>
      </w:r>
      <w:r w:rsidRPr="00B06331">
        <w:rPr>
          <w:rFonts w:cs="Calibri"/>
          <w:szCs w:val="24"/>
        </w:rPr>
        <w:t>Over the past decades, the agricultural sector has suffered major setback as exports of the main cash crop (groundnuts) declined from 150 thousand metric tons to less than 30 thousand tons by 2016.  On the other hand, marketing of other commercially oriented commodities such as horticulture, cereals, poultry and dairy products are disjointed coupled with low value addition.</w:t>
      </w:r>
    </w:p>
    <w:p w:rsidR="003A5A07" w:rsidRPr="00B06331" w:rsidRDefault="003A5A07" w:rsidP="003A5A07">
      <w:pPr>
        <w:spacing w:after="160" w:line="256" w:lineRule="auto"/>
        <w:jc w:val="both"/>
        <w:rPr>
          <w:rFonts w:cs="Calibri"/>
          <w:szCs w:val="24"/>
        </w:rPr>
      </w:pPr>
      <w:r w:rsidRPr="00B06331">
        <w:rPr>
          <w:rFonts w:cs="Calibri"/>
          <w:szCs w:val="24"/>
        </w:rPr>
        <w:t>Addressing these challenges requires reorganization of approach to marketing through formation and strengthening of commodity based cooperatives. This process will be started by a countrywide assessment of institutional and organizational capacity of current commodity based cooperatives using lessons learned from the defunct Gambia Cooperative Union.</w:t>
      </w:r>
    </w:p>
    <w:p w:rsidR="003A5A07" w:rsidRPr="00B06331" w:rsidRDefault="003A5A07" w:rsidP="003A5A07">
      <w:pPr>
        <w:spacing w:after="160" w:line="256" w:lineRule="auto"/>
        <w:jc w:val="both"/>
        <w:rPr>
          <w:rFonts w:cs="Calibri"/>
          <w:b/>
          <w:szCs w:val="24"/>
        </w:rPr>
      </w:pPr>
      <w:r w:rsidRPr="00B06331">
        <w:rPr>
          <w:rFonts w:cs="Calibri"/>
          <w:b/>
          <w:szCs w:val="24"/>
        </w:rPr>
        <w:t>Adopt and implement quality assurances framework in line with National, Regional and International standards</w:t>
      </w:r>
    </w:p>
    <w:p w:rsidR="003A5A07" w:rsidRPr="00B06331" w:rsidRDefault="003A5A07" w:rsidP="003A5A07">
      <w:pPr>
        <w:jc w:val="both"/>
        <w:rPr>
          <w:rFonts w:cs="Calibri"/>
          <w:szCs w:val="24"/>
        </w:rPr>
      </w:pPr>
      <w:r w:rsidRPr="00B06331">
        <w:rPr>
          <w:rFonts w:cs="Calibri"/>
          <w:szCs w:val="24"/>
        </w:rPr>
        <w:t xml:space="preserve">The Gambia Standards Bureau and the Food Safety and Quality Authority (FSQA) are national institutions which provide guidance which are in line with regional and international standards especially for export items. To this end, these institutions will collaborate and design activities that will be implemented to ensure quality assurance. </w:t>
      </w:r>
    </w:p>
    <w:p w:rsidR="003A5A07" w:rsidRPr="00B06331" w:rsidRDefault="003A5A07" w:rsidP="003A5A07">
      <w:pPr>
        <w:jc w:val="both"/>
        <w:rPr>
          <w:rFonts w:cs="Calibri"/>
          <w:szCs w:val="24"/>
        </w:rPr>
      </w:pPr>
      <w:r w:rsidRPr="00B06331">
        <w:rPr>
          <w:rFonts w:cs="Calibri"/>
          <w:szCs w:val="24"/>
        </w:rPr>
        <w:t>As part of efforts to modernizeand promote the commercialization of agriculture and livestock, the sector will pursue improvements at the various stages of the value chain to respond to set international food safety and quality standards. Among the major challenges facing the country is the inherent problems of aflatoxin particularly within the groundnut value chain. Responding to such challenges requires streamlined interventions to handle and manage products in line with acceptable SPS practices and standards at various stages of the value chain including building capacity of actors.</w:t>
      </w:r>
    </w:p>
    <w:p w:rsidR="006A006A" w:rsidRPr="00B06331" w:rsidRDefault="006A006A" w:rsidP="003A5A07">
      <w:pPr>
        <w:jc w:val="both"/>
        <w:rPr>
          <w:rFonts w:cs="Calibri"/>
          <w:b/>
          <w:i/>
          <w:color w:val="4472C4" w:themeColor="accent1"/>
          <w:szCs w:val="24"/>
        </w:rPr>
      </w:pPr>
      <w:r w:rsidRPr="00B06331">
        <w:rPr>
          <w:rFonts w:cs="Calibri"/>
          <w:b/>
          <w:i/>
          <w:color w:val="4472C4" w:themeColor="accent1"/>
          <w:szCs w:val="24"/>
        </w:rPr>
        <w:lastRenderedPageBreak/>
        <w:t>Outcome 3.3: Increased Production of Basic Agricultural Commodities (crops and livestock) for enhanced Food and Nutrition Security</w:t>
      </w:r>
    </w:p>
    <w:p w:rsidR="003A5A07" w:rsidRPr="00B06331" w:rsidRDefault="003A5A07" w:rsidP="003A5A07">
      <w:pPr>
        <w:spacing w:after="0" w:line="240" w:lineRule="auto"/>
        <w:contextualSpacing/>
        <w:jc w:val="both"/>
        <w:rPr>
          <w:rFonts w:cs="Calibri"/>
        </w:rPr>
      </w:pPr>
      <w:r w:rsidRPr="00B06331">
        <w:rPr>
          <w:rFonts w:ascii="Avenir Book" w:hAnsi="Avenir Book"/>
          <w:caps/>
        </w:rPr>
        <w:t>I</w:t>
      </w:r>
      <w:r w:rsidRPr="00B06331">
        <w:rPr>
          <w:rFonts w:ascii="Avenir Book" w:hAnsi="Avenir Book"/>
        </w:rPr>
        <w:t>mprovingtheperformanceoftheagriculturalsectorwillrequireclosingthe production gapacrossthemajor agricultural commodities inthecountry. This will be achieved by promoting the sustainable intensification of production systems through addressing the key constraints to production.</w:t>
      </w:r>
      <w:r w:rsidRPr="00B06331">
        <w:rPr>
          <w:rFonts w:cs="Calibri"/>
        </w:rPr>
        <w:t xml:space="preserve">Efforts currently undertaken to improve the sector’s performance must also be extended to the livestock sub-sector, which despite its significant contributions to livelihood and economic wellbeing particularly the rural population hasto date not received adequate funding and policy support commensurate to its contribution to the national GDP. </w:t>
      </w:r>
      <w:bookmarkStart w:id="120" w:name="_Toc488689332"/>
    </w:p>
    <w:p w:rsidR="00D349BA" w:rsidRPr="00B06331" w:rsidRDefault="00D349BA" w:rsidP="003A5A07">
      <w:pPr>
        <w:spacing w:after="0" w:line="240" w:lineRule="auto"/>
        <w:contextualSpacing/>
        <w:jc w:val="both"/>
        <w:rPr>
          <w:rFonts w:cs="Calibri"/>
        </w:rPr>
      </w:pPr>
    </w:p>
    <w:p w:rsidR="003A5A07" w:rsidRPr="00B06331" w:rsidRDefault="003A5A07" w:rsidP="003A5A07">
      <w:pPr>
        <w:spacing w:after="0" w:line="240" w:lineRule="auto"/>
        <w:contextualSpacing/>
        <w:jc w:val="both"/>
        <w:rPr>
          <w:rFonts w:eastAsia="MS Mincho" w:cs="Calibri"/>
          <w:b/>
          <w:i/>
          <w:szCs w:val="24"/>
        </w:rPr>
      </w:pPr>
      <w:r w:rsidRPr="00B06331">
        <w:rPr>
          <w:rFonts w:eastAsia="MS Mincho" w:cs="Calibri"/>
          <w:b/>
          <w:i/>
          <w:szCs w:val="24"/>
        </w:rPr>
        <w:t>Promote sustainable land and water management for increased production and productivity</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contextualSpacing/>
        <w:jc w:val="both"/>
        <w:rPr>
          <w:rFonts w:eastAsia="MS Mincho" w:cs="Calibri"/>
          <w:szCs w:val="24"/>
        </w:rPr>
      </w:pPr>
      <w:r w:rsidRPr="00B06331">
        <w:rPr>
          <w:rFonts w:eastAsia="MS Mincho" w:cs="Calibri"/>
          <w:szCs w:val="24"/>
        </w:rPr>
        <w:t xml:space="preserve">To enhance productivity, land development in the form of physical structures will be supported. These efforts will include: (i) erosion control structures (ii) crop management; (iii) </w:t>
      </w:r>
      <w:r w:rsidR="006A006A" w:rsidRPr="00B06331">
        <w:rPr>
          <w:rFonts w:eastAsia="MS Mincho" w:cs="Calibri"/>
          <w:szCs w:val="24"/>
        </w:rPr>
        <w:t>integrated nutrient management (iv) moisture conservation</w:t>
      </w:r>
      <w:r w:rsidRPr="00B06331">
        <w:rPr>
          <w:rFonts w:eastAsia="MS Mincho" w:cs="Calibri"/>
          <w:szCs w:val="24"/>
        </w:rPr>
        <w:t xml:space="preserve">; and (v) rain water harvesting and storage on-farm for supplementary irrigation (in case of rain shortfall during the growing season; install rainwater catchment facilities to extend and increase agricultural production to the dry season through irrigation). </w:t>
      </w:r>
    </w:p>
    <w:p w:rsidR="003A5A07" w:rsidRPr="00B06331" w:rsidRDefault="003A5A07" w:rsidP="003A5A07">
      <w:pPr>
        <w:spacing w:after="0"/>
        <w:contextualSpacing/>
        <w:jc w:val="both"/>
        <w:rPr>
          <w:rFonts w:eastAsia="MS Mincho" w:cs="Calibri"/>
          <w:b/>
          <w:szCs w:val="24"/>
        </w:rPr>
      </w:pPr>
    </w:p>
    <w:p w:rsidR="003A5A07" w:rsidRPr="00B06331" w:rsidRDefault="003A5A07" w:rsidP="003A5A07">
      <w:pPr>
        <w:spacing w:after="0"/>
        <w:contextualSpacing/>
        <w:jc w:val="both"/>
        <w:rPr>
          <w:rFonts w:eastAsia="MS Mincho" w:cs="Calibri"/>
          <w:b/>
          <w:szCs w:val="24"/>
        </w:rPr>
      </w:pPr>
      <w:r w:rsidRPr="00B06331">
        <w:rPr>
          <w:rFonts w:eastAsia="MS Mincho" w:cs="Calibri"/>
          <w:b/>
          <w:szCs w:val="24"/>
        </w:rPr>
        <w:t>Enhance livestock production, markets, and infrastructure</w:t>
      </w:r>
    </w:p>
    <w:p w:rsidR="006A006A" w:rsidRPr="00B06331" w:rsidRDefault="006A006A" w:rsidP="003A5A07">
      <w:pPr>
        <w:spacing w:after="0"/>
        <w:contextualSpacing/>
        <w:jc w:val="both"/>
        <w:rPr>
          <w:rFonts w:eastAsia="MS Mincho" w:cs="Calibri"/>
          <w:szCs w:val="24"/>
        </w:rPr>
      </w:pPr>
    </w:p>
    <w:p w:rsidR="003A5A07" w:rsidRPr="00B06331" w:rsidRDefault="003A5A07" w:rsidP="003A5A07">
      <w:pPr>
        <w:spacing w:after="0"/>
        <w:contextualSpacing/>
        <w:jc w:val="both"/>
        <w:rPr>
          <w:rFonts w:eastAsia="MS Mincho" w:cs="Calibri"/>
          <w:szCs w:val="24"/>
        </w:rPr>
      </w:pPr>
      <w:r w:rsidRPr="00B06331">
        <w:rPr>
          <w:rFonts w:eastAsia="MS Mincho" w:cs="Calibri"/>
          <w:szCs w:val="24"/>
        </w:rPr>
        <w:t>Livestock as prime assets and renewable resources creates opportunities to reduce rural household poverty, food insecurity and malnutrition as well as empowering women and youths by creating employment an</w:t>
      </w:r>
      <w:r w:rsidR="006A006A" w:rsidRPr="00B06331">
        <w:rPr>
          <w:rFonts w:eastAsia="MS Mincho" w:cs="Calibri"/>
          <w:szCs w:val="24"/>
        </w:rPr>
        <w:t>d income generating activities.</w:t>
      </w:r>
      <w:r w:rsidRPr="00B06331">
        <w:rPr>
          <w:rFonts w:eastAsia="MS Mincho" w:cs="Calibri"/>
          <w:szCs w:val="24"/>
        </w:rPr>
        <w:t xml:space="preserve"> Despite the sector’s setback due to disease outbreak, feed resource availability and poor market infrastructure, there is still avenue to exploit the sector’s potential through promotion of private-led commercial production.</w:t>
      </w:r>
    </w:p>
    <w:p w:rsidR="003A5A07" w:rsidRPr="00B06331" w:rsidRDefault="003A5A07" w:rsidP="003A5A07">
      <w:pPr>
        <w:spacing w:after="0"/>
        <w:contextualSpacing/>
        <w:jc w:val="both"/>
        <w:rPr>
          <w:rFonts w:eastAsia="MS Mincho" w:cs="Calibri"/>
          <w:szCs w:val="24"/>
        </w:rPr>
      </w:pPr>
    </w:p>
    <w:p w:rsidR="003A5A07" w:rsidRPr="00B06331" w:rsidRDefault="003A5A07" w:rsidP="003A5A07">
      <w:pPr>
        <w:spacing w:after="0"/>
        <w:contextualSpacing/>
        <w:jc w:val="both"/>
        <w:rPr>
          <w:rFonts w:eastAsia="MS Mincho" w:cs="Calibri"/>
          <w:szCs w:val="24"/>
        </w:rPr>
      </w:pPr>
      <w:r w:rsidRPr="00B06331">
        <w:rPr>
          <w:rFonts w:eastAsia="MS Mincho" w:cs="Calibri"/>
          <w:szCs w:val="24"/>
        </w:rPr>
        <w:t>Programmes would be designed to enhance knowledge and strengthen the capacity of actors with a view to improving productivity of livestock and increasing incomes through market development. Sustainable exploitation of cattle and small ruminants through increased access to improved breeding stock, adoption of better management practices, improvement of health care delivery as well as the marketing conditions would be pursued. The sustainability of the program will be secured through enhancing</w:t>
      </w:r>
      <w:r w:rsidR="00667BB2" w:rsidRPr="00B06331">
        <w:rPr>
          <w:rFonts w:eastAsia="MS Mincho" w:cs="Calibri"/>
          <w:szCs w:val="24"/>
        </w:rPr>
        <w:t xml:space="preserve"> capacities of institutions such as</w:t>
      </w:r>
      <w:r w:rsidRPr="00B06331">
        <w:rPr>
          <w:rFonts w:eastAsia="MS Mincho" w:cs="Calibri"/>
          <w:szCs w:val="24"/>
        </w:rPr>
        <w:t xml:space="preserve"> DLS and GLMA and other actors such as herd owners, Gambia Indigenous Livestock Multipliers Association (GILMA), and Local Authorities.</w:t>
      </w:r>
    </w:p>
    <w:p w:rsidR="003A5A07" w:rsidRPr="00B06331" w:rsidRDefault="003A5A07" w:rsidP="003A5A07">
      <w:pPr>
        <w:spacing w:after="0"/>
        <w:contextualSpacing/>
        <w:jc w:val="both"/>
        <w:rPr>
          <w:rFonts w:eastAsia="MS Mincho" w:cs="Calibri"/>
          <w:szCs w:val="24"/>
        </w:rPr>
      </w:pPr>
    </w:p>
    <w:p w:rsidR="003A5A07" w:rsidRPr="00B06331" w:rsidRDefault="003A5A07" w:rsidP="003A5A07">
      <w:pPr>
        <w:spacing w:after="0"/>
        <w:contextualSpacing/>
        <w:jc w:val="both"/>
        <w:rPr>
          <w:rFonts w:eastAsia="MS Mincho" w:cs="Calibri"/>
          <w:szCs w:val="24"/>
        </w:rPr>
      </w:pPr>
      <w:r w:rsidRPr="00B06331">
        <w:rPr>
          <w:rFonts w:eastAsia="MS Mincho" w:cs="Calibri"/>
          <w:szCs w:val="24"/>
        </w:rPr>
        <w:t>A market development concept will be pursued to strengthen exploitation and marketing of cattle, sheep, goats and livestock products. The strategy for improving marketing will be based on: 1) support to livestock traders, associations and women groups that are involved in fattening and sale of livestock and processing of animal products; 2) construction of infrastructures for marketing such as such as slaughter houses and butcher shops that meet national food safety and zoo-sanitary standards; 3) establishment of market information system; 4) organization of fairs/shows; and 5) establishment of mechanisms for facilitating access to credit.</w:t>
      </w:r>
    </w:p>
    <w:p w:rsidR="006F3A32" w:rsidRPr="00B06331" w:rsidRDefault="006F3A32" w:rsidP="003A5A07">
      <w:pPr>
        <w:spacing w:after="0"/>
        <w:jc w:val="both"/>
        <w:rPr>
          <w:rFonts w:eastAsia="MS Mincho" w:cs="Calibri"/>
          <w:b/>
          <w:szCs w:val="24"/>
        </w:rPr>
      </w:pPr>
    </w:p>
    <w:p w:rsidR="003A5A07" w:rsidRPr="00B06331" w:rsidRDefault="003A5A07" w:rsidP="003A5A07">
      <w:pPr>
        <w:spacing w:after="0"/>
        <w:jc w:val="both"/>
        <w:rPr>
          <w:rFonts w:cs="Calibri"/>
          <w:b/>
          <w:i/>
          <w:szCs w:val="24"/>
        </w:rPr>
      </w:pPr>
      <w:r w:rsidRPr="00B06331">
        <w:rPr>
          <w:rFonts w:cs="Calibri"/>
          <w:b/>
          <w:i/>
          <w:szCs w:val="24"/>
        </w:rPr>
        <w:lastRenderedPageBreak/>
        <w:t>Adopt appropriate agricultural mechanization and irrigation systems</w:t>
      </w:r>
    </w:p>
    <w:p w:rsidR="003A5A07" w:rsidRPr="00B06331" w:rsidRDefault="003A5A07" w:rsidP="003A5A07">
      <w:pPr>
        <w:spacing w:after="0"/>
        <w:jc w:val="both"/>
        <w:rPr>
          <w:rFonts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The Ministry of Agriculture will undertake a review of the farm machinery situation. The aim of the review undertaken in collaboration with farmer organizations and private sector partners will be to identify technically and financially sustainable options for managing these critical assets effectively.</w:t>
      </w:r>
    </w:p>
    <w:p w:rsidR="00CC69CB" w:rsidRPr="00B06331" w:rsidRDefault="00CC69CB"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 xml:space="preserve">To ensure sustainability, priority would be given to the most efficient irrigation systems and so guarantee increased production while minimizing on wastage. Irrigation is a game changer within Gambia’s agricultural sector and would therefore be undertaken by both the public and private sector operators in agriculture. </w:t>
      </w:r>
    </w:p>
    <w:p w:rsidR="003A5A07" w:rsidRPr="00B06331" w:rsidRDefault="003A5A07" w:rsidP="004143E3">
      <w:pPr>
        <w:numPr>
          <w:ilvl w:val="0"/>
          <w:numId w:val="24"/>
        </w:numPr>
        <w:spacing w:after="0" w:line="240" w:lineRule="auto"/>
        <w:contextualSpacing/>
        <w:jc w:val="both"/>
        <w:rPr>
          <w:rFonts w:eastAsia="MS Mincho" w:cs="Calibri"/>
          <w:szCs w:val="24"/>
        </w:rPr>
      </w:pPr>
      <w:r w:rsidRPr="00B06331">
        <w:rPr>
          <w:rFonts w:eastAsia="MS Mincho" w:cs="Calibri"/>
          <w:szCs w:val="24"/>
        </w:rPr>
        <w:t>Irrigation using the River Gambia:  use the River Gambia that runs through the six farming regions of the country for irrigation to extend both the cultivable area and the season.</w:t>
      </w:r>
    </w:p>
    <w:p w:rsidR="003A5A07" w:rsidRPr="00B06331" w:rsidRDefault="003A5A07" w:rsidP="004143E3">
      <w:pPr>
        <w:numPr>
          <w:ilvl w:val="0"/>
          <w:numId w:val="24"/>
        </w:numPr>
        <w:spacing w:after="0" w:line="240" w:lineRule="auto"/>
        <w:contextualSpacing/>
        <w:jc w:val="both"/>
        <w:rPr>
          <w:rFonts w:eastAsia="MS Mincho" w:cs="Calibri"/>
          <w:szCs w:val="24"/>
        </w:rPr>
      </w:pPr>
      <w:r w:rsidRPr="00B06331">
        <w:rPr>
          <w:rFonts w:eastAsia="MS Mincho" w:cs="Calibri"/>
          <w:szCs w:val="24"/>
        </w:rPr>
        <w:t xml:space="preserve">Secondary canal along the trans-Gambia Road: use the excess water from the Samba Gallo Dam during the dry season to prevent over flooding of the river banks to provide sustainable means of upland irrigation. </w:t>
      </w:r>
    </w:p>
    <w:p w:rsidR="003A5A07" w:rsidRPr="00B06331" w:rsidRDefault="003A5A07" w:rsidP="004143E3">
      <w:pPr>
        <w:numPr>
          <w:ilvl w:val="0"/>
          <w:numId w:val="24"/>
        </w:numPr>
        <w:spacing w:after="0" w:line="240" w:lineRule="auto"/>
        <w:contextualSpacing/>
        <w:jc w:val="both"/>
        <w:rPr>
          <w:rFonts w:eastAsia="MS Mincho" w:cs="Calibri"/>
          <w:szCs w:val="24"/>
        </w:rPr>
      </w:pPr>
      <w:r w:rsidRPr="00B06331">
        <w:rPr>
          <w:rFonts w:eastAsia="MS Mincho" w:cs="Calibri"/>
          <w:szCs w:val="24"/>
        </w:rPr>
        <w:t>Develop groundwater extraction: create facilities to accommodate sufficiently large groups of smallholders to make the investment economically rational.</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b/>
          <w:szCs w:val="24"/>
        </w:rPr>
      </w:pPr>
      <w:r w:rsidRPr="00B06331">
        <w:rPr>
          <w:rFonts w:eastAsia="MS Mincho" w:cs="Calibri"/>
          <w:b/>
          <w:szCs w:val="24"/>
        </w:rPr>
        <w:t>Promote Range Land development, provision of livestock drinking points and use of alternative feed resources</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 xml:space="preserve">Government will support diversified sustainable livestock production systems and at the same time promote sustainable natural resource management practices for broader community resiliency to climate change by promoting adaptable community based livestock and rangeland management techniques. This will include creating a sustainable animal feed resource base through the preservation of rangelands, identification, and establishment of community management strategies for land, natural pastures, forage and water resources. Measures will be taken to build capacity of communities and relevant institutions. </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The specific measures under this component will include:</w:t>
      </w:r>
    </w:p>
    <w:p w:rsidR="003A5A07" w:rsidRPr="00B06331" w:rsidRDefault="003A5A07" w:rsidP="004143E3">
      <w:pPr>
        <w:pStyle w:val="ListParagraph"/>
        <w:numPr>
          <w:ilvl w:val="0"/>
          <w:numId w:val="71"/>
        </w:numPr>
        <w:spacing w:after="0" w:line="240" w:lineRule="auto"/>
        <w:jc w:val="both"/>
        <w:rPr>
          <w:rFonts w:eastAsia="MS Mincho" w:cs="Calibri"/>
          <w:szCs w:val="24"/>
        </w:rPr>
      </w:pPr>
      <w:r w:rsidRPr="00B06331">
        <w:rPr>
          <w:rFonts w:eastAsia="MS Mincho" w:cs="Calibri"/>
          <w:szCs w:val="24"/>
        </w:rPr>
        <w:t xml:space="preserve">Provision </w:t>
      </w:r>
      <w:r w:rsidR="006A006A" w:rsidRPr="00B06331">
        <w:rPr>
          <w:rFonts w:eastAsia="MS Mincho" w:cs="Calibri"/>
          <w:szCs w:val="24"/>
        </w:rPr>
        <w:t>of livestock</w:t>
      </w:r>
      <w:r w:rsidRPr="00B06331">
        <w:rPr>
          <w:rFonts w:eastAsia="MS Mincho" w:cs="Calibri"/>
          <w:szCs w:val="24"/>
        </w:rPr>
        <w:t xml:space="preserve"> watering points especially at transhumance destinations where livestock demand for water is highest;</w:t>
      </w:r>
    </w:p>
    <w:p w:rsidR="003A5A07" w:rsidRPr="00B06331" w:rsidRDefault="003A5A07" w:rsidP="004143E3">
      <w:pPr>
        <w:pStyle w:val="ListParagraph"/>
        <w:numPr>
          <w:ilvl w:val="0"/>
          <w:numId w:val="71"/>
        </w:numPr>
        <w:spacing w:after="0" w:line="240" w:lineRule="auto"/>
        <w:jc w:val="both"/>
        <w:rPr>
          <w:rFonts w:eastAsia="MS Mincho" w:cs="Calibri"/>
          <w:szCs w:val="24"/>
        </w:rPr>
      </w:pPr>
      <w:r w:rsidRPr="00B06331">
        <w:rPr>
          <w:rFonts w:eastAsia="MS Mincho" w:cs="Calibri"/>
          <w:szCs w:val="24"/>
        </w:rPr>
        <w:t>Strengthening the capacities of relevant management committees to ensure sustainability of the facilities;</w:t>
      </w:r>
    </w:p>
    <w:p w:rsidR="003A5A07" w:rsidRPr="00B06331" w:rsidRDefault="003A5A07" w:rsidP="004143E3">
      <w:pPr>
        <w:pStyle w:val="ListParagraph"/>
        <w:numPr>
          <w:ilvl w:val="0"/>
          <w:numId w:val="71"/>
        </w:numPr>
        <w:spacing w:after="0" w:line="240" w:lineRule="auto"/>
        <w:jc w:val="both"/>
        <w:rPr>
          <w:rFonts w:eastAsia="MS Mincho" w:cs="Calibri"/>
          <w:szCs w:val="24"/>
        </w:rPr>
      </w:pPr>
      <w:r w:rsidRPr="00B06331">
        <w:rPr>
          <w:rFonts w:eastAsia="MS Mincho" w:cs="Calibri"/>
          <w:szCs w:val="24"/>
        </w:rPr>
        <w:t>Developing fodder banks or deferred grazing areas to cater for the dry season feed shortages;</w:t>
      </w:r>
    </w:p>
    <w:p w:rsidR="003A5A07" w:rsidRPr="00B06331" w:rsidRDefault="003A5A07" w:rsidP="004143E3">
      <w:pPr>
        <w:pStyle w:val="ListParagraph"/>
        <w:numPr>
          <w:ilvl w:val="0"/>
          <w:numId w:val="71"/>
        </w:numPr>
        <w:spacing w:after="0" w:line="240" w:lineRule="auto"/>
        <w:jc w:val="both"/>
        <w:rPr>
          <w:rFonts w:eastAsia="MS Mincho" w:cs="Calibri"/>
          <w:szCs w:val="24"/>
        </w:rPr>
      </w:pPr>
      <w:r w:rsidRPr="00B06331">
        <w:rPr>
          <w:rFonts w:eastAsia="MS Mincho" w:cs="Calibri"/>
          <w:szCs w:val="24"/>
        </w:rPr>
        <w:t>Protecting pasture plots, feed gardens, and preserved feed from bushfires, community-based livestock feed production will be encouraged and promoted;</w:t>
      </w:r>
    </w:p>
    <w:p w:rsidR="003A5A07" w:rsidRPr="00B06331" w:rsidRDefault="003A5A07" w:rsidP="004143E3">
      <w:pPr>
        <w:pStyle w:val="ListParagraph"/>
        <w:numPr>
          <w:ilvl w:val="0"/>
          <w:numId w:val="71"/>
        </w:numPr>
        <w:spacing w:after="0" w:line="240" w:lineRule="auto"/>
        <w:jc w:val="both"/>
        <w:rPr>
          <w:rFonts w:eastAsia="MS Mincho" w:cs="Calibri"/>
          <w:szCs w:val="24"/>
        </w:rPr>
      </w:pPr>
      <w:r w:rsidRPr="00B06331">
        <w:rPr>
          <w:rFonts w:eastAsia="MS Mincho" w:cs="Calibri"/>
          <w:szCs w:val="24"/>
        </w:rPr>
        <w:t>Preserving crop residues (groundnut hay, maize stovers, etc.) and other non-conventional forages as alternative sources of animal feed</w:t>
      </w:r>
    </w:p>
    <w:p w:rsidR="003A5A07" w:rsidRPr="00B06331" w:rsidRDefault="003A5A07" w:rsidP="003A5A07">
      <w:pPr>
        <w:spacing w:after="0" w:line="240" w:lineRule="auto"/>
        <w:contextualSpacing/>
        <w:jc w:val="both"/>
        <w:rPr>
          <w:rFonts w:eastAsia="MS Mincho" w:cs="Calibri"/>
          <w:b/>
          <w:i/>
          <w:szCs w:val="24"/>
        </w:rPr>
      </w:pPr>
    </w:p>
    <w:p w:rsidR="003A5A07" w:rsidRPr="00B06331" w:rsidRDefault="003A5A07" w:rsidP="003A5A07">
      <w:pPr>
        <w:spacing w:after="0" w:line="240" w:lineRule="auto"/>
        <w:contextualSpacing/>
        <w:jc w:val="both"/>
        <w:rPr>
          <w:rFonts w:eastAsia="MS Mincho" w:cs="Calibri"/>
          <w:b/>
          <w:i/>
          <w:szCs w:val="24"/>
        </w:rPr>
      </w:pPr>
      <w:r w:rsidRPr="00B06331">
        <w:rPr>
          <w:rFonts w:eastAsia="MS Mincho" w:cs="Calibri"/>
          <w:b/>
          <w:i/>
          <w:szCs w:val="24"/>
        </w:rPr>
        <w:t xml:space="preserve">Strengthen agricultural research and extension services support </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contextualSpacing/>
        <w:jc w:val="both"/>
        <w:rPr>
          <w:rFonts w:eastAsia="MS Mincho" w:cs="Calibri"/>
          <w:szCs w:val="24"/>
        </w:rPr>
      </w:pPr>
      <w:r w:rsidRPr="00B06331">
        <w:rPr>
          <w:rFonts w:eastAsia="MS Mincho" w:cs="Calibri"/>
          <w:szCs w:val="24"/>
        </w:rPr>
        <w:t xml:space="preserve">The National Agriculture Research Institute (NARI) will be capacitated to continue providing adaptive research aimed at increasing productivity of crops and livestock for competitiveness market commodities, food security and sustainable management of the sector’s natural resource base, and thereby contribute to poverty reduction. Specifically, NARI will also produce and make available, </w:t>
      </w:r>
      <w:r w:rsidRPr="00B06331">
        <w:rPr>
          <w:rFonts w:eastAsia="MS Mincho" w:cs="Calibri"/>
          <w:szCs w:val="24"/>
        </w:rPr>
        <w:lastRenderedPageBreak/>
        <w:t>affordable high quality and high yielding crops and livestock germplasm to the agricultural community and undertake research focused on appropriate technologies, crop varieties and best crop husbandry practices for agro-ecological zones with emphasis on those most relevant for women. To support this strategy, NARI will also use the Research–Extension Liaison Office (RELO) to transmit new technology and improved products to agricultural extension workers, NGO staff and farmer beneficiaries.</w:t>
      </w:r>
    </w:p>
    <w:p w:rsidR="006A006A" w:rsidRPr="00B06331" w:rsidRDefault="006A006A" w:rsidP="003A5A07">
      <w:pPr>
        <w:spacing w:after="0"/>
        <w:contextualSpacing/>
        <w:jc w:val="both"/>
        <w:rPr>
          <w:rFonts w:eastAsia="MS Mincho" w:cs="Calibri"/>
          <w:szCs w:val="24"/>
        </w:rPr>
      </w:pPr>
    </w:p>
    <w:p w:rsidR="003A5A07" w:rsidRPr="00B06331" w:rsidRDefault="003A5A07" w:rsidP="003A5A07">
      <w:pPr>
        <w:spacing w:after="0"/>
        <w:contextualSpacing/>
        <w:jc w:val="both"/>
        <w:rPr>
          <w:rFonts w:eastAsia="MS Mincho" w:cs="Calibri"/>
          <w:szCs w:val="24"/>
        </w:rPr>
      </w:pPr>
      <w:r w:rsidRPr="00B06331">
        <w:rPr>
          <w:rFonts w:eastAsia="MS Mincho" w:cs="Calibri"/>
          <w:szCs w:val="24"/>
        </w:rPr>
        <w:t>An agricultural extension service requires consolidation and increased capacity to meet the rising demands of the agricultural community.  Improved efficiency and effectiveness of the Department of Agriculture (DOA), Department of Livestock Services (DLS), West Africa Livestock Innovation Centre (WALIC) and GLMAto provide technical advisory and supervisory services is required to sustain increased production and productivity and meet the food and nutrition security needs of the country.</w:t>
      </w:r>
    </w:p>
    <w:p w:rsidR="003A5A07" w:rsidRPr="00B06331" w:rsidRDefault="003A5A07" w:rsidP="003A5A07">
      <w:pPr>
        <w:spacing w:after="0" w:line="240" w:lineRule="auto"/>
        <w:contextualSpacing/>
        <w:jc w:val="both"/>
        <w:rPr>
          <w:rFonts w:eastAsia="MS Mincho" w:cs="Calibri"/>
          <w:b/>
          <w:i/>
          <w:szCs w:val="24"/>
        </w:rPr>
      </w:pPr>
    </w:p>
    <w:p w:rsidR="003A5A07" w:rsidRPr="00B06331" w:rsidRDefault="003A5A07" w:rsidP="003A5A07">
      <w:pPr>
        <w:spacing w:after="0" w:line="240" w:lineRule="auto"/>
        <w:contextualSpacing/>
        <w:jc w:val="both"/>
        <w:rPr>
          <w:rFonts w:eastAsia="MS Mincho" w:cs="Calibri"/>
          <w:b/>
          <w:i/>
          <w:szCs w:val="24"/>
        </w:rPr>
      </w:pPr>
      <w:r w:rsidRPr="00B06331">
        <w:rPr>
          <w:rFonts w:eastAsia="MS Mincho" w:cs="Calibri"/>
          <w:b/>
          <w:i/>
          <w:szCs w:val="24"/>
        </w:rPr>
        <w:t>Reduce post-harvest lost</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Cutting food loss and waste by half could meet 30% of the needed increase in food production over coming decades. The reductions will alleviate pressure on climate, water, and land resources</w:t>
      </w:r>
      <w:r w:rsidRPr="00B06331">
        <w:rPr>
          <w:rFonts w:eastAsia="MS Mincho" w:cs="Calibri"/>
          <w:color w:val="FF0000"/>
          <w:szCs w:val="24"/>
        </w:rPr>
        <w:t>.</w:t>
      </w:r>
      <w:r w:rsidRPr="00B06331">
        <w:rPr>
          <w:rFonts w:eastAsia="MS Mincho" w:cs="Calibri"/>
          <w:szCs w:val="24"/>
        </w:rPr>
        <w:t>The Government together with partners will identify an innovative integrated approach that will bring together ways that will reduce food loss along production and supply chains. Other measures will include; linking smallholder farmers to market demand of both large anchor buyers and local alternative markets; aggregating farmers for training on</w:t>
      </w:r>
      <w:r w:rsidR="00E67D33" w:rsidRPr="00B06331">
        <w:rPr>
          <w:rFonts w:eastAsia="MS Mincho" w:cs="Calibri"/>
          <w:szCs w:val="24"/>
        </w:rPr>
        <w:t xml:space="preserve"> postharvest management, promoting</w:t>
      </w:r>
      <w:r w:rsidRPr="00B06331">
        <w:rPr>
          <w:rFonts w:eastAsia="MS Mincho" w:cs="Calibri"/>
          <w:szCs w:val="24"/>
        </w:rPr>
        <w:t xml:space="preserve"> adoptio</w:t>
      </w:r>
      <w:r w:rsidR="00E67D33" w:rsidRPr="00B06331">
        <w:rPr>
          <w:rFonts w:eastAsia="MS Mincho" w:cs="Calibri"/>
          <w:szCs w:val="24"/>
        </w:rPr>
        <w:t>n of technologies, and aggregating</w:t>
      </w:r>
      <w:r w:rsidRPr="00B06331">
        <w:rPr>
          <w:rFonts w:eastAsia="MS Mincho" w:cs="Calibri"/>
          <w:szCs w:val="24"/>
        </w:rPr>
        <w:t>agricultural commodities to meet consumer requirements; developing innovative finance mechanisms to promote agricul</w:t>
      </w:r>
      <w:r w:rsidR="00E67D33" w:rsidRPr="00B06331">
        <w:rPr>
          <w:rFonts w:eastAsia="MS Mincho" w:cs="Calibri"/>
          <w:szCs w:val="24"/>
        </w:rPr>
        <w:t>tural investments and facilitating</w:t>
      </w:r>
      <w:r w:rsidRPr="00B06331">
        <w:rPr>
          <w:rFonts w:eastAsia="MS Mincho" w:cs="Calibri"/>
          <w:szCs w:val="24"/>
        </w:rPr>
        <w:t xml:space="preserve"> distribution and acquisition of technologies, particularly among smallholder farmers and promoting the adoption of appropriate loss-reduction technologies to improve agricultural commodities handling, storage, and processing.</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b/>
          <w:i/>
          <w:szCs w:val="24"/>
        </w:rPr>
      </w:pPr>
      <w:r w:rsidRPr="00B06331">
        <w:rPr>
          <w:rFonts w:eastAsia="MS Mincho" w:cs="Calibri"/>
          <w:b/>
          <w:i/>
          <w:szCs w:val="24"/>
        </w:rPr>
        <w:t>Ensure timely availability of adequate and affordable agricultural inputs</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Government will take measures to ensure that quality inputs, machinery and equipment, necessary technologies, extension services and skilled labour are adequate and made available to the farmers in a timely manner. The involvement of the private sector will be encouraged and facilitated to harness the potential of small-medium entrepreneurs (SMEs) to lead in the provision of agricultural inputs to the farming communities.</w:t>
      </w:r>
    </w:p>
    <w:p w:rsidR="003A5A07" w:rsidRPr="00B06331" w:rsidRDefault="003A5A07" w:rsidP="003A5A07">
      <w:pPr>
        <w:spacing w:after="0" w:line="240" w:lineRule="auto"/>
        <w:contextualSpacing/>
        <w:jc w:val="both"/>
        <w:rPr>
          <w:rFonts w:eastAsia="MS Mincho" w:cs="Calibri"/>
          <w:szCs w:val="24"/>
        </w:rPr>
      </w:pPr>
    </w:p>
    <w:p w:rsidR="006A006A"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Premised on the Innovative Platform (an integrated approach to managing the value chains), government will also focus on ensuring an effective and sustainable seed sector and livestock inputs provision (day old chicks, feeds, drugsand vaccines)</w:t>
      </w:r>
      <w:r w:rsidR="00E47BD0" w:rsidRPr="00B06331">
        <w:rPr>
          <w:rFonts w:eastAsia="MS Mincho" w:cs="Calibri"/>
          <w:szCs w:val="24"/>
        </w:rPr>
        <w:t>. It will also take measures to</w:t>
      </w:r>
      <w:r w:rsidRPr="00B06331">
        <w:rPr>
          <w:rFonts w:eastAsia="MS Mincho" w:cs="Calibri"/>
          <w:szCs w:val="24"/>
        </w:rPr>
        <w:t xml:space="preserve"> create an environment to foster cooperation between government and partners for quick provision and delivery of improved varieties from research to farmers; improve access to global experience and </w:t>
      </w:r>
      <w:r w:rsidR="006A006A" w:rsidRPr="00B06331">
        <w:rPr>
          <w:rFonts w:eastAsia="MS Mincho" w:cs="Calibri"/>
          <w:szCs w:val="24"/>
        </w:rPr>
        <w:t>materials; sustainably</w:t>
      </w:r>
      <w:r w:rsidRPr="00B06331">
        <w:rPr>
          <w:rFonts w:eastAsia="MS Mincho" w:cs="Calibri"/>
          <w:szCs w:val="24"/>
        </w:rPr>
        <w:t xml:space="preserve"> manage the provision of fertilizer and pesticides to Gambian farmers especially </w:t>
      </w:r>
      <w:r w:rsidR="006A006A" w:rsidRPr="00B06331">
        <w:rPr>
          <w:rFonts w:eastAsia="MS Mincho" w:cs="Calibri"/>
          <w:szCs w:val="24"/>
        </w:rPr>
        <w:t>through public</w:t>
      </w:r>
      <w:r w:rsidRPr="00B06331">
        <w:rPr>
          <w:rFonts w:eastAsia="MS Mincho" w:cs="Calibri"/>
          <w:szCs w:val="24"/>
        </w:rPr>
        <w:t xml:space="preserve"> -private partnerships, rather than emphasizing state-driven approaches.</w:t>
      </w:r>
    </w:p>
    <w:p w:rsidR="006A006A" w:rsidRPr="00B06331" w:rsidRDefault="006A006A" w:rsidP="003A5A07">
      <w:pPr>
        <w:spacing w:after="0" w:line="240" w:lineRule="auto"/>
        <w:contextualSpacing/>
        <w:jc w:val="both"/>
        <w:rPr>
          <w:rFonts w:eastAsia="MS Mincho" w:cs="Calibri"/>
          <w:b/>
          <w:i/>
          <w:szCs w:val="24"/>
        </w:rPr>
      </w:pPr>
    </w:p>
    <w:p w:rsidR="003A5A07" w:rsidRPr="00B06331" w:rsidRDefault="003A5A07" w:rsidP="003A5A07">
      <w:pPr>
        <w:spacing w:after="0" w:line="240" w:lineRule="auto"/>
        <w:contextualSpacing/>
        <w:jc w:val="both"/>
        <w:rPr>
          <w:rFonts w:eastAsia="MS Mincho" w:cs="Calibri"/>
          <w:b/>
          <w:i/>
          <w:szCs w:val="24"/>
        </w:rPr>
      </w:pPr>
      <w:r w:rsidRPr="00B06331">
        <w:rPr>
          <w:rFonts w:eastAsia="MS Mincho" w:cs="Calibri"/>
          <w:b/>
          <w:i/>
          <w:szCs w:val="24"/>
        </w:rPr>
        <w:t>Promote Climate-Smart Agriculture (CSA)</w:t>
      </w:r>
    </w:p>
    <w:p w:rsidR="003A5A07" w:rsidRPr="00B06331" w:rsidRDefault="003A5A07" w:rsidP="003A5A07">
      <w:pPr>
        <w:spacing w:after="0" w:line="240" w:lineRule="auto"/>
        <w:contextualSpacing/>
        <w:jc w:val="both"/>
        <w:rPr>
          <w:rFonts w:eastAsia="MS Mincho" w:cs="Calibri"/>
          <w:szCs w:val="24"/>
        </w:rPr>
      </w:pPr>
    </w:p>
    <w:p w:rsidR="003A5A07" w:rsidRPr="00B06331" w:rsidRDefault="003A5A07" w:rsidP="003A5A07">
      <w:pPr>
        <w:spacing w:after="0" w:line="240" w:lineRule="auto"/>
        <w:contextualSpacing/>
        <w:jc w:val="both"/>
        <w:rPr>
          <w:rFonts w:eastAsia="MS Mincho" w:cs="Calibri"/>
          <w:szCs w:val="24"/>
        </w:rPr>
      </w:pPr>
      <w:r w:rsidRPr="00B06331">
        <w:rPr>
          <w:rFonts w:eastAsia="MS Mincho" w:cs="Calibri"/>
          <w:szCs w:val="24"/>
        </w:rPr>
        <w:t xml:space="preserve">As </w:t>
      </w:r>
      <w:r w:rsidR="006F3A32" w:rsidRPr="00B06331">
        <w:rPr>
          <w:rFonts w:eastAsia="MS Mincho" w:cs="Calibri"/>
          <w:szCs w:val="24"/>
        </w:rPr>
        <w:t>a</w:t>
      </w:r>
      <w:r w:rsidRPr="00B06331">
        <w:rPr>
          <w:rFonts w:eastAsia="MS Mincho" w:cs="Calibri"/>
          <w:szCs w:val="24"/>
        </w:rPr>
        <w:t xml:space="preserve">n effective starting strategy, </w:t>
      </w:r>
      <w:r w:rsidR="006A006A" w:rsidRPr="00B06331">
        <w:rPr>
          <w:rFonts w:eastAsia="MS Mincho" w:cs="Calibri"/>
          <w:szCs w:val="24"/>
        </w:rPr>
        <w:t>government will facilitate</w:t>
      </w:r>
      <w:r w:rsidRPr="00B06331">
        <w:rPr>
          <w:rFonts w:eastAsia="MS Mincho" w:cs="Calibri"/>
          <w:szCs w:val="24"/>
        </w:rPr>
        <w:t xml:space="preserve"> multi-stakeholders dialogue on CSA as a key to achieving a conducive and an enabling environment.  In this regard, the Government will promote </w:t>
      </w:r>
      <w:r w:rsidRPr="00B06331">
        <w:rPr>
          <w:rFonts w:eastAsia="MS Mincho" w:cs="Calibri"/>
          <w:szCs w:val="24"/>
        </w:rPr>
        <w:lastRenderedPageBreak/>
        <w:t>good and efficient governance of the natural resources and the equitable and transparent distribution of benefits to ensure the success of The Gambia’s climate-smart agriculture system. Agricultural innovation systems with public and private research as well as extension and advisory services will play a key role in supporting The Gambia’s transition towards CSA by documenting, generating, blending, and sharing indigenous and scientific knowledge. Such services will thus facilitate learning processes as well as network-based development and innovation</w:t>
      </w:r>
      <w:r w:rsidR="00E67D33" w:rsidRPr="00B06331">
        <w:rPr>
          <w:rFonts w:eastAsia="MS Mincho" w:cs="Calibri"/>
          <w:szCs w:val="24"/>
        </w:rPr>
        <w:t>, through</w:t>
      </w:r>
      <w:r w:rsidRPr="00B06331">
        <w:rPr>
          <w:rFonts w:eastAsia="MS Mincho" w:cs="Calibri"/>
          <w:szCs w:val="24"/>
        </w:rPr>
        <w:t>:</w:t>
      </w:r>
    </w:p>
    <w:p w:rsidR="003A5A07" w:rsidRPr="00B06331" w:rsidRDefault="003A5A07" w:rsidP="004143E3">
      <w:pPr>
        <w:numPr>
          <w:ilvl w:val="0"/>
          <w:numId w:val="23"/>
        </w:numPr>
        <w:spacing w:after="80" w:line="240" w:lineRule="auto"/>
        <w:contextualSpacing/>
        <w:jc w:val="both"/>
        <w:rPr>
          <w:rFonts w:eastAsia="Times New Roman" w:cs="Calibri"/>
          <w:szCs w:val="24"/>
        </w:rPr>
      </w:pPr>
      <w:r w:rsidRPr="00B06331">
        <w:rPr>
          <w:rFonts w:eastAsia="Times New Roman" w:cs="Calibri"/>
          <w:szCs w:val="24"/>
        </w:rPr>
        <w:t xml:space="preserve">Vulnerability assessments </w:t>
      </w:r>
    </w:p>
    <w:p w:rsidR="003A5A07" w:rsidRPr="00B06331" w:rsidRDefault="003A5A07" w:rsidP="004143E3">
      <w:pPr>
        <w:numPr>
          <w:ilvl w:val="0"/>
          <w:numId w:val="23"/>
        </w:numPr>
        <w:spacing w:after="80" w:line="240" w:lineRule="auto"/>
        <w:contextualSpacing/>
        <w:jc w:val="both"/>
        <w:rPr>
          <w:rFonts w:eastAsia="Times New Roman" w:cs="Calibri"/>
          <w:szCs w:val="24"/>
        </w:rPr>
      </w:pPr>
      <w:r w:rsidRPr="00B06331">
        <w:rPr>
          <w:rFonts w:eastAsia="Times New Roman" w:cs="Calibri"/>
          <w:szCs w:val="24"/>
        </w:rPr>
        <w:t>Capacity building for technical staff and farmers</w:t>
      </w:r>
    </w:p>
    <w:p w:rsidR="003A5A07" w:rsidRPr="00B06331" w:rsidRDefault="003A5A07" w:rsidP="004143E3">
      <w:pPr>
        <w:numPr>
          <w:ilvl w:val="0"/>
          <w:numId w:val="23"/>
        </w:numPr>
        <w:spacing w:after="80" w:line="240" w:lineRule="auto"/>
        <w:contextualSpacing/>
        <w:jc w:val="both"/>
        <w:rPr>
          <w:rFonts w:eastAsia="Times New Roman" w:cs="Calibri"/>
          <w:szCs w:val="24"/>
        </w:rPr>
      </w:pPr>
      <w:r w:rsidRPr="00B06331">
        <w:rPr>
          <w:rFonts w:eastAsia="Times New Roman" w:cs="Calibri"/>
          <w:szCs w:val="24"/>
        </w:rPr>
        <w:t xml:space="preserve">Development and adoption of CSA technologies and practices </w:t>
      </w:r>
    </w:p>
    <w:p w:rsidR="003A5A07" w:rsidRPr="00B06331" w:rsidRDefault="003A5A07" w:rsidP="004143E3">
      <w:pPr>
        <w:numPr>
          <w:ilvl w:val="0"/>
          <w:numId w:val="23"/>
        </w:numPr>
        <w:spacing w:after="80" w:line="240" w:lineRule="auto"/>
        <w:contextualSpacing/>
        <w:jc w:val="both"/>
        <w:rPr>
          <w:rFonts w:eastAsia="Times New Roman" w:cs="Calibri"/>
          <w:szCs w:val="24"/>
        </w:rPr>
      </w:pPr>
      <w:r w:rsidRPr="00B06331">
        <w:rPr>
          <w:rFonts w:eastAsia="Times New Roman" w:cs="Calibri"/>
          <w:szCs w:val="24"/>
        </w:rPr>
        <w:t xml:space="preserve">Strengthening of utilization, integrated of multi-hazard (drought-flood-food-insecurity) early warning systems. </w:t>
      </w:r>
    </w:p>
    <w:p w:rsidR="00772C6A" w:rsidRPr="00B06331" w:rsidRDefault="003A5A07" w:rsidP="003A5A07">
      <w:pPr>
        <w:numPr>
          <w:ilvl w:val="0"/>
          <w:numId w:val="23"/>
        </w:numPr>
        <w:spacing w:after="80" w:line="240" w:lineRule="auto"/>
        <w:contextualSpacing/>
        <w:jc w:val="both"/>
        <w:rPr>
          <w:rFonts w:eastAsia="Times New Roman" w:cs="Calibri"/>
          <w:szCs w:val="24"/>
        </w:rPr>
      </w:pPr>
      <w:r w:rsidRPr="00B06331">
        <w:rPr>
          <w:rFonts w:eastAsia="Times New Roman" w:cs="Calibri"/>
          <w:szCs w:val="24"/>
        </w:rPr>
        <w:t>Enabling policy environment and funding for farmers access</w:t>
      </w:r>
    </w:p>
    <w:p w:rsidR="00076564" w:rsidRPr="00B06331" w:rsidRDefault="00076564" w:rsidP="00076564">
      <w:pPr>
        <w:spacing w:after="80" w:line="240" w:lineRule="auto"/>
        <w:ind w:left="720"/>
        <w:contextualSpacing/>
        <w:jc w:val="both"/>
        <w:rPr>
          <w:rFonts w:eastAsia="Times New Roman" w:cs="Calibri"/>
          <w:szCs w:val="24"/>
        </w:rPr>
      </w:pPr>
    </w:p>
    <w:p w:rsidR="003A5A07" w:rsidRPr="00B06331" w:rsidRDefault="003A5A07" w:rsidP="003A5A07">
      <w:pPr>
        <w:jc w:val="both"/>
        <w:rPr>
          <w:rFonts w:cs="Calibri"/>
          <w:b/>
        </w:rPr>
      </w:pPr>
      <w:r w:rsidRPr="00B06331">
        <w:rPr>
          <w:rFonts w:cs="Calibri"/>
          <w:b/>
        </w:rPr>
        <w:t>Conservation of indigenous genetic resources</w:t>
      </w:r>
    </w:p>
    <w:p w:rsidR="003A5A07" w:rsidRPr="00B06331" w:rsidRDefault="003A5A07" w:rsidP="003A5A07">
      <w:pPr>
        <w:jc w:val="both"/>
        <w:rPr>
          <w:rFonts w:cs="Calibri"/>
        </w:rPr>
      </w:pPr>
      <w:r w:rsidRPr="00B06331">
        <w:rPr>
          <w:rFonts w:cs="Calibri"/>
        </w:rPr>
        <w:t xml:space="preserve">To reverse the erosion of livestock genetic resources, Government will adopt a comprehensive approach to promote the sustainable use, development, and conservation of animal genetic resources to increase food production and food security, reduce poverty and contribute to rural development.  The ongoing development and subsequent implementation of a National strategy and action plan for the management of Animal Genetic resources is geared towards achieving the above. </w:t>
      </w:r>
    </w:p>
    <w:p w:rsidR="003A5A07" w:rsidRPr="00B06331" w:rsidRDefault="003A5A07" w:rsidP="00772C6A">
      <w:pPr>
        <w:jc w:val="both"/>
        <w:rPr>
          <w:rFonts w:cs="Calibri"/>
        </w:rPr>
      </w:pPr>
      <w:r w:rsidRPr="00B06331">
        <w:rPr>
          <w:rFonts w:cs="Calibri"/>
        </w:rPr>
        <w:t xml:space="preserve">For crops considering the climate change and </w:t>
      </w:r>
      <w:r w:rsidR="00E47BD0" w:rsidRPr="00B06331">
        <w:rPr>
          <w:rFonts w:cs="Calibri"/>
        </w:rPr>
        <w:t>variability,</w:t>
      </w:r>
      <w:r w:rsidRPr="00B06331">
        <w:rPr>
          <w:rFonts w:cs="Calibri"/>
        </w:rPr>
        <w:t xml:space="preserve"> government will continue to pursue the utilization of indigenous species and varieties that are drought resistance and flood tolerant. </w:t>
      </w:r>
    </w:p>
    <w:p w:rsidR="003A5A07" w:rsidRPr="00B06331" w:rsidRDefault="003A5A07" w:rsidP="003A5A07">
      <w:pPr>
        <w:autoSpaceDE w:val="0"/>
        <w:autoSpaceDN w:val="0"/>
        <w:adjustRightInd w:val="0"/>
        <w:spacing w:after="0" w:line="240" w:lineRule="auto"/>
        <w:jc w:val="both"/>
        <w:rPr>
          <w:rFonts w:cs="Calibri"/>
          <w:b/>
        </w:rPr>
      </w:pPr>
      <w:r w:rsidRPr="00B06331">
        <w:rPr>
          <w:rFonts w:cs="Calibri"/>
          <w:b/>
        </w:rPr>
        <w:t>Pest and Disease prevention and control</w:t>
      </w:r>
    </w:p>
    <w:p w:rsidR="003A5A07" w:rsidRPr="00B06331" w:rsidRDefault="003A5A07" w:rsidP="003A5A07">
      <w:pPr>
        <w:autoSpaceDE w:val="0"/>
        <w:autoSpaceDN w:val="0"/>
        <w:adjustRightInd w:val="0"/>
        <w:spacing w:after="0" w:line="240" w:lineRule="auto"/>
        <w:ind w:left="360"/>
        <w:jc w:val="both"/>
        <w:rPr>
          <w:rFonts w:cs="Calibri"/>
          <w:color w:val="C0504D"/>
        </w:rPr>
      </w:pPr>
    </w:p>
    <w:p w:rsidR="003A5A07" w:rsidRPr="00B06331" w:rsidRDefault="003A5A07" w:rsidP="00772C6A">
      <w:pPr>
        <w:autoSpaceDE w:val="0"/>
        <w:autoSpaceDN w:val="0"/>
        <w:adjustRightInd w:val="0"/>
        <w:spacing w:after="0" w:line="240" w:lineRule="auto"/>
        <w:jc w:val="both"/>
        <w:rPr>
          <w:rFonts w:cs="Calibri"/>
        </w:rPr>
      </w:pPr>
      <w:r w:rsidRPr="00B06331">
        <w:rPr>
          <w:rFonts w:cs="Calibri"/>
          <w:color w:val="000000"/>
        </w:rPr>
        <w:t xml:space="preserve">Pest and Diseases are one of the major constraints inhibiting agricultural production. Over the years, disease outbreaks have had devastating effects </w:t>
      </w:r>
      <w:r w:rsidR="006A006A" w:rsidRPr="00B06331">
        <w:rPr>
          <w:rFonts w:cs="Calibri"/>
          <w:color w:val="000000"/>
        </w:rPr>
        <w:t>on animal</w:t>
      </w:r>
      <w:r w:rsidRPr="00B06331">
        <w:rPr>
          <w:rFonts w:cs="Calibri"/>
          <w:color w:val="000000"/>
        </w:rPr>
        <w:t xml:space="preserve"> population and crop productivity, resulting in a negative impact on both rural and national economies. Frequent outbreaks of diseases such CBPP in cattle’s, PPR in small ruminant and NCD in poultry have decimating effect on national livestock populations. </w:t>
      </w:r>
      <w:r w:rsidRPr="00B06331">
        <w:rPr>
          <w:rFonts w:cs="Calibri"/>
        </w:rPr>
        <w:t xml:space="preserve">The weak epidemio-surveillance network in existence will be strengthened to be able to determine the real epidemiological situation of the </w:t>
      </w:r>
      <w:r w:rsidR="006A006A" w:rsidRPr="00B06331">
        <w:rPr>
          <w:rFonts w:cs="Calibri"/>
        </w:rPr>
        <w:t>above-mentioned</w:t>
      </w:r>
      <w:r w:rsidRPr="00B06331">
        <w:rPr>
          <w:rFonts w:cs="Calibri"/>
        </w:rPr>
        <w:t xml:space="preserve"> diseases.  This will enable the prioritization and timely implementation of pr</w:t>
      </w:r>
      <w:r w:rsidR="00772C6A" w:rsidRPr="00B06331">
        <w:rPr>
          <w:rFonts w:cs="Calibri"/>
        </w:rPr>
        <w:t xml:space="preserve">evention and control measures. </w:t>
      </w:r>
    </w:p>
    <w:p w:rsidR="00772C6A" w:rsidRPr="00B06331" w:rsidRDefault="00772C6A" w:rsidP="00772C6A">
      <w:pPr>
        <w:autoSpaceDE w:val="0"/>
        <w:autoSpaceDN w:val="0"/>
        <w:adjustRightInd w:val="0"/>
        <w:spacing w:after="0" w:line="240" w:lineRule="auto"/>
        <w:jc w:val="both"/>
        <w:rPr>
          <w:rFonts w:cs="Calibri"/>
        </w:rPr>
      </w:pPr>
    </w:p>
    <w:p w:rsidR="006A006A" w:rsidRPr="00B06331" w:rsidRDefault="003A5A07" w:rsidP="003A5A07">
      <w:pPr>
        <w:jc w:val="both"/>
        <w:rPr>
          <w:rFonts w:cs="Calibri"/>
        </w:rPr>
      </w:pPr>
      <w:r w:rsidRPr="00B06331">
        <w:rPr>
          <w:rFonts w:cs="Calibri"/>
        </w:rPr>
        <w:t xml:space="preserve">For crops, measures will be adopted to control outbreaks of avid in tomatoes, Fruit flies and mill bugs in mangoes, downy mildew in maize and hippotamous and qualer qualer birds in rice. </w:t>
      </w:r>
    </w:p>
    <w:p w:rsidR="003A5A07" w:rsidRPr="00B06331" w:rsidRDefault="003A5A07" w:rsidP="003A5A07">
      <w:pPr>
        <w:pStyle w:val="Heading3"/>
        <w:rPr>
          <w:rFonts w:ascii="Calibri" w:hAnsi="Calibri" w:cs="Calibri"/>
          <w:b/>
          <w:sz w:val="22"/>
          <w:szCs w:val="22"/>
        </w:rPr>
      </w:pPr>
      <w:bookmarkStart w:id="121" w:name="_Toc492364778"/>
      <w:r w:rsidRPr="00B06331">
        <w:rPr>
          <w:rFonts w:ascii="Calibri" w:hAnsi="Calibri" w:cs="Calibri"/>
          <w:b/>
          <w:sz w:val="22"/>
          <w:szCs w:val="22"/>
        </w:rPr>
        <w:t>7.4.3 Fisheries</w:t>
      </w:r>
      <w:bookmarkEnd w:id="120"/>
      <w:bookmarkEnd w:id="121"/>
    </w:p>
    <w:p w:rsidR="003A5A07" w:rsidRPr="00B06331" w:rsidRDefault="003A5A07" w:rsidP="003A5A07">
      <w:pPr>
        <w:pStyle w:val="BodyText2"/>
        <w:tabs>
          <w:tab w:val="left" w:pos="0"/>
        </w:tabs>
        <w:rPr>
          <w:rFonts w:ascii="Avenir Book" w:eastAsia="MS Mincho" w:hAnsi="Avenir Book"/>
          <w:sz w:val="22"/>
        </w:rPr>
      </w:pPr>
    </w:p>
    <w:p w:rsidR="003A5A07" w:rsidRPr="00B06331" w:rsidRDefault="003A5A07" w:rsidP="003A5A07">
      <w:pPr>
        <w:pStyle w:val="BodyText2"/>
        <w:tabs>
          <w:tab w:val="left" w:pos="0"/>
        </w:tabs>
        <w:rPr>
          <w:rFonts w:ascii="Avenir Book" w:eastAsia="MS Mincho" w:hAnsi="Avenir Book"/>
          <w:sz w:val="22"/>
        </w:rPr>
      </w:pPr>
      <w:r w:rsidRPr="00B06331">
        <w:rPr>
          <w:rFonts w:ascii="Avenir Book" w:eastAsia="MS Mincho" w:hAnsi="Avenir Book"/>
          <w:sz w:val="22"/>
        </w:rPr>
        <w:t>During the plan period, government will make renewed efforts to promote a vibrant Fisheries and Aquaculture Sector through research, sustainable management and utilization ofthe fisheries resources that would enhance employment and livelihood opportunities, income and foreign exchange earnings, food and nutrition security.</w:t>
      </w:r>
    </w:p>
    <w:p w:rsidR="003A5A07" w:rsidRPr="00B06331" w:rsidRDefault="003A5A07" w:rsidP="003A5A07">
      <w:pPr>
        <w:pStyle w:val="BodyText2"/>
        <w:tabs>
          <w:tab w:val="left" w:pos="0"/>
        </w:tabs>
        <w:rPr>
          <w:rFonts w:ascii="Avenir Book" w:eastAsia="MS Mincho" w:hAnsi="Avenir Book"/>
          <w:sz w:val="22"/>
        </w:rPr>
      </w:pPr>
    </w:p>
    <w:p w:rsidR="003A5A07" w:rsidRPr="00B06331" w:rsidRDefault="003A5A07" w:rsidP="003A5A07">
      <w:pPr>
        <w:jc w:val="both"/>
        <w:rPr>
          <w:rFonts w:ascii="Avenir Book" w:eastAsia="MS Mincho" w:hAnsi="Avenir Book"/>
          <w:b/>
          <w:i/>
          <w:szCs w:val="20"/>
        </w:rPr>
      </w:pPr>
      <w:r w:rsidRPr="00B06331">
        <w:rPr>
          <w:rFonts w:ascii="Avenir Book" w:eastAsia="MS Mincho" w:hAnsi="Avenir Book"/>
        </w:rPr>
        <w:t xml:space="preserve">The goal of the fisheries sector is to: </w:t>
      </w:r>
      <w:r w:rsidRPr="00B06331">
        <w:rPr>
          <w:rFonts w:ascii="Avenir Book" w:eastAsia="MS Mincho" w:hAnsi="Avenir Book"/>
          <w:b/>
          <w:i/>
          <w:szCs w:val="20"/>
        </w:rPr>
        <w:t xml:space="preserve">promote a vibrant Fisheries and Aquaculture Sector through research, sustainable management and utilization ofthe fisheries resources that would enhance </w:t>
      </w:r>
      <w:r w:rsidRPr="00B06331">
        <w:rPr>
          <w:rFonts w:ascii="Avenir Book" w:eastAsia="MS Mincho" w:hAnsi="Avenir Book"/>
          <w:b/>
          <w:i/>
          <w:szCs w:val="20"/>
        </w:rPr>
        <w:lastRenderedPageBreak/>
        <w:t xml:space="preserve">employment and livelihood opportunities, income and foreign exchange earnings, </w:t>
      </w:r>
      <w:r w:rsidR="006A006A" w:rsidRPr="00B06331">
        <w:rPr>
          <w:rFonts w:ascii="Avenir Book" w:eastAsia="MS Mincho" w:hAnsi="Avenir Book"/>
          <w:b/>
          <w:i/>
          <w:szCs w:val="20"/>
        </w:rPr>
        <w:t>food,</w:t>
      </w:r>
      <w:r w:rsidRPr="00B06331">
        <w:rPr>
          <w:rFonts w:ascii="Avenir Book" w:eastAsia="MS Mincho" w:hAnsi="Avenir Book"/>
          <w:b/>
          <w:i/>
          <w:szCs w:val="20"/>
        </w:rPr>
        <w:t xml:space="preserve"> and nutrition security.</w:t>
      </w:r>
    </w:p>
    <w:p w:rsidR="00076564" w:rsidRPr="00B06331" w:rsidRDefault="00076564" w:rsidP="003A5A07">
      <w:pPr>
        <w:jc w:val="both"/>
        <w:rPr>
          <w:rFonts w:ascii="Avenir Book" w:eastAsia="MS Mincho" w:hAnsi="Avenir Book"/>
          <w:b/>
          <w:i/>
          <w:szCs w:val="20"/>
        </w:rPr>
      </w:pPr>
    </w:p>
    <w:p w:rsidR="00076564" w:rsidRPr="00B06331" w:rsidRDefault="00076564" w:rsidP="003A5A07">
      <w:pPr>
        <w:jc w:val="both"/>
        <w:rPr>
          <w:rFonts w:ascii="Avenir Book" w:eastAsia="MS Mincho" w:hAnsi="Avenir Book"/>
          <w:b/>
          <w:i/>
          <w:szCs w:val="20"/>
        </w:rPr>
      </w:pPr>
    </w:p>
    <w:p w:rsidR="003A5A07" w:rsidRPr="00B06331" w:rsidRDefault="003A5A07" w:rsidP="003A5A07">
      <w:pPr>
        <w:jc w:val="both"/>
        <w:rPr>
          <w:rFonts w:ascii="Avenir Book" w:eastAsia="MS Mincho" w:hAnsi="Avenir Book"/>
          <w:b/>
          <w:szCs w:val="20"/>
        </w:rPr>
      </w:pPr>
      <w:r w:rsidRPr="00B06331">
        <w:rPr>
          <w:rFonts w:ascii="Avenir Book" w:eastAsia="MS Mincho" w:hAnsi="Avenir Book"/>
          <w:b/>
          <w:szCs w:val="20"/>
        </w:rPr>
        <w:t xml:space="preserve">Table 7.4: Key </w:t>
      </w:r>
      <w:r w:rsidR="006A006A" w:rsidRPr="00B06331">
        <w:rPr>
          <w:rFonts w:ascii="Avenir Book" w:eastAsia="MS Mincho" w:hAnsi="Avenir Book"/>
          <w:b/>
          <w:szCs w:val="20"/>
        </w:rPr>
        <w:t xml:space="preserve">Expected </w:t>
      </w:r>
      <w:r w:rsidRPr="00B06331">
        <w:rPr>
          <w:rFonts w:ascii="Avenir Book" w:eastAsia="MS Mincho" w:hAnsi="Avenir Book"/>
          <w:b/>
          <w:szCs w:val="20"/>
        </w:rPr>
        <w:t xml:space="preserve">Results </w:t>
      </w:r>
      <w:r w:rsidR="00772C6A" w:rsidRPr="00B06331">
        <w:rPr>
          <w:rFonts w:ascii="Avenir Book" w:eastAsia="MS Mincho" w:hAnsi="Avenir Book"/>
          <w:b/>
          <w:szCs w:val="20"/>
        </w:rPr>
        <w:t xml:space="preserve">for Fisheries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5"/>
      </w:tblGrid>
      <w:tr w:rsidR="003A5A07" w:rsidRPr="00B06331" w:rsidTr="006A006A">
        <w:tc>
          <w:tcPr>
            <w:tcW w:w="6835" w:type="dxa"/>
            <w:shd w:val="clear" w:color="auto" w:fill="D9E2F3" w:themeFill="accent1" w:themeFillTint="33"/>
          </w:tcPr>
          <w:p w:rsidR="003A5A07" w:rsidRPr="00B06331" w:rsidRDefault="00D349BA" w:rsidP="004143E3">
            <w:pPr>
              <w:pStyle w:val="ListParagraph"/>
              <w:numPr>
                <w:ilvl w:val="0"/>
                <w:numId w:val="45"/>
              </w:numPr>
              <w:spacing w:after="0"/>
              <w:rPr>
                <w:rFonts w:ascii="Avenir Book" w:hAnsi="Avenir Book"/>
                <w:sz w:val="20"/>
              </w:rPr>
            </w:pPr>
            <w:r w:rsidRPr="00B06331">
              <w:rPr>
                <w:rFonts w:ascii="Avenir Book" w:hAnsi="Avenir Book"/>
                <w:sz w:val="20"/>
              </w:rPr>
              <w:t>A revised fisheries</w:t>
            </w:r>
            <w:r w:rsidR="003A5A07" w:rsidRPr="00B06331">
              <w:rPr>
                <w:rFonts w:ascii="Avenir Book" w:hAnsi="Avenir Book"/>
                <w:sz w:val="20"/>
              </w:rPr>
              <w:t xml:space="preserve"> policy, </w:t>
            </w:r>
            <w:r w:rsidR="006A006A" w:rsidRPr="00B06331">
              <w:rPr>
                <w:rFonts w:ascii="Avenir Book" w:hAnsi="Avenir Book"/>
                <w:sz w:val="20"/>
              </w:rPr>
              <w:t>Act,and regulations</w:t>
            </w:r>
            <w:r w:rsidR="003A5A07" w:rsidRPr="00B06331">
              <w:rPr>
                <w:rFonts w:ascii="Avenir Book" w:hAnsi="Avenir Book"/>
                <w:sz w:val="20"/>
              </w:rPr>
              <w:tab/>
            </w:r>
          </w:p>
          <w:p w:rsidR="003A5A07" w:rsidRPr="00B06331" w:rsidRDefault="003A5A07" w:rsidP="004143E3">
            <w:pPr>
              <w:pStyle w:val="ListParagraph"/>
              <w:numPr>
                <w:ilvl w:val="0"/>
                <w:numId w:val="45"/>
              </w:numPr>
              <w:spacing w:after="0"/>
              <w:rPr>
                <w:rFonts w:ascii="Avenir Book" w:hAnsi="Avenir Book"/>
                <w:sz w:val="20"/>
              </w:rPr>
            </w:pPr>
            <w:r w:rsidRPr="00B06331">
              <w:rPr>
                <w:rFonts w:ascii="Avenir Book" w:hAnsi="Avenir Book"/>
                <w:sz w:val="20"/>
              </w:rPr>
              <w:t>Increase Fisheries as a percentage of GDP from TBD%</w:t>
            </w:r>
            <w:r w:rsidRPr="00B06331">
              <w:rPr>
                <w:rFonts w:ascii="Avenir Book" w:hAnsi="Avenir Book"/>
                <w:sz w:val="20"/>
              </w:rPr>
              <w:tab/>
              <w:t>to TBD %</w:t>
            </w:r>
          </w:p>
          <w:p w:rsidR="003A5A07" w:rsidRPr="00B06331" w:rsidRDefault="003A5A07" w:rsidP="004143E3">
            <w:pPr>
              <w:pStyle w:val="ListParagraph"/>
              <w:numPr>
                <w:ilvl w:val="0"/>
                <w:numId w:val="45"/>
              </w:numPr>
              <w:spacing w:after="0"/>
              <w:rPr>
                <w:rFonts w:ascii="Avenir Book" w:hAnsi="Avenir Book"/>
                <w:sz w:val="20"/>
              </w:rPr>
            </w:pPr>
            <w:r w:rsidRPr="00B06331">
              <w:rPr>
                <w:rFonts w:ascii="Avenir Book" w:hAnsi="Avenir Book"/>
                <w:sz w:val="20"/>
              </w:rPr>
              <w:t>Increase the Proportion of fish stocks within biologically sustainable levels from %TBD to% TBD</w:t>
            </w:r>
          </w:p>
          <w:p w:rsidR="003A5A07" w:rsidRPr="00B06331" w:rsidRDefault="003A5A07" w:rsidP="004143E3">
            <w:pPr>
              <w:numPr>
                <w:ilvl w:val="0"/>
                <w:numId w:val="45"/>
              </w:numPr>
              <w:jc w:val="both"/>
              <w:rPr>
                <w:rFonts w:ascii="Avenir Book" w:hAnsi="Avenir Book"/>
                <w:sz w:val="20"/>
              </w:rPr>
            </w:pPr>
            <w:r w:rsidRPr="00B06331">
              <w:rPr>
                <w:rFonts w:ascii="Avenir Book" w:hAnsi="Avenir Book"/>
                <w:sz w:val="20"/>
              </w:rPr>
              <w:t>Increase Total production of Fish resources</w:t>
            </w:r>
          </w:p>
        </w:tc>
      </w:tr>
    </w:tbl>
    <w:p w:rsidR="003A5A07" w:rsidRPr="00B06331" w:rsidRDefault="003A5A07" w:rsidP="003A5A07">
      <w:pPr>
        <w:jc w:val="both"/>
        <w:rPr>
          <w:rFonts w:ascii="Avenir Book" w:eastAsia="MS Mincho" w:hAnsi="Avenir Book"/>
          <w:szCs w:val="20"/>
        </w:rPr>
      </w:pPr>
    </w:p>
    <w:p w:rsidR="006A006A" w:rsidRPr="00B06331" w:rsidRDefault="003A5A07" w:rsidP="00772C6A">
      <w:pPr>
        <w:pStyle w:val="BodyText2"/>
        <w:tabs>
          <w:tab w:val="left" w:pos="0"/>
        </w:tabs>
        <w:rPr>
          <w:rFonts w:ascii="Avenir Book" w:eastAsia="MS Mincho" w:hAnsi="Avenir Book"/>
          <w:sz w:val="22"/>
        </w:rPr>
      </w:pPr>
      <w:r w:rsidRPr="00B06331">
        <w:rPr>
          <w:rFonts w:ascii="Avenir Book" w:eastAsia="MS Mincho" w:hAnsi="Avenir Book"/>
          <w:sz w:val="22"/>
        </w:rPr>
        <w:t xml:space="preserve">Two outcomes (outcomes 3.5 and 3.6) to achieve this goal and promote fisheries development are detailed below. </w:t>
      </w:r>
    </w:p>
    <w:p w:rsidR="00772C6A" w:rsidRPr="00B06331" w:rsidRDefault="00772C6A" w:rsidP="00772C6A">
      <w:pPr>
        <w:pStyle w:val="BodyText2"/>
        <w:tabs>
          <w:tab w:val="left" w:pos="0"/>
        </w:tabs>
        <w:rPr>
          <w:rFonts w:ascii="Avenir Book" w:eastAsia="MS Mincho" w:hAnsi="Avenir Book"/>
          <w:sz w:val="22"/>
        </w:rPr>
      </w:pPr>
    </w:p>
    <w:p w:rsidR="006A006A" w:rsidRPr="00B06331" w:rsidRDefault="006A006A" w:rsidP="003A5A07">
      <w:pPr>
        <w:rPr>
          <w:rFonts w:ascii="Avenir Book" w:eastAsia="MS Mincho" w:hAnsi="Avenir Book"/>
          <w:b/>
          <w:i/>
          <w:color w:val="4472C4" w:themeColor="accent1"/>
          <w:szCs w:val="20"/>
        </w:rPr>
      </w:pPr>
      <w:r w:rsidRPr="00B06331">
        <w:rPr>
          <w:rFonts w:ascii="Avenir Book" w:eastAsia="MS Mincho" w:hAnsi="Avenir Book"/>
          <w:b/>
          <w:i/>
          <w:color w:val="4472C4" w:themeColor="accent1"/>
          <w:szCs w:val="20"/>
        </w:rPr>
        <w:t>Outcome 3.4: Enhanced Institutional Efficiency and Effectiveness</w:t>
      </w:r>
      <w:r w:rsidR="00B56860" w:rsidRPr="00B06331">
        <w:rPr>
          <w:rFonts w:ascii="Avenir Book" w:eastAsia="MS Mincho" w:hAnsi="Avenir Book"/>
          <w:b/>
          <w:i/>
          <w:color w:val="4472C4" w:themeColor="accent1"/>
          <w:szCs w:val="20"/>
        </w:rPr>
        <w:t xml:space="preserve"> for the Fisheries Sector</w:t>
      </w:r>
    </w:p>
    <w:p w:rsidR="003A5A07" w:rsidRPr="00B06331" w:rsidRDefault="003A5A07" w:rsidP="003A5A07">
      <w:pPr>
        <w:rPr>
          <w:rFonts w:ascii="Avenir Book" w:eastAsia="MS Mincho" w:hAnsi="Avenir Book"/>
          <w:b/>
          <w:szCs w:val="20"/>
        </w:rPr>
      </w:pPr>
      <w:r w:rsidRPr="00B06331">
        <w:rPr>
          <w:rFonts w:ascii="Avenir Book" w:eastAsia="MS Mincho" w:hAnsi="Avenir Book"/>
          <w:b/>
          <w:szCs w:val="20"/>
        </w:rPr>
        <w:t>Strengthen Policy, legislative and Regulatory Framework</w:t>
      </w:r>
    </w:p>
    <w:p w:rsidR="003A5A07" w:rsidRPr="00B06331" w:rsidRDefault="003A5A07" w:rsidP="003A5A07">
      <w:pPr>
        <w:jc w:val="both"/>
        <w:rPr>
          <w:rFonts w:ascii="Avenir Book" w:eastAsia="MS Mincho" w:hAnsi="Avenir Book"/>
          <w:szCs w:val="20"/>
        </w:rPr>
      </w:pPr>
      <w:r w:rsidRPr="00B06331">
        <w:rPr>
          <w:rFonts w:ascii="Avenir Book" w:eastAsia="MS Mincho" w:hAnsi="Avenir Book"/>
          <w:szCs w:val="20"/>
        </w:rPr>
        <w:t xml:space="preserve">During the plan period, Government will strengthen the legislative, policy and regulatory framework for the fisheries sector by aligning them with international best practices for good governance and sustainable fisheries management through the following measures: </w:t>
      </w:r>
    </w:p>
    <w:p w:rsidR="003A5A07" w:rsidRPr="00B06331" w:rsidRDefault="003A5A07" w:rsidP="004143E3">
      <w:pPr>
        <w:pStyle w:val="ListParagraph"/>
        <w:numPr>
          <w:ilvl w:val="0"/>
          <w:numId w:val="22"/>
        </w:numPr>
        <w:jc w:val="both"/>
        <w:rPr>
          <w:rFonts w:ascii="Avenir Book" w:hAnsi="Avenir Book"/>
          <w:szCs w:val="20"/>
        </w:rPr>
      </w:pPr>
      <w:r w:rsidRPr="00B06331">
        <w:rPr>
          <w:rFonts w:ascii="Avenir Book" w:hAnsi="Avenir Book"/>
          <w:szCs w:val="20"/>
        </w:rPr>
        <w:t xml:space="preserve">Formulation of an Aquaculture policy, Act and Regulation – currently, all aquaculture matters are treated in Fisheries Policy, Act and Regulations thereby hindering the development of the aquaculture subsector to the levels envisaged. In a bid to provide the requisite enabling environment, Government will formulate an aquaculture Act, Policy, and Regulation. </w:t>
      </w:r>
    </w:p>
    <w:p w:rsidR="003A5A07" w:rsidRPr="00B06331" w:rsidRDefault="003A5A07" w:rsidP="004143E3">
      <w:pPr>
        <w:pStyle w:val="ListParagraph"/>
        <w:numPr>
          <w:ilvl w:val="0"/>
          <w:numId w:val="22"/>
        </w:numPr>
        <w:jc w:val="both"/>
        <w:rPr>
          <w:rFonts w:ascii="Avenir Book" w:hAnsi="Avenir Book"/>
          <w:szCs w:val="20"/>
        </w:rPr>
      </w:pPr>
      <w:r w:rsidRPr="00B06331">
        <w:rPr>
          <w:rFonts w:ascii="Avenir Book" w:hAnsi="Avenir Book"/>
          <w:szCs w:val="20"/>
        </w:rPr>
        <w:t xml:space="preserve">Revision of the Fisheries Act, </w:t>
      </w:r>
      <w:r w:rsidR="00B56860" w:rsidRPr="00B06331">
        <w:rPr>
          <w:rFonts w:ascii="Avenir Book" w:hAnsi="Avenir Book"/>
          <w:szCs w:val="20"/>
        </w:rPr>
        <w:t>Policy,</w:t>
      </w:r>
      <w:r w:rsidRPr="00B06331">
        <w:rPr>
          <w:rFonts w:ascii="Avenir Book" w:hAnsi="Avenir Book"/>
          <w:szCs w:val="20"/>
        </w:rPr>
        <w:t xml:space="preserve"> and Regulation: In response to the emerging issues that need to be addressed, Government will revise the Fisheries Policy, Act and Regulations and include a strong incentive to attract the youth to the sector. Furthermore, to promote trade in fish and fishery products (domestic and export), a Fisheries Product Regulations will be formulated during the period. This will rationalize the issuance of licensing of fishing vessels and enforce the license conditions for sus</w:t>
      </w:r>
      <w:r w:rsidR="00920127" w:rsidRPr="00B06331">
        <w:rPr>
          <w:rFonts w:ascii="Avenir Book" w:hAnsi="Avenir Book"/>
          <w:szCs w:val="20"/>
        </w:rPr>
        <w:t>tainable exploitation of the country</w:t>
      </w:r>
      <w:r w:rsidRPr="00B06331">
        <w:rPr>
          <w:rFonts w:ascii="Avenir Book" w:hAnsi="Avenir Book"/>
          <w:szCs w:val="20"/>
        </w:rPr>
        <w:t xml:space="preserve">’s fish endowments. </w:t>
      </w:r>
    </w:p>
    <w:p w:rsidR="003A5A07" w:rsidRPr="00B06331" w:rsidRDefault="003A5A07" w:rsidP="004143E3">
      <w:pPr>
        <w:pStyle w:val="ListParagraph"/>
        <w:numPr>
          <w:ilvl w:val="0"/>
          <w:numId w:val="22"/>
        </w:numPr>
        <w:jc w:val="both"/>
        <w:rPr>
          <w:rFonts w:ascii="Avenir Book" w:hAnsi="Avenir Book"/>
          <w:szCs w:val="20"/>
        </w:rPr>
      </w:pPr>
      <w:r w:rsidRPr="00B06331">
        <w:rPr>
          <w:rFonts w:ascii="Avenir Book" w:hAnsi="Avenir Book"/>
          <w:szCs w:val="20"/>
        </w:rPr>
        <w:t>A Fisheries Trade Policy will be formulated that will serve as a guide in regulating Gambia’s markets Fish and fisheries products overseas, and will thus support the country claim a greater share of the international market.</w:t>
      </w:r>
    </w:p>
    <w:p w:rsidR="003A5A07" w:rsidRPr="00B06331" w:rsidRDefault="003A5A07" w:rsidP="004143E3">
      <w:pPr>
        <w:pStyle w:val="ListParagraph"/>
        <w:numPr>
          <w:ilvl w:val="0"/>
          <w:numId w:val="22"/>
        </w:numPr>
        <w:jc w:val="both"/>
        <w:rPr>
          <w:rFonts w:ascii="Avenir Book" w:hAnsi="Avenir Book"/>
          <w:szCs w:val="20"/>
        </w:rPr>
      </w:pPr>
      <w:r w:rsidRPr="00B06331">
        <w:rPr>
          <w:rFonts w:ascii="Avenir Book" w:hAnsi="Avenir Book"/>
          <w:szCs w:val="20"/>
        </w:rPr>
        <w:t xml:space="preserve">Management plans for fish resources: Fisheries management plans are needed for sustainable and efficient resource management. There are two existing Fisheries Management Plans- Sole fish and oyster/cockle. To complement these and respond to present realities, four additional </w:t>
      </w:r>
      <w:r w:rsidRPr="00B06331">
        <w:rPr>
          <w:rFonts w:ascii="Avenir Book" w:hAnsi="Avenir Book"/>
          <w:szCs w:val="20"/>
        </w:rPr>
        <w:lastRenderedPageBreak/>
        <w:t>management plans for four different fish species will be formulated during the plan period. The objective of the management plans is to have a clear knowledge of the fish species, including the estimated biomass, length frequency, migration pattern, utilization, benefits, etc. to sustainably manage the fisheries resources.</w:t>
      </w:r>
    </w:p>
    <w:p w:rsidR="00772C6A" w:rsidRPr="00B06331" w:rsidRDefault="003A5A07" w:rsidP="003A5A07">
      <w:pPr>
        <w:pStyle w:val="ListParagraph"/>
        <w:numPr>
          <w:ilvl w:val="0"/>
          <w:numId w:val="22"/>
        </w:numPr>
        <w:jc w:val="both"/>
        <w:rPr>
          <w:rFonts w:ascii="Avenir Book" w:hAnsi="Avenir Book"/>
          <w:b/>
          <w:szCs w:val="20"/>
        </w:rPr>
      </w:pPr>
      <w:r w:rsidRPr="00B06331">
        <w:rPr>
          <w:rFonts w:ascii="Avenir Book" w:hAnsi="Avenir Book"/>
          <w:szCs w:val="20"/>
        </w:rPr>
        <w:t>Advocate for accessing fisheries development fund, and acquiring 15% of the Fisheries revenue paid by fishing companies to Municipalities and area councils: The objective of the existing Fisheries Development Fund is to plow back part of the proceeds into the sector for its development. During the plan period, robust management systems will be implemented to ensure the ra</w:t>
      </w:r>
      <w:r w:rsidR="00920127" w:rsidRPr="00B06331">
        <w:rPr>
          <w:rFonts w:ascii="Avenir Book" w:hAnsi="Avenir Book"/>
          <w:szCs w:val="20"/>
        </w:rPr>
        <w:t>tional utilization of the fund.</w:t>
      </w:r>
    </w:p>
    <w:p w:rsidR="003A5A07" w:rsidRPr="00B06331" w:rsidRDefault="003A5A07" w:rsidP="003A5A07">
      <w:pPr>
        <w:rPr>
          <w:rFonts w:ascii="Avenir Book" w:eastAsia="MS Mincho" w:hAnsi="Avenir Book"/>
          <w:b/>
          <w:szCs w:val="20"/>
        </w:rPr>
      </w:pPr>
      <w:r w:rsidRPr="00B06331">
        <w:rPr>
          <w:rFonts w:ascii="Avenir Book" w:eastAsia="MS Mincho" w:hAnsi="Avenir Book"/>
          <w:b/>
          <w:szCs w:val="20"/>
        </w:rPr>
        <w:t>Develop and Implement a Comprehensive Capacity Building Programme</w:t>
      </w:r>
    </w:p>
    <w:p w:rsidR="00920127" w:rsidRPr="00B06331" w:rsidRDefault="003A5A07" w:rsidP="00920127">
      <w:pPr>
        <w:pStyle w:val="ListParagraph"/>
        <w:ind w:left="0"/>
        <w:jc w:val="both"/>
      </w:pPr>
      <w:r w:rsidRPr="00B06331">
        <w:t>To enhance fisheries’ contribution to national development, Government will in this plan</w:t>
      </w:r>
      <w:r w:rsidR="00920127" w:rsidRPr="00B06331">
        <w:t xml:space="preserve"> period</w:t>
      </w:r>
      <w:r w:rsidRPr="00B06331">
        <w:t xml:space="preserve">, (1) </w:t>
      </w:r>
      <w:r w:rsidR="00920127" w:rsidRPr="00B06331">
        <w:rPr>
          <w:rFonts w:ascii="Avenir Book" w:hAnsi="Avenir Book"/>
          <w:szCs w:val="20"/>
        </w:rPr>
        <w:t>determine the potential sustainable benefits that The Gambia’s fish resources can generate and (2) identify the viable approaches to realize such benefits and retain them by analyzing the comparative advantage of the coun</w:t>
      </w:r>
      <w:r w:rsidR="00920127" w:rsidRPr="00B06331">
        <w:rPr>
          <w:rFonts w:ascii="Avenir Book" w:eastAsia="MS Mincho" w:hAnsi="Avenir Book"/>
          <w:b/>
          <w:szCs w:val="20"/>
          <w:lang/>
        </w:rPr>
        <w:t>t</w:t>
      </w:r>
      <w:r w:rsidR="00920127" w:rsidRPr="00B06331">
        <w:t>ry in the sector and (3) determining and developing the human resource, tools and systems required to promote the fisheries development agenda. The comparative advantage analysis would also include determination of the current condition, as well as, identifying critical physical, institutional, and financial infrastructure that is lacking for the realization of such a vision.</w:t>
      </w:r>
    </w:p>
    <w:p w:rsidR="00920127" w:rsidRPr="00B06331" w:rsidRDefault="00920127" w:rsidP="00920127">
      <w:pPr>
        <w:pStyle w:val="ListParagraph"/>
        <w:ind w:left="0"/>
        <w:jc w:val="both"/>
      </w:pPr>
    </w:p>
    <w:p w:rsidR="00920127" w:rsidRPr="00B06331" w:rsidRDefault="00920127" w:rsidP="00920127">
      <w:pPr>
        <w:pStyle w:val="ListParagraph"/>
        <w:ind w:left="0"/>
        <w:jc w:val="both"/>
      </w:pPr>
      <w:r w:rsidRPr="00B06331">
        <w:t xml:space="preserve">Other critical interventions that will be undertaken during the period include: </w:t>
      </w:r>
    </w:p>
    <w:p w:rsidR="00920127" w:rsidRPr="00B06331" w:rsidRDefault="00920127" w:rsidP="00920127">
      <w:pPr>
        <w:pStyle w:val="ListParagraph"/>
        <w:numPr>
          <w:ilvl w:val="0"/>
          <w:numId w:val="34"/>
        </w:numPr>
        <w:jc w:val="both"/>
        <w:rPr>
          <w:rFonts w:ascii="Avenir Book" w:hAnsi="Avenir Book"/>
          <w:szCs w:val="20"/>
        </w:rPr>
      </w:pPr>
      <w:r w:rsidRPr="00B06331">
        <w:rPr>
          <w:rFonts w:ascii="Avenir Book" w:hAnsi="Avenir Book"/>
          <w:szCs w:val="20"/>
        </w:rPr>
        <w:t xml:space="preserve">Formulating and </w:t>
      </w:r>
      <w:r w:rsidR="00856156" w:rsidRPr="00B06331">
        <w:rPr>
          <w:rFonts w:ascii="Avenir Book" w:hAnsi="Avenir Book"/>
          <w:szCs w:val="20"/>
        </w:rPr>
        <w:t>implementing</w:t>
      </w:r>
      <w:r w:rsidRPr="00B06331">
        <w:rPr>
          <w:rFonts w:ascii="Avenir Book" w:hAnsi="Avenir Book"/>
          <w:szCs w:val="20"/>
        </w:rPr>
        <w:t xml:space="preserve"> a comprehensive capacity development plan through multi-stakeholder processesin partnership with the University of The Gambia and other relevant private/public training institutes.</w:t>
      </w:r>
    </w:p>
    <w:p w:rsidR="00920127" w:rsidRPr="00B06331" w:rsidRDefault="00920127" w:rsidP="00920127">
      <w:pPr>
        <w:pStyle w:val="ListParagraph"/>
        <w:numPr>
          <w:ilvl w:val="0"/>
          <w:numId w:val="34"/>
        </w:numPr>
        <w:jc w:val="both"/>
        <w:rPr>
          <w:rFonts w:ascii="Avenir Book" w:hAnsi="Avenir Book"/>
          <w:szCs w:val="20"/>
        </w:rPr>
      </w:pPr>
      <w:r w:rsidRPr="00B06331">
        <w:rPr>
          <w:rFonts w:ascii="Avenir Book" w:hAnsi="Avenir Book"/>
          <w:szCs w:val="20"/>
        </w:rPr>
        <w:t xml:space="preserve">Developing a fisheries data base or information management system through the transformation of the Ministry of Fisheries and Water Resources website into a comprehensive public depository for all types of data on fisheries. This will be made accessible to all users including fisheries scientists, researchers, students, managers and policy makers, seafood consumers, buyers, retailers and distributors. </w:t>
      </w:r>
    </w:p>
    <w:p w:rsidR="00920127" w:rsidRPr="00B06331" w:rsidRDefault="00920127" w:rsidP="00920127">
      <w:pPr>
        <w:pStyle w:val="ListParagraph"/>
        <w:numPr>
          <w:ilvl w:val="0"/>
          <w:numId w:val="34"/>
        </w:numPr>
        <w:jc w:val="both"/>
        <w:rPr>
          <w:rFonts w:ascii="Avenir Book" w:hAnsi="Avenir Book"/>
          <w:szCs w:val="20"/>
        </w:rPr>
      </w:pPr>
      <w:r w:rsidRPr="00B06331">
        <w:rPr>
          <w:rFonts w:ascii="Avenir Book" w:hAnsi="Avenir Book"/>
          <w:szCs w:val="20"/>
        </w:rPr>
        <w:t xml:space="preserve">Deepening inter sectoral collaboration and coordination mechanisms at both national and international levels to avoid duplication, leverage on opportunities and enhance service delivery. This will be in line with respective mandates, which will at all times protect the sustainable management of the fisheries resource and ensure adequate support  to those involved in the fisheries sub sector. </w:t>
      </w:r>
    </w:p>
    <w:p w:rsidR="003A5A07" w:rsidRPr="00B06331" w:rsidRDefault="00920127" w:rsidP="00920127">
      <w:pPr>
        <w:numPr>
          <w:ilvl w:val="0"/>
          <w:numId w:val="34"/>
        </w:numPr>
        <w:jc w:val="both"/>
        <w:rPr>
          <w:rFonts w:ascii="Avenir Book" w:hAnsi="Avenir Book"/>
          <w:szCs w:val="20"/>
        </w:rPr>
      </w:pPr>
      <w:r w:rsidRPr="00B06331">
        <w:rPr>
          <w:rFonts w:ascii="Avenir Book" w:hAnsi="Avenir Book"/>
          <w:szCs w:val="20"/>
        </w:rPr>
        <w:t>Developing Fisheries Infrastructure</w:t>
      </w:r>
      <w:r w:rsidRPr="00B06331">
        <w:rPr>
          <w:rFonts w:ascii="Avenir Book" w:hAnsi="Avenir Book"/>
          <w:b/>
          <w:szCs w:val="20"/>
        </w:rPr>
        <w:t xml:space="preserve">, </w:t>
      </w:r>
      <w:r w:rsidRPr="00B06331">
        <w:rPr>
          <w:rFonts w:ascii="Avenir Book" w:hAnsi="Avenir Book"/>
          <w:szCs w:val="20"/>
        </w:rPr>
        <w:t xml:space="preserve">which entails the provision of new administrative building, technical centers, regional offices and residences to facilitate timely and efficient service delivery, and in the case of the decentralized structures, forges closer relationships between fisheries officials and fisher communities. </w:t>
      </w:r>
    </w:p>
    <w:p w:rsidR="00B56860" w:rsidRPr="00B06331" w:rsidRDefault="00B56860" w:rsidP="00B56860">
      <w:pPr>
        <w:jc w:val="both"/>
        <w:rPr>
          <w:rFonts w:ascii="Avenir Book" w:hAnsi="Avenir Book"/>
          <w:b/>
          <w:i/>
          <w:color w:val="4472C4" w:themeColor="accent1"/>
          <w:szCs w:val="20"/>
        </w:rPr>
      </w:pPr>
      <w:r w:rsidRPr="00B06331">
        <w:rPr>
          <w:rFonts w:ascii="Avenir Book" w:hAnsi="Avenir Book"/>
          <w:b/>
          <w:i/>
          <w:color w:val="4472C4" w:themeColor="accent1"/>
          <w:szCs w:val="20"/>
        </w:rPr>
        <w:t>Outcome 3.6: Value chains improved for Fisheries and Aquaculture Transformation</w:t>
      </w:r>
    </w:p>
    <w:p w:rsidR="00103D93" w:rsidRPr="00B06331" w:rsidRDefault="00103D93" w:rsidP="00103D93">
      <w:pPr>
        <w:rPr>
          <w:rFonts w:ascii="Avenir Book" w:eastAsia="MS Mincho" w:hAnsi="Avenir Book"/>
          <w:szCs w:val="20"/>
          <w:lang/>
        </w:rPr>
      </w:pPr>
      <w:r w:rsidRPr="00B06331">
        <w:rPr>
          <w:rFonts w:ascii="Avenir Book" w:eastAsia="MS Mincho" w:hAnsi="Avenir Book"/>
          <w:szCs w:val="20"/>
          <w:lang/>
        </w:rPr>
        <w:lastRenderedPageBreak/>
        <w:t>Boosting the contribution of fisheries to the GDP and meet domestic demand and for exports, development of the fisheries value chains will be critical. Government will therefore undertake the following measures:</w:t>
      </w:r>
    </w:p>
    <w:p w:rsidR="00103D93" w:rsidRPr="00B06331" w:rsidRDefault="00103D93" w:rsidP="00103D93">
      <w:pPr>
        <w:pStyle w:val="ListParagraph"/>
        <w:numPr>
          <w:ilvl w:val="0"/>
          <w:numId w:val="220"/>
        </w:numPr>
        <w:jc w:val="both"/>
        <w:rPr>
          <w:rFonts w:ascii="Avenir Book" w:eastAsia="MS Mincho" w:hAnsi="Avenir Book"/>
          <w:b/>
          <w:szCs w:val="20"/>
          <w:lang/>
        </w:rPr>
      </w:pPr>
      <w:r w:rsidRPr="00B06331">
        <w:rPr>
          <w:rFonts w:ascii="Avenir Book" w:hAnsi="Avenir Book"/>
          <w:szCs w:val="20"/>
        </w:rPr>
        <w:t>Initiating a study that focuses on the economic linkages surrounding tourism to investigate how synergies in investments may be leveraged</w:t>
      </w:r>
    </w:p>
    <w:p w:rsidR="00103D93" w:rsidRPr="00B06331" w:rsidRDefault="00103D93" w:rsidP="00103D93">
      <w:pPr>
        <w:pStyle w:val="ListParagraph"/>
        <w:numPr>
          <w:ilvl w:val="0"/>
          <w:numId w:val="220"/>
        </w:numPr>
        <w:rPr>
          <w:rFonts w:ascii="Avenir Book" w:eastAsia="MS Mincho" w:hAnsi="Avenir Book"/>
          <w:b/>
          <w:szCs w:val="20"/>
          <w:lang/>
        </w:rPr>
      </w:pPr>
      <w:r w:rsidRPr="00B06331">
        <w:rPr>
          <w:rFonts w:ascii="Avenir Book" w:eastAsia="MS Mincho" w:hAnsi="Avenir Book"/>
          <w:szCs w:val="20"/>
          <w:lang/>
        </w:rPr>
        <w:t>Develop</w:t>
      </w:r>
      <w:r w:rsidRPr="00B06331">
        <w:rPr>
          <w:rFonts w:ascii="Avenir Book" w:eastAsia="MS Mincho" w:hAnsi="Avenir Book"/>
          <w:szCs w:val="20"/>
          <w:lang/>
        </w:rPr>
        <w:t>ing</w:t>
      </w:r>
      <w:r w:rsidRPr="00B06331">
        <w:rPr>
          <w:rFonts w:ascii="Avenir Book" w:eastAsia="MS Mincho" w:hAnsi="Avenir Book"/>
          <w:szCs w:val="20"/>
          <w:lang/>
        </w:rPr>
        <w:t xml:space="preserve"> and implement</w:t>
      </w:r>
      <w:r w:rsidRPr="00B06331">
        <w:rPr>
          <w:rFonts w:ascii="Avenir Book" w:eastAsia="MS Mincho" w:hAnsi="Avenir Book"/>
          <w:szCs w:val="20"/>
          <w:lang/>
        </w:rPr>
        <w:t>ing</w:t>
      </w:r>
      <w:r w:rsidRPr="00B06331">
        <w:rPr>
          <w:rFonts w:ascii="Avenir Book" w:eastAsia="MS Mincho" w:hAnsi="Avenir Book"/>
          <w:szCs w:val="20"/>
          <w:lang/>
        </w:rPr>
        <w:t xml:space="preserve"> a communications strategy to sensitize stakeholders</w:t>
      </w:r>
      <w:r w:rsidRPr="00B06331">
        <w:rPr>
          <w:rFonts w:ascii="Avenir Book" w:eastAsia="MS Mincho" w:hAnsi="Avenir Book"/>
          <w:szCs w:val="20"/>
          <w:lang/>
        </w:rPr>
        <w:t>, which will</w:t>
      </w:r>
      <w:r w:rsidRPr="00B06331">
        <w:rPr>
          <w:rFonts w:ascii="Avenir Book" w:eastAsia="MS Mincho" w:hAnsi="Avenir Book"/>
          <w:szCs w:val="20"/>
          <w:lang/>
        </w:rPr>
        <w:t xml:space="preserve"> involve the establishment of a communications unit, and the development and implementation of a communication strategy. It is envisaged that this approach will allow a two way communications flow and thus ensure cohesiveness, information sharing and mutual accountability.</w:t>
      </w:r>
    </w:p>
    <w:p w:rsidR="00103D93" w:rsidRPr="00B06331" w:rsidRDefault="00103D93" w:rsidP="00103D93">
      <w:pPr>
        <w:pStyle w:val="ListParagraph"/>
        <w:numPr>
          <w:ilvl w:val="0"/>
          <w:numId w:val="220"/>
        </w:numPr>
        <w:rPr>
          <w:rFonts w:ascii="Avenir Book" w:eastAsia="MS Mincho" w:hAnsi="Avenir Book"/>
          <w:b/>
          <w:szCs w:val="20"/>
          <w:lang/>
        </w:rPr>
      </w:pPr>
      <w:r w:rsidRPr="00B06331">
        <w:rPr>
          <w:rFonts w:ascii="Avenir Book" w:eastAsia="MS Mincho" w:hAnsi="Avenir Book"/>
          <w:szCs w:val="20"/>
          <w:lang/>
        </w:rPr>
        <w:t>Provid</w:t>
      </w:r>
      <w:r w:rsidRPr="00B06331">
        <w:rPr>
          <w:rFonts w:ascii="Avenir Book" w:eastAsia="MS Mincho" w:hAnsi="Avenir Book"/>
          <w:szCs w:val="20"/>
          <w:lang/>
        </w:rPr>
        <w:t>ing</w:t>
      </w:r>
      <w:r w:rsidRPr="00B06331">
        <w:rPr>
          <w:rFonts w:ascii="Avenir Book" w:eastAsia="MS Mincho" w:hAnsi="Avenir Book"/>
          <w:szCs w:val="20"/>
          <w:lang/>
        </w:rPr>
        <w:t xml:space="preserve"> material and logistics support to stakeholders</w:t>
      </w:r>
      <w:r w:rsidRPr="00B06331">
        <w:rPr>
          <w:rFonts w:ascii="Avenir Book" w:eastAsia="MS Mincho" w:hAnsi="Avenir Book"/>
          <w:szCs w:val="20"/>
          <w:lang/>
        </w:rPr>
        <w:t xml:space="preserve"> i</w:t>
      </w:r>
      <w:r w:rsidRPr="00B06331">
        <w:rPr>
          <w:rFonts w:ascii="Avenir Book" w:eastAsia="MS Mincho" w:hAnsi="Avenir Book"/>
          <w:szCs w:val="20"/>
          <w:lang/>
        </w:rPr>
        <w:t>n partnership with key stakeholders especially the Gambia Navy, Gambia Maritime Administration, NASCOM and fishing communities, Government will during the period determine and seekthe resource requirements for improved territorial water policing/monitoring to combat IUU</w:t>
      </w:r>
      <w:r w:rsidRPr="00B06331">
        <w:rPr>
          <w:rFonts w:ascii="Avenir Book" w:eastAsia="MS Mincho" w:hAnsi="Avenir Book"/>
          <w:szCs w:val="20"/>
          <w:lang/>
        </w:rPr>
        <w:t xml:space="preserve">. </w:t>
      </w:r>
      <w:r w:rsidRPr="00B06331">
        <w:rPr>
          <w:rFonts w:ascii="Avenir Book" w:eastAsia="MS Mincho" w:hAnsi="Avenir Book"/>
          <w:szCs w:val="20"/>
          <w:lang/>
        </w:rPr>
        <w:t xml:space="preserve">The needed resourceswill be mobilized </w:t>
      </w:r>
      <w:r w:rsidRPr="00B06331">
        <w:rPr>
          <w:rFonts w:ascii="Avenir Book" w:eastAsia="MS Mincho" w:hAnsi="Avenir Book"/>
          <w:szCs w:val="20"/>
          <w:lang/>
        </w:rPr>
        <w:t>using varied means such as the Public</w:t>
      </w:r>
      <w:r w:rsidRPr="00B06331">
        <w:rPr>
          <w:rFonts w:ascii="Avenir Book" w:eastAsia="MS Mincho" w:hAnsi="Avenir Book"/>
          <w:szCs w:val="20"/>
          <w:lang/>
        </w:rPr>
        <w:t xml:space="preserve"> budget, </w:t>
      </w:r>
      <w:r w:rsidRPr="00B06331">
        <w:rPr>
          <w:rFonts w:ascii="Avenir Book" w:eastAsia="MS Mincho" w:hAnsi="Avenir Book"/>
          <w:szCs w:val="20"/>
          <w:lang/>
        </w:rPr>
        <w:t xml:space="preserve">regional programmes and initiatives, </w:t>
      </w:r>
      <w:r w:rsidRPr="00B06331">
        <w:rPr>
          <w:rFonts w:ascii="Avenir Book" w:eastAsia="MS Mincho" w:hAnsi="Avenir Book"/>
          <w:szCs w:val="20"/>
          <w:lang/>
        </w:rPr>
        <w:t>PPPs a</w:t>
      </w:r>
      <w:r w:rsidRPr="00B06331">
        <w:rPr>
          <w:rFonts w:ascii="Avenir Book" w:eastAsia="MS Mincho" w:hAnsi="Avenir Book"/>
          <w:szCs w:val="20"/>
          <w:lang/>
        </w:rPr>
        <w:t>s well as</w:t>
      </w:r>
      <w:r w:rsidRPr="00B06331">
        <w:rPr>
          <w:rFonts w:ascii="Avenir Book" w:eastAsia="MS Mincho" w:hAnsi="Avenir Book"/>
          <w:szCs w:val="20"/>
          <w:lang/>
        </w:rPr>
        <w:t xml:space="preserve"> grants.</w:t>
      </w:r>
    </w:p>
    <w:p w:rsidR="00103D93" w:rsidRPr="00B06331" w:rsidRDefault="00103D93" w:rsidP="00103D93">
      <w:pPr>
        <w:pStyle w:val="ListParagraph"/>
        <w:numPr>
          <w:ilvl w:val="0"/>
          <w:numId w:val="220"/>
        </w:numPr>
        <w:rPr>
          <w:rFonts w:ascii="Avenir Book" w:eastAsia="MS Mincho" w:hAnsi="Avenir Book"/>
          <w:b/>
          <w:szCs w:val="20"/>
          <w:lang/>
        </w:rPr>
      </w:pPr>
      <w:r w:rsidRPr="00B06331">
        <w:rPr>
          <w:rFonts w:ascii="Avenir Book" w:eastAsia="MS Mincho" w:hAnsi="Avenir Book"/>
          <w:szCs w:val="20"/>
          <w:lang/>
        </w:rPr>
        <w:t>Establish</w:t>
      </w:r>
      <w:r w:rsidRPr="00B06331">
        <w:rPr>
          <w:rFonts w:ascii="Avenir Book" w:eastAsia="MS Mincho" w:hAnsi="Avenir Book"/>
          <w:szCs w:val="20"/>
          <w:lang/>
        </w:rPr>
        <w:t>ing</w:t>
      </w:r>
      <w:r w:rsidRPr="00B06331">
        <w:rPr>
          <w:rFonts w:ascii="Avenir Book" w:eastAsia="MS Mincho" w:hAnsi="Avenir Book"/>
          <w:szCs w:val="20"/>
          <w:lang/>
        </w:rPr>
        <w:t xml:space="preserve"> a revolving loan scheme for industrial, artisanal and aquaculture operators</w:t>
      </w:r>
      <w:r w:rsidRPr="00B06331">
        <w:rPr>
          <w:rFonts w:ascii="Avenir Book" w:eastAsia="MS Mincho" w:hAnsi="Avenir Book"/>
          <w:szCs w:val="20"/>
          <w:lang/>
        </w:rPr>
        <w:t xml:space="preserve"> to provide </w:t>
      </w:r>
      <w:r w:rsidRPr="00B06331">
        <w:rPr>
          <w:rFonts w:ascii="Avenir Book" w:eastAsia="MS Mincho" w:hAnsi="Avenir Book"/>
          <w:szCs w:val="20"/>
          <w:lang/>
        </w:rPr>
        <w:t>access to affordable and sustainable financing for value chain stakeholders will be a top priority for Government during the plan period. This will ensure that operators have the wherewithal to fully exploit their potentials, expand and sustain</w:t>
      </w:r>
      <w:r w:rsidRPr="00B06331">
        <w:rPr>
          <w:rFonts w:ascii="Avenir Book" w:eastAsia="MS Mincho" w:hAnsi="Avenir Book"/>
          <w:szCs w:val="20"/>
          <w:lang/>
        </w:rPr>
        <w:t xml:space="preserve"> fisheries related</w:t>
      </w:r>
      <w:r w:rsidRPr="00B06331">
        <w:rPr>
          <w:rFonts w:ascii="Avenir Book" w:eastAsia="MS Mincho" w:hAnsi="Avenir Book"/>
          <w:szCs w:val="20"/>
          <w:lang/>
        </w:rPr>
        <w:t xml:space="preserve"> business operations.</w:t>
      </w:r>
    </w:p>
    <w:p w:rsidR="00103D93" w:rsidRPr="00B06331" w:rsidRDefault="00103D93" w:rsidP="00103D93">
      <w:pPr>
        <w:pStyle w:val="ListParagraph"/>
        <w:numPr>
          <w:ilvl w:val="0"/>
          <w:numId w:val="220"/>
        </w:numPr>
        <w:rPr>
          <w:rFonts w:ascii="Avenir Book" w:eastAsia="MS Mincho" w:hAnsi="Avenir Book"/>
          <w:b/>
          <w:szCs w:val="20"/>
          <w:lang/>
        </w:rPr>
      </w:pPr>
      <w:r w:rsidRPr="00B06331">
        <w:rPr>
          <w:rFonts w:ascii="Avenir Book" w:eastAsia="MS Mincho" w:hAnsi="Avenir Book"/>
          <w:szCs w:val="20"/>
          <w:lang/>
        </w:rPr>
        <w:t>Strengthen</w:t>
      </w:r>
      <w:r w:rsidRPr="00B06331">
        <w:rPr>
          <w:rFonts w:ascii="Avenir Book" w:eastAsia="MS Mincho" w:hAnsi="Avenir Book"/>
          <w:szCs w:val="20"/>
          <w:lang/>
        </w:rPr>
        <w:t>ing</w:t>
      </w:r>
      <w:r w:rsidRPr="00B06331">
        <w:rPr>
          <w:rFonts w:ascii="Avenir Book" w:eastAsia="MS Mincho" w:hAnsi="Avenir Book"/>
          <w:szCs w:val="20"/>
          <w:lang/>
        </w:rPr>
        <w:t xml:space="preserve"> the micro biology lab for quality and standardization of fish and fishery products</w:t>
      </w:r>
      <w:r w:rsidRPr="00B06331">
        <w:rPr>
          <w:rFonts w:ascii="Avenir Book" w:eastAsia="MS Mincho" w:hAnsi="Avenir Book"/>
          <w:szCs w:val="20"/>
          <w:lang/>
        </w:rPr>
        <w:t xml:space="preserve">:The Gambia can derive immense benefits from exportation of fish and fisheries products. During the plan period, </w:t>
      </w:r>
      <w:r w:rsidRPr="00B06331">
        <w:rPr>
          <w:rFonts w:ascii="Avenir Book" w:eastAsia="MS Mincho" w:hAnsi="Avenir Book"/>
          <w:szCs w:val="20"/>
          <w:lang/>
        </w:rPr>
        <w:t>the existing lab</w:t>
      </w:r>
      <w:r w:rsidRPr="00B06331">
        <w:rPr>
          <w:rFonts w:ascii="Avenir Book" w:eastAsia="MS Mincho" w:hAnsi="Avenir Book"/>
          <w:szCs w:val="20"/>
          <w:lang/>
        </w:rPr>
        <w:t xml:space="preserve">oratory </w:t>
      </w:r>
      <w:r w:rsidRPr="00B06331">
        <w:rPr>
          <w:rFonts w:ascii="Avenir Book" w:eastAsia="MS Mincho" w:hAnsi="Avenir Book"/>
          <w:szCs w:val="20"/>
          <w:lang/>
        </w:rPr>
        <w:t>at the Department of Fisheries</w:t>
      </w:r>
      <w:r w:rsidRPr="00B06331">
        <w:rPr>
          <w:rFonts w:ascii="Avenir Book" w:eastAsia="MS Mincho" w:hAnsi="Avenir Book"/>
          <w:szCs w:val="20"/>
          <w:lang/>
        </w:rPr>
        <w:t xml:space="preserve"> will be made functional </w:t>
      </w:r>
      <w:r w:rsidRPr="00B06331">
        <w:rPr>
          <w:rFonts w:ascii="Avenir Book" w:eastAsia="MS Mincho" w:hAnsi="Avenir Book"/>
          <w:szCs w:val="20"/>
          <w:lang/>
        </w:rPr>
        <w:t>in testing fish,</w:t>
      </w:r>
      <w:r w:rsidRPr="00B06331">
        <w:rPr>
          <w:rFonts w:ascii="Avenir Book" w:eastAsia="MS Mincho" w:hAnsi="Avenir Book"/>
          <w:szCs w:val="20"/>
          <w:lang/>
        </w:rPr>
        <w:t xml:space="preserve"> which in turn will help The Gambia </w:t>
      </w:r>
      <w:r w:rsidRPr="00B06331">
        <w:rPr>
          <w:rFonts w:ascii="Avenir Book" w:eastAsia="MS Mincho" w:hAnsi="Avenir Book"/>
          <w:szCs w:val="20"/>
          <w:lang/>
        </w:rPr>
        <w:t xml:space="preserve">meet EU standards, thereby increasing export </w:t>
      </w:r>
      <w:r w:rsidRPr="00B06331">
        <w:rPr>
          <w:rFonts w:ascii="Avenir Book" w:eastAsia="MS Mincho" w:hAnsi="Avenir Book"/>
          <w:szCs w:val="20"/>
          <w:lang/>
        </w:rPr>
        <w:t>base revenues</w:t>
      </w:r>
      <w:r w:rsidRPr="00B06331">
        <w:rPr>
          <w:rFonts w:ascii="Avenir Book" w:eastAsia="MS Mincho" w:hAnsi="Avenir Book"/>
          <w:szCs w:val="20"/>
          <w:lang/>
        </w:rPr>
        <w:t>.</w:t>
      </w:r>
    </w:p>
    <w:p w:rsidR="00103D93" w:rsidRPr="00B06331" w:rsidRDefault="00103D93" w:rsidP="00103D93">
      <w:pPr>
        <w:pStyle w:val="ListParagraph"/>
        <w:numPr>
          <w:ilvl w:val="0"/>
          <w:numId w:val="220"/>
        </w:numPr>
        <w:rPr>
          <w:rFonts w:ascii="Avenir Book" w:eastAsia="MS Mincho" w:hAnsi="Avenir Book"/>
          <w:b/>
          <w:szCs w:val="20"/>
          <w:lang/>
        </w:rPr>
      </w:pPr>
      <w:r w:rsidRPr="00B06331">
        <w:rPr>
          <w:rFonts w:ascii="Avenir Book" w:eastAsia="MS Mincho" w:hAnsi="Avenir Book"/>
          <w:szCs w:val="20"/>
          <w:lang/>
        </w:rPr>
        <w:t>Establish</w:t>
      </w:r>
      <w:r w:rsidRPr="00B06331">
        <w:rPr>
          <w:rFonts w:ascii="Avenir Book" w:eastAsia="MS Mincho" w:hAnsi="Avenir Book"/>
          <w:szCs w:val="20"/>
          <w:lang/>
        </w:rPr>
        <w:t>ing</w:t>
      </w:r>
      <w:r w:rsidRPr="00B06331">
        <w:rPr>
          <w:rFonts w:ascii="Avenir Book" w:eastAsia="MS Mincho" w:hAnsi="Avenir Book"/>
          <w:szCs w:val="20"/>
          <w:lang/>
        </w:rPr>
        <w:t xml:space="preserve"> value addition facilities</w:t>
      </w:r>
      <w:r w:rsidRPr="00B06331">
        <w:rPr>
          <w:rFonts w:ascii="Avenir Book" w:eastAsia="MS Mincho" w:hAnsi="Avenir Book"/>
          <w:szCs w:val="20"/>
          <w:lang/>
        </w:rPr>
        <w:t xml:space="preserve"> to complement the training provided for value chain operators, and </w:t>
      </w:r>
      <w:r w:rsidRPr="00B06331">
        <w:rPr>
          <w:rFonts w:ascii="Avenir Book" w:eastAsia="MS Mincho" w:hAnsi="Avenir Book"/>
          <w:szCs w:val="20"/>
          <w:lang/>
        </w:rPr>
        <w:t xml:space="preserve">increase the quality and profitability of </w:t>
      </w:r>
      <w:r w:rsidRPr="00B06331">
        <w:rPr>
          <w:rFonts w:ascii="Avenir Book" w:eastAsia="MS Mincho" w:hAnsi="Avenir Book"/>
          <w:szCs w:val="20"/>
          <w:lang/>
        </w:rPr>
        <w:t>f</w:t>
      </w:r>
      <w:r w:rsidRPr="00B06331">
        <w:rPr>
          <w:rFonts w:ascii="Avenir Book" w:eastAsia="MS Mincho" w:hAnsi="Avenir Book"/>
          <w:szCs w:val="20"/>
          <w:lang/>
        </w:rPr>
        <w:t>isheries product</w:t>
      </w:r>
      <w:r w:rsidRPr="00B06331">
        <w:rPr>
          <w:rFonts w:ascii="Avenir Book" w:eastAsia="MS Mincho" w:hAnsi="Avenir Book"/>
          <w:szCs w:val="20"/>
          <w:lang/>
        </w:rPr>
        <w:t>s through the provision of facilities, such as, processing plants, smoke houses, drying facilities and cold stores and ice plants.</w:t>
      </w:r>
    </w:p>
    <w:p w:rsidR="00103D93" w:rsidRPr="00B06331" w:rsidRDefault="00103D93" w:rsidP="00103D93">
      <w:pPr>
        <w:pStyle w:val="ListParagraph"/>
        <w:numPr>
          <w:ilvl w:val="0"/>
          <w:numId w:val="220"/>
        </w:numPr>
        <w:jc w:val="both"/>
        <w:rPr>
          <w:rFonts w:ascii="Avenir Book" w:eastAsia="MS Mincho" w:hAnsi="Avenir Book"/>
          <w:b/>
          <w:szCs w:val="20"/>
          <w:lang/>
        </w:rPr>
      </w:pPr>
      <w:r w:rsidRPr="00B06331">
        <w:rPr>
          <w:rFonts w:ascii="Avenir Book" w:eastAsia="MS Mincho" w:hAnsi="Avenir Book"/>
          <w:szCs w:val="20"/>
          <w:lang/>
        </w:rPr>
        <w:t>Establish</w:t>
      </w:r>
      <w:r w:rsidRPr="00B06331">
        <w:rPr>
          <w:rFonts w:ascii="Avenir Book" w:eastAsia="MS Mincho" w:hAnsi="Avenir Book"/>
          <w:szCs w:val="20"/>
          <w:lang/>
        </w:rPr>
        <w:t>ing a</w:t>
      </w:r>
      <w:r w:rsidRPr="00B06331">
        <w:rPr>
          <w:rFonts w:ascii="Avenir Book" w:eastAsia="MS Mincho" w:hAnsi="Avenir Book"/>
          <w:szCs w:val="20"/>
          <w:lang/>
        </w:rPr>
        <w:t xml:space="preserve"> marine and fresh water fish hatchery to produce small seeds for culturing </w:t>
      </w:r>
      <w:r w:rsidRPr="00B06331">
        <w:rPr>
          <w:rFonts w:ascii="Avenir Book" w:eastAsia="MS Mincho" w:hAnsi="Avenir Book"/>
          <w:szCs w:val="20"/>
          <w:lang/>
        </w:rPr>
        <w:t xml:space="preserve">of </w:t>
      </w:r>
      <w:r w:rsidRPr="00B06331">
        <w:rPr>
          <w:rFonts w:ascii="Avenir Book" w:eastAsia="MS Mincho" w:hAnsi="Avenir Book"/>
          <w:szCs w:val="20"/>
          <w:lang/>
        </w:rPr>
        <w:t>fish</w:t>
      </w:r>
      <w:r w:rsidRPr="00B06331">
        <w:rPr>
          <w:rFonts w:ascii="Avenir Book" w:eastAsia="MS Mincho" w:hAnsi="Avenir Book"/>
          <w:szCs w:val="20"/>
          <w:lang/>
        </w:rPr>
        <w:t xml:space="preserve"> for both the </w:t>
      </w:r>
      <w:r w:rsidRPr="00B06331">
        <w:rPr>
          <w:rFonts w:ascii="Avenir Book" w:eastAsia="MS Mincho" w:hAnsi="Avenir Book"/>
          <w:szCs w:val="20"/>
          <w:lang/>
        </w:rPr>
        <w:t>marine and fresh water regions</w:t>
      </w:r>
      <w:r w:rsidRPr="00B06331">
        <w:rPr>
          <w:rFonts w:ascii="Avenir Book" w:eastAsia="MS Mincho" w:hAnsi="Avenir Book"/>
          <w:szCs w:val="20"/>
          <w:lang/>
        </w:rPr>
        <w:t>. This will help popularize aquaculture.</w:t>
      </w:r>
    </w:p>
    <w:p w:rsidR="00103D93" w:rsidRPr="00B06331" w:rsidRDefault="00103D93" w:rsidP="00103D93">
      <w:pPr>
        <w:pStyle w:val="ListParagraph"/>
        <w:numPr>
          <w:ilvl w:val="0"/>
          <w:numId w:val="220"/>
        </w:numPr>
        <w:jc w:val="both"/>
        <w:rPr>
          <w:rFonts w:ascii="Avenir Book" w:eastAsia="MS Mincho" w:hAnsi="Avenir Book"/>
          <w:b/>
          <w:szCs w:val="20"/>
          <w:lang/>
        </w:rPr>
      </w:pPr>
      <w:r w:rsidRPr="00B06331">
        <w:rPr>
          <w:rFonts w:ascii="Avenir Book" w:eastAsia="MS Mincho" w:hAnsi="Avenir Book"/>
          <w:szCs w:val="20"/>
          <w:lang/>
        </w:rPr>
        <w:t>Establish</w:t>
      </w:r>
      <w:r w:rsidRPr="00B06331">
        <w:rPr>
          <w:rFonts w:ascii="Avenir Book" w:eastAsia="MS Mincho" w:hAnsi="Avenir Book"/>
          <w:szCs w:val="20"/>
          <w:lang/>
        </w:rPr>
        <w:t>ing</w:t>
      </w:r>
      <w:r w:rsidRPr="00B06331">
        <w:rPr>
          <w:rFonts w:ascii="Avenir Book" w:eastAsia="MS Mincho" w:hAnsi="Avenir Book"/>
          <w:szCs w:val="20"/>
          <w:lang/>
        </w:rPr>
        <w:t xml:space="preserve"> fresh water and marine water research centers to promote aquaculture development</w:t>
      </w:r>
      <w:r w:rsidRPr="00B06331">
        <w:rPr>
          <w:rFonts w:ascii="Avenir Book" w:eastAsia="MS Mincho" w:hAnsi="Avenir Book"/>
          <w:szCs w:val="20"/>
          <w:lang/>
        </w:rPr>
        <w:t xml:space="preserve">, which </w:t>
      </w:r>
      <w:r w:rsidRPr="00B06331">
        <w:rPr>
          <w:rFonts w:ascii="Avenir Book" w:eastAsia="MS Mincho" w:hAnsi="Avenir Book"/>
          <w:szCs w:val="20"/>
          <w:lang/>
        </w:rPr>
        <w:t>will serve as a model learning center for Aquaculture operators to enhance knowledge and experience sharing in Aquaculture development.</w:t>
      </w:r>
    </w:p>
    <w:p w:rsidR="00103D93" w:rsidRPr="00B06331" w:rsidRDefault="00103D93" w:rsidP="00B56860">
      <w:pPr>
        <w:pStyle w:val="ListParagraph"/>
        <w:numPr>
          <w:ilvl w:val="0"/>
          <w:numId w:val="220"/>
        </w:numPr>
        <w:jc w:val="both"/>
        <w:rPr>
          <w:rFonts w:ascii="Avenir Book" w:eastAsia="MS Mincho" w:hAnsi="Avenir Book"/>
          <w:szCs w:val="20"/>
          <w:lang/>
        </w:rPr>
      </w:pPr>
      <w:r w:rsidRPr="00B06331">
        <w:rPr>
          <w:rFonts w:ascii="Avenir Book" w:eastAsia="MS Mincho" w:hAnsi="Avenir Book"/>
          <w:szCs w:val="20"/>
          <w:lang/>
        </w:rPr>
        <w:t>Develop</w:t>
      </w:r>
      <w:r w:rsidRPr="00B06331">
        <w:rPr>
          <w:rFonts w:ascii="Avenir Book" w:eastAsia="MS Mincho" w:hAnsi="Avenir Book"/>
          <w:szCs w:val="20"/>
          <w:lang/>
        </w:rPr>
        <w:t>ing</w:t>
      </w:r>
      <w:r w:rsidRPr="00B06331">
        <w:rPr>
          <w:rFonts w:ascii="Avenir Book" w:eastAsia="MS Mincho" w:hAnsi="Avenir Book"/>
          <w:szCs w:val="20"/>
          <w:lang/>
        </w:rPr>
        <w:t xml:space="preserve"> and maintain</w:t>
      </w:r>
      <w:r w:rsidRPr="00B06331">
        <w:rPr>
          <w:rFonts w:ascii="Avenir Book" w:eastAsia="MS Mincho" w:hAnsi="Avenir Book"/>
          <w:szCs w:val="20"/>
          <w:lang/>
        </w:rPr>
        <w:t>ing</w:t>
      </w:r>
      <w:r w:rsidRPr="00B06331">
        <w:rPr>
          <w:rFonts w:ascii="Avenir Book" w:eastAsia="MS Mincho" w:hAnsi="Avenir Book"/>
          <w:szCs w:val="20"/>
          <w:lang/>
        </w:rPr>
        <w:t xml:space="preserve"> partnerships and alliances for resource mobilization</w:t>
      </w:r>
      <w:r w:rsidRPr="00B06331">
        <w:rPr>
          <w:rFonts w:ascii="Avenir Book" w:eastAsia="MS Mincho" w:hAnsi="Avenir Book"/>
          <w:szCs w:val="20"/>
          <w:lang/>
        </w:rPr>
        <w:t xml:space="preserve"> by  </w:t>
      </w:r>
      <w:r w:rsidRPr="00B06331">
        <w:rPr>
          <w:rFonts w:ascii="Avenir Book" w:eastAsia="MS Mincho" w:hAnsi="Avenir Book"/>
          <w:szCs w:val="20"/>
          <w:lang/>
        </w:rPr>
        <w:t>enter</w:t>
      </w:r>
      <w:r w:rsidRPr="00B06331">
        <w:rPr>
          <w:rFonts w:ascii="Avenir Book" w:eastAsia="MS Mincho" w:hAnsi="Avenir Book"/>
          <w:szCs w:val="20"/>
          <w:lang/>
        </w:rPr>
        <w:t>ing</w:t>
      </w:r>
      <w:r w:rsidRPr="00B06331">
        <w:rPr>
          <w:rFonts w:ascii="Avenir Book" w:eastAsia="MS Mincho" w:hAnsi="Avenir Book"/>
          <w:szCs w:val="20"/>
          <w:lang/>
        </w:rPr>
        <w:t xml:space="preserve"> into strategic partnerships with national, regional and international strategic constituents of the fisheries and aquaculture sector and establish strong cooperation </w:t>
      </w:r>
      <w:r w:rsidRPr="00B06331">
        <w:rPr>
          <w:rFonts w:ascii="Avenir Book" w:eastAsia="MS Mincho" w:hAnsi="Avenir Book"/>
          <w:szCs w:val="20"/>
          <w:lang/>
        </w:rPr>
        <w:t xml:space="preserve">frameworks </w:t>
      </w:r>
      <w:r w:rsidRPr="00B06331">
        <w:rPr>
          <w:rFonts w:ascii="Avenir Book" w:eastAsia="MS Mincho" w:hAnsi="Avenir Book"/>
          <w:szCs w:val="20"/>
          <w:lang/>
        </w:rPr>
        <w:t>with them to enhance resource mobilization</w:t>
      </w:r>
    </w:p>
    <w:p w:rsidR="003A5A07" w:rsidRPr="00B06331" w:rsidRDefault="003A5A07" w:rsidP="003A5A07">
      <w:pPr>
        <w:pStyle w:val="Heading2"/>
        <w:rPr>
          <w:rFonts w:ascii="Calibri" w:hAnsi="Calibri" w:cs="Calibri"/>
          <w:sz w:val="22"/>
          <w:szCs w:val="22"/>
        </w:rPr>
      </w:pPr>
      <w:bookmarkStart w:id="122" w:name="_Toc488689333"/>
      <w:bookmarkStart w:id="123" w:name="_Toc492364779"/>
      <w:r w:rsidRPr="00B06331">
        <w:rPr>
          <w:rFonts w:ascii="Calibri" w:hAnsi="Calibri" w:cs="Calibri"/>
          <w:sz w:val="22"/>
          <w:szCs w:val="22"/>
        </w:rPr>
        <w:lastRenderedPageBreak/>
        <w:t xml:space="preserve">7.5 </w:t>
      </w:r>
      <w:r w:rsidR="00B56860" w:rsidRPr="00B06331">
        <w:rPr>
          <w:rFonts w:ascii="Calibri" w:hAnsi="Calibri" w:cs="Calibri"/>
          <w:sz w:val="22"/>
          <w:szCs w:val="22"/>
        </w:rPr>
        <w:t>Investing i</w:t>
      </w:r>
      <w:r w:rsidRPr="00B06331">
        <w:rPr>
          <w:rFonts w:ascii="Calibri" w:hAnsi="Calibri" w:cs="Calibri"/>
          <w:sz w:val="22"/>
          <w:szCs w:val="22"/>
        </w:rPr>
        <w:t>n Our People – Education, Health, and Social Protection</w:t>
      </w:r>
      <w:bookmarkEnd w:id="122"/>
      <w:bookmarkEnd w:id="123"/>
    </w:p>
    <w:p w:rsidR="003A5A07" w:rsidRPr="00B06331" w:rsidRDefault="003A5A07" w:rsidP="003A5A07">
      <w:pPr>
        <w:jc w:val="both"/>
      </w:pPr>
      <w:r w:rsidRPr="00B06331">
        <w:t xml:space="preserve">Investing in our People and developing our human capital is a key driver of social change and economic transformation. Through the NDP, government intends to continue to continue to invest in our </w:t>
      </w:r>
      <w:r w:rsidR="00E47BD0" w:rsidRPr="00B06331">
        <w:t>people -</w:t>
      </w:r>
      <w:r w:rsidRPr="00B06331">
        <w:t xml:space="preserve"> as it seeks to transition to a more prosperous society and a competitive economy.</w:t>
      </w:r>
    </w:p>
    <w:p w:rsidR="003A5A07" w:rsidRPr="00B06331" w:rsidRDefault="003A5A07" w:rsidP="003A5A07">
      <w:pPr>
        <w:jc w:val="both"/>
        <w:rPr>
          <w:rFonts w:ascii="Avenir Book" w:eastAsia="MS Mincho" w:hAnsi="Avenir Book"/>
          <w:szCs w:val="24"/>
        </w:rPr>
      </w:pPr>
      <w:r w:rsidRPr="00B06331">
        <w:rPr>
          <w:rFonts w:ascii="Avenir Book" w:eastAsia="MS Mincho" w:hAnsi="Avenir Book"/>
          <w:szCs w:val="24"/>
        </w:rPr>
        <w:t>There has been significant progress in gross enrollments at primary and secondary levels, and in equitable access to education between girls and boys. However, there are still serious quality issues, responsiveness to the labor market and the issues related to access to early childhood education and literacy.Primary health care delivery in the Gambia is weak despite efforts by government and there are serious issues related to maternal, new-born and child morbidity and mortality. Social protection systems are also weak.</w:t>
      </w:r>
    </w:p>
    <w:p w:rsidR="003A5A07" w:rsidRPr="00B06331" w:rsidRDefault="003A5A07" w:rsidP="003A5A07">
      <w:pPr>
        <w:jc w:val="both"/>
        <w:rPr>
          <w:rFonts w:ascii="Avenir Book" w:eastAsia="MS Mincho" w:hAnsi="Avenir Book"/>
          <w:szCs w:val="24"/>
        </w:rPr>
      </w:pPr>
      <w:r w:rsidRPr="00B06331">
        <w:rPr>
          <w:rFonts w:ascii="Avenir Book" w:eastAsia="MS Mincho" w:hAnsi="Avenir Book"/>
          <w:szCs w:val="24"/>
        </w:rPr>
        <w:t>Government during the plan period will give priority to boosting investment in our people to build the requisite human capital for improved living standards and to power the economy. The goal for human capital development in the NDP is therefore: q</w:t>
      </w:r>
      <w:r w:rsidRPr="00B06331">
        <w:rPr>
          <w:rFonts w:ascii="Avenir Book" w:hAnsi="Avenir Book"/>
          <w:b/>
          <w:i/>
          <w:color w:val="000000"/>
          <w:sz w:val="20"/>
          <w:szCs w:val="20"/>
        </w:rPr>
        <w:t>uality health, education, and basic social services accessible and affordable to all and improved social and child protection systems in place for the most vulnerable</w:t>
      </w:r>
    </w:p>
    <w:p w:rsidR="003A5A07" w:rsidRPr="00B06331" w:rsidRDefault="003A5A07" w:rsidP="003A5A07">
      <w:pPr>
        <w:spacing w:before="240" w:after="0"/>
        <w:rPr>
          <w:rFonts w:ascii="Avenir Book" w:eastAsia="MS Mincho" w:hAnsi="Avenir Book"/>
        </w:rPr>
      </w:pPr>
      <w:r w:rsidRPr="00B06331">
        <w:rPr>
          <w:rFonts w:ascii="Avenir Book" w:eastAsia="MS Mincho" w:hAnsi="Avenir Book"/>
        </w:rPr>
        <w:t>There are 9 outcomes under the human capital strategic priority – education (outcomes 4.1 – 4.3), health</w:t>
      </w:r>
      <w:r w:rsidR="00D349BA" w:rsidRPr="00B06331">
        <w:rPr>
          <w:rFonts w:ascii="Avenir Book" w:eastAsia="MS Mincho" w:hAnsi="Avenir Book"/>
        </w:rPr>
        <w:t>, including nutrition and sanitation</w:t>
      </w:r>
      <w:r w:rsidRPr="00B06331">
        <w:rPr>
          <w:rFonts w:ascii="Avenir Book" w:eastAsia="MS Mincho" w:hAnsi="Avenir Book"/>
        </w:rPr>
        <w:t xml:space="preserve"> (outcomes</w:t>
      </w:r>
      <w:r w:rsidR="00D349BA" w:rsidRPr="00B06331">
        <w:rPr>
          <w:rFonts w:ascii="Avenir Book" w:eastAsia="MS Mincho" w:hAnsi="Avenir Book"/>
        </w:rPr>
        <w:t xml:space="preserve"> 4.4 – 4.8</w:t>
      </w:r>
      <w:r w:rsidRPr="00B06331">
        <w:rPr>
          <w:rFonts w:ascii="Avenir Book" w:eastAsia="MS Mincho" w:hAnsi="Avenir Book"/>
        </w:rPr>
        <w:t>)</w:t>
      </w:r>
      <w:r w:rsidR="00B56860" w:rsidRPr="00B06331">
        <w:rPr>
          <w:rFonts w:ascii="Avenir Book" w:eastAsia="MS Mincho" w:hAnsi="Avenir Book"/>
        </w:rPr>
        <w:t xml:space="preserve"> and</w:t>
      </w:r>
      <w:r w:rsidRPr="00B06331">
        <w:rPr>
          <w:rFonts w:ascii="Avenir Book" w:eastAsia="MS Mincho" w:hAnsi="Avenir Book"/>
        </w:rPr>
        <w:t xml:space="preserve"> social protection (outcome 4.9).</w:t>
      </w:r>
    </w:p>
    <w:p w:rsidR="003A5A07" w:rsidRPr="00B06331" w:rsidRDefault="003A5A07" w:rsidP="003A5A07">
      <w:pPr>
        <w:spacing w:after="0"/>
        <w:rPr>
          <w:rFonts w:ascii="Avenir Book" w:eastAsia="MS Mincho" w:hAnsi="Avenir Book"/>
          <w:b/>
          <w:u w:val="single"/>
        </w:rPr>
      </w:pPr>
    </w:p>
    <w:p w:rsidR="003A5A07" w:rsidRPr="00B06331" w:rsidRDefault="003A5A07" w:rsidP="004143E3">
      <w:pPr>
        <w:pStyle w:val="Heading3"/>
        <w:numPr>
          <w:ilvl w:val="2"/>
          <w:numId w:val="64"/>
        </w:numPr>
        <w:rPr>
          <w:rFonts w:ascii="Calibri" w:hAnsi="Calibri" w:cs="Calibri"/>
          <w:b/>
          <w:sz w:val="22"/>
          <w:szCs w:val="22"/>
        </w:rPr>
      </w:pPr>
      <w:bookmarkStart w:id="124" w:name="_Toc488689334"/>
      <w:bookmarkStart w:id="125" w:name="_Toc492364780"/>
      <w:r w:rsidRPr="00B06331">
        <w:rPr>
          <w:rFonts w:ascii="Calibri" w:hAnsi="Calibri" w:cs="Calibri"/>
          <w:b/>
          <w:sz w:val="22"/>
          <w:szCs w:val="22"/>
        </w:rPr>
        <w:t>Education</w:t>
      </w:r>
      <w:bookmarkEnd w:id="124"/>
      <w:bookmarkEnd w:id="125"/>
    </w:p>
    <w:p w:rsidR="003A5A07" w:rsidRPr="00B06331" w:rsidRDefault="003A5A07" w:rsidP="003A5A07">
      <w:pPr>
        <w:tabs>
          <w:tab w:val="num" w:pos="720"/>
        </w:tabs>
        <w:spacing w:after="0" w:line="240" w:lineRule="auto"/>
        <w:rPr>
          <w:color w:val="4F81BD"/>
          <w:sz w:val="20"/>
          <w:szCs w:val="26"/>
          <w:lang w:val="en-GB"/>
        </w:rPr>
      </w:pPr>
    </w:p>
    <w:p w:rsidR="003A5A07" w:rsidRPr="00B06331" w:rsidRDefault="003A5A07" w:rsidP="003A5A07">
      <w:pPr>
        <w:tabs>
          <w:tab w:val="num" w:pos="720"/>
        </w:tabs>
        <w:spacing w:after="0" w:line="240" w:lineRule="auto"/>
        <w:jc w:val="both"/>
        <w:rPr>
          <w:caps/>
          <w:szCs w:val="26"/>
        </w:rPr>
      </w:pPr>
      <w:r w:rsidRPr="00B06331">
        <w:rPr>
          <w:szCs w:val="26"/>
          <w:lang w:val="en-GB"/>
        </w:rPr>
        <w:t>Government commitment to education has historically been strong with expenditure</w:t>
      </w:r>
      <w:r w:rsidR="00B56860" w:rsidRPr="00B06331">
        <w:rPr>
          <w:szCs w:val="26"/>
          <w:lang w:val="en-GB"/>
        </w:rPr>
        <w:t>increases on</w:t>
      </w:r>
      <w:r w:rsidRPr="00B06331">
        <w:rPr>
          <w:szCs w:val="26"/>
          <w:lang w:val="en-GB"/>
        </w:rPr>
        <w:t xml:space="preserve"> education of 16% to 19% since 2010</w:t>
      </w:r>
      <w:r w:rsidRPr="00B06331">
        <w:rPr>
          <w:caps/>
          <w:szCs w:val="26"/>
        </w:rPr>
        <w:t xml:space="preserve">. </w:t>
      </w:r>
      <w:r w:rsidRPr="00B06331">
        <w:rPr>
          <w:szCs w:val="26"/>
          <w:lang w:val="en-GB"/>
        </w:rPr>
        <w:t>The education sector strategic policy (ESSP) is being reviewed to align it with the education policy 2017-2030.</w:t>
      </w:r>
    </w:p>
    <w:p w:rsidR="003A5A07" w:rsidRPr="00B06331" w:rsidRDefault="003A5A07" w:rsidP="003A5A07">
      <w:pPr>
        <w:tabs>
          <w:tab w:val="num" w:pos="720"/>
        </w:tabs>
        <w:spacing w:after="0" w:line="240" w:lineRule="auto"/>
        <w:jc w:val="both"/>
        <w:rPr>
          <w:szCs w:val="26"/>
          <w:lang w:val="en-GB"/>
        </w:rPr>
      </w:pPr>
    </w:p>
    <w:p w:rsidR="003A5A07" w:rsidRPr="00B06331" w:rsidRDefault="003A5A07" w:rsidP="003A5A07">
      <w:pPr>
        <w:tabs>
          <w:tab w:val="num" w:pos="720"/>
        </w:tabs>
        <w:spacing w:after="0" w:line="240" w:lineRule="auto"/>
        <w:jc w:val="both"/>
        <w:rPr>
          <w:caps/>
          <w:szCs w:val="26"/>
        </w:rPr>
      </w:pPr>
      <w:r w:rsidRPr="00B06331">
        <w:rPr>
          <w:szCs w:val="26"/>
          <w:lang w:val="en-GB"/>
        </w:rPr>
        <w:t>Some of the key issues pertinent to education include the following: gender parity success registered at the lower basic level needs to matched at the higher level; the transition from senior secondary and post-secondary level is affected by low performance in maths and science; quality and relevance of curriculum and learning materials continues to be a concern; out of school children represent 31.6% of the age group 7-15 years, most of whom (29%) have never attended school</w:t>
      </w:r>
      <w:r w:rsidRPr="00B06331">
        <w:rPr>
          <w:caps/>
          <w:szCs w:val="26"/>
        </w:rPr>
        <w:t>.</w:t>
      </w:r>
    </w:p>
    <w:p w:rsidR="003A5A07" w:rsidRPr="00B06331" w:rsidRDefault="003A5A07" w:rsidP="003A5A07">
      <w:pPr>
        <w:jc w:val="both"/>
        <w:rPr>
          <w:rFonts w:ascii="Avenir Book" w:eastAsia="MS Mincho" w:hAnsi="Avenir Book"/>
          <w:szCs w:val="24"/>
        </w:rPr>
      </w:pPr>
    </w:p>
    <w:p w:rsidR="00076564" w:rsidRPr="00B06331" w:rsidRDefault="003A5A07" w:rsidP="003A5A07">
      <w:pPr>
        <w:jc w:val="both"/>
        <w:rPr>
          <w:rFonts w:ascii="Avenir Book" w:eastAsia="MS Mincho" w:hAnsi="Avenir Book"/>
          <w:szCs w:val="24"/>
        </w:rPr>
      </w:pPr>
      <w:r w:rsidRPr="00B06331">
        <w:rPr>
          <w:rFonts w:ascii="Avenir Book" w:eastAsia="MS Mincho" w:hAnsi="Avenir Book"/>
          <w:szCs w:val="24"/>
        </w:rPr>
        <w:t xml:space="preserve">To address these and other challenges, Government during the plan period will focus on (i) enhancing access to early childhood education, (ii) improve quality learning, with special emphasis on STEM, Health and Agriculture at the basic, </w:t>
      </w:r>
      <w:r w:rsidR="00B56860" w:rsidRPr="00B06331">
        <w:rPr>
          <w:rFonts w:ascii="Avenir Book" w:eastAsia="MS Mincho" w:hAnsi="Avenir Book"/>
          <w:szCs w:val="24"/>
        </w:rPr>
        <w:t>post-secondary</w:t>
      </w:r>
      <w:r w:rsidRPr="00B06331">
        <w:rPr>
          <w:rFonts w:ascii="Avenir Book" w:eastAsia="MS Mincho" w:hAnsi="Avenir Book"/>
          <w:szCs w:val="24"/>
        </w:rPr>
        <w:t>/tertiary and higher educatio</w:t>
      </w:r>
      <w:r w:rsidR="00103D93" w:rsidRPr="00B06331">
        <w:rPr>
          <w:rFonts w:ascii="Avenir Book" w:eastAsia="MS Mincho" w:hAnsi="Avenir Book"/>
          <w:szCs w:val="24"/>
        </w:rPr>
        <w:t xml:space="preserve">n levels, (iii) as well as taking </w:t>
      </w:r>
      <w:r w:rsidRPr="00B06331">
        <w:rPr>
          <w:rFonts w:ascii="Avenir Book" w:eastAsia="MS Mincho" w:hAnsi="Avenir Book"/>
          <w:szCs w:val="24"/>
        </w:rPr>
        <w:t>measures to enhance access to non-formal education in order to build a more ski</w:t>
      </w:r>
      <w:r w:rsidR="00D349BA" w:rsidRPr="00B06331">
        <w:rPr>
          <w:rFonts w:ascii="Avenir Book" w:eastAsia="MS Mincho" w:hAnsi="Avenir Book"/>
          <w:szCs w:val="24"/>
        </w:rPr>
        <w:t>lled and productive work force.</w:t>
      </w:r>
    </w:p>
    <w:p w:rsidR="003A5A07" w:rsidRPr="00B06331" w:rsidRDefault="003A5A07" w:rsidP="003A5A07">
      <w:pPr>
        <w:spacing w:after="0"/>
        <w:rPr>
          <w:rFonts w:ascii="Avenir Book" w:eastAsia="MS Mincho" w:hAnsi="Avenir Book"/>
          <w:b/>
        </w:rPr>
      </w:pPr>
      <w:r w:rsidRPr="00B06331">
        <w:rPr>
          <w:rFonts w:ascii="Avenir Book" w:eastAsia="MS Mincho" w:hAnsi="Avenir Book"/>
          <w:b/>
        </w:rPr>
        <w:t xml:space="preserve">Table 7.5: Key </w:t>
      </w:r>
      <w:r w:rsidR="00B56860" w:rsidRPr="00B06331">
        <w:rPr>
          <w:rFonts w:ascii="Avenir Book" w:eastAsia="MS Mincho" w:hAnsi="Avenir Book"/>
          <w:b/>
        </w:rPr>
        <w:t xml:space="preserve">Expected </w:t>
      </w:r>
      <w:r w:rsidRPr="00B06331">
        <w:rPr>
          <w:rFonts w:ascii="Avenir Book" w:eastAsia="MS Mincho" w:hAnsi="Avenir Book"/>
          <w:b/>
        </w:rPr>
        <w:t xml:space="preserve">Results </w:t>
      </w:r>
      <w:r w:rsidR="00772C6A" w:rsidRPr="00B06331">
        <w:rPr>
          <w:rFonts w:ascii="Avenir Book" w:eastAsia="MS Mincho" w:hAnsi="Avenir Book"/>
          <w:b/>
        </w:rPr>
        <w:t xml:space="preserve">for Education </w:t>
      </w:r>
    </w:p>
    <w:tbl>
      <w:tblPr>
        <w:tblStyle w:val="GridTable4-Accent11"/>
        <w:tblW w:w="0" w:type="auto"/>
        <w:tblLook w:val="04A0"/>
      </w:tblPr>
      <w:tblGrid>
        <w:gridCol w:w="2448"/>
        <w:gridCol w:w="7128"/>
      </w:tblGrid>
      <w:tr w:rsidR="003A5A07" w:rsidRPr="00B06331" w:rsidTr="00B56860">
        <w:trPr>
          <w:cnfStyle w:val="100000000000"/>
        </w:trPr>
        <w:tc>
          <w:tcPr>
            <w:cnfStyle w:val="001000000000"/>
            <w:tcW w:w="2448" w:type="dxa"/>
          </w:tcPr>
          <w:p w:rsidR="003A5A07" w:rsidRPr="00B06331" w:rsidRDefault="003A5A07" w:rsidP="003604CF">
            <w:pPr>
              <w:spacing w:after="0"/>
              <w:jc w:val="center"/>
              <w:rPr>
                <w:rFonts w:ascii="Avenir Book" w:eastAsia="MS Mincho" w:hAnsi="Avenir Book"/>
              </w:rPr>
            </w:pPr>
            <w:r w:rsidRPr="00B06331">
              <w:rPr>
                <w:rFonts w:ascii="Avenir Book" w:eastAsia="MS Mincho" w:hAnsi="Avenir Book"/>
              </w:rPr>
              <w:t>Results Area</w:t>
            </w:r>
          </w:p>
        </w:tc>
        <w:tc>
          <w:tcPr>
            <w:tcW w:w="7128" w:type="dxa"/>
          </w:tcPr>
          <w:p w:rsidR="003A5A07" w:rsidRPr="00B06331" w:rsidRDefault="003A5A07" w:rsidP="003604CF">
            <w:pPr>
              <w:spacing w:after="0"/>
              <w:jc w:val="center"/>
              <w:cnfStyle w:val="100000000000"/>
              <w:rPr>
                <w:rFonts w:ascii="Avenir Book" w:eastAsia="MS Mincho" w:hAnsi="Avenir Book"/>
              </w:rPr>
            </w:pPr>
            <w:r w:rsidRPr="00B06331">
              <w:rPr>
                <w:rFonts w:ascii="Avenir Book" w:eastAsia="MS Mincho" w:hAnsi="Avenir Book"/>
              </w:rPr>
              <w:t>Key Results</w:t>
            </w:r>
          </w:p>
        </w:tc>
      </w:tr>
      <w:tr w:rsidR="003A5A07" w:rsidRPr="00B06331" w:rsidTr="00B56860">
        <w:trPr>
          <w:cnfStyle w:val="000000100000"/>
        </w:trPr>
        <w:tc>
          <w:tcPr>
            <w:cnfStyle w:val="001000000000"/>
            <w:tcW w:w="2448" w:type="dxa"/>
          </w:tcPr>
          <w:p w:rsidR="003A5A07" w:rsidRPr="00B06331" w:rsidRDefault="003A5A07" w:rsidP="003604CF">
            <w:pPr>
              <w:spacing w:after="0"/>
              <w:rPr>
                <w:rFonts w:ascii="Avenir Book" w:eastAsia="MS Mincho" w:hAnsi="Avenir Book"/>
                <w:i/>
              </w:rPr>
            </w:pPr>
            <w:r w:rsidRPr="00B06331">
              <w:rPr>
                <w:rFonts w:ascii="Avenir Book" w:eastAsia="MS Mincho" w:hAnsi="Avenir Book"/>
                <w:i/>
              </w:rPr>
              <w:t xml:space="preserve">Early Childhood Education (ECD) </w:t>
            </w:r>
          </w:p>
          <w:p w:rsidR="003A5A07" w:rsidRPr="00B06331" w:rsidRDefault="003A5A07" w:rsidP="003604CF">
            <w:pPr>
              <w:spacing w:after="0"/>
              <w:rPr>
                <w:rFonts w:ascii="Avenir Book" w:eastAsia="MS Mincho" w:hAnsi="Avenir Book"/>
              </w:rPr>
            </w:pPr>
          </w:p>
        </w:tc>
        <w:tc>
          <w:tcPr>
            <w:tcW w:w="7128" w:type="dxa"/>
          </w:tcPr>
          <w:p w:rsidR="003A5A07" w:rsidRPr="00B06331" w:rsidRDefault="003A5A07" w:rsidP="004143E3">
            <w:pPr>
              <w:pStyle w:val="ListParagraph"/>
              <w:numPr>
                <w:ilvl w:val="0"/>
                <w:numId w:val="46"/>
              </w:numPr>
              <w:spacing w:after="0" w:line="240" w:lineRule="auto"/>
              <w:cnfStyle w:val="000000100000"/>
              <w:rPr>
                <w:rFonts w:ascii="Avenir Book" w:eastAsia="MS Mincho" w:hAnsi="Avenir Book"/>
              </w:rPr>
            </w:pPr>
            <w:r w:rsidRPr="00B06331">
              <w:rPr>
                <w:rFonts w:ascii="Avenir Book" w:eastAsia="MS Mincho" w:hAnsi="Avenir Book"/>
              </w:rPr>
              <w:t>Increase the proportion of ECD permanent structures meeting the minimum standards from 57.5</w:t>
            </w:r>
            <w:r w:rsidR="00B56860" w:rsidRPr="00B06331">
              <w:rPr>
                <w:rFonts w:ascii="Avenir Book" w:eastAsia="MS Mincho" w:hAnsi="Avenir Book"/>
              </w:rPr>
              <w:t>% (</w:t>
            </w:r>
            <w:r w:rsidRPr="00B06331">
              <w:rPr>
                <w:rFonts w:ascii="Avenir Book" w:eastAsia="MS Mincho" w:hAnsi="Avenir Book"/>
              </w:rPr>
              <w:t>2017</w:t>
            </w:r>
            <w:r w:rsidR="00B56860" w:rsidRPr="00B06331">
              <w:rPr>
                <w:rFonts w:ascii="Avenir Book" w:eastAsia="MS Mincho" w:hAnsi="Avenir Book"/>
              </w:rPr>
              <w:t>) to</w:t>
            </w:r>
            <w:r w:rsidRPr="00B06331">
              <w:rPr>
                <w:rFonts w:ascii="Avenir Book" w:eastAsia="MS Mincho" w:hAnsi="Avenir Book"/>
              </w:rPr>
              <w:t xml:space="preserve"> 62.5%</w:t>
            </w:r>
          </w:p>
          <w:p w:rsidR="003A5A07" w:rsidRPr="00B06331" w:rsidRDefault="003A5A07" w:rsidP="004143E3">
            <w:pPr>
              <w:pStyle w:val="ListParagraph"/>
              <w:numPr>
                <w:ilvl w:val="0"/>
                <w:numId w:val="46"/>
              </w:numPr>
              <w:spacing w:after="0" w:line="240" w:lineRule="auto"/>
              <w:cnfStyle w:val="000000100000"/>
              <w:rPr>
                <w:rFonts w:ascii="Avenir Book" w:eastAsia="MS Mincho" w:hAnsi="Avenir Book"/>
              </w:rPr>
            </w:pPr>
            <w:r w:rsidRPr="00B06331">
              <w:rPr>
                <w:rFonts w:ascii="Avenir Book" w:eastAsia="MS Mincho" w:hAnsi="Avenir Book"/>
              </w:rPr>
              <w:t xml:space="preserve">Increase ECD Goss enrollment Rate for Boys from 45.2% to 50.2% and for Girls </w:t>
            </w:r>
            <w:r w:rsidRPr="00B06331">
              <w:rPr>
                <w:rFonts w:ascii="Avenir Book" w:eastAsia="MS Mincho" w:hAnsi="Avenir Book"/>
              </w:rPr>
              <w:lastRenderedPageBreak/>
              <w:t>from 47.9% to 52,9%</w:t>
            </w:r>
          </w:p>
          <w:p w:rsidR="003A5A07" w:rsidRPr="00B06331" w:rsidRDefault="003A5A07" w:rsidP="004143E3">
            <w:pPr>
              <w:pStyle w:val="ListParagraph"/>
              <w:numPr>
                <w:ilvl w:val="0"/>
                <w:numId w:val="46"/>
              </w:numPr>
              <w:spacing w:after="0" w:line="240" w:lineRule="auto"/>
              <w:cnfStyle w:val="000000100000"/>
              <w:rPr>
                <w:rFonts w:ascii="Avenir Book" w:eastAsia="MS Mincho" w:hAnsi="Avenir Book"/>
              </w:rPr>
            </w:pPr>
            <w:r w:rsidRPr="00B06331">
              <w:rPr>
                <w:rFonts w:ascii="Avenir Book" w:eastAsia="MS Mincho" w:hAnsi="Avenir Book"/>
              </w:rPr>
              <w:t>Increase % of trained ECD teachers (Public) from 73% to 85%</w:t>
            </w:r>
          </w:p>
          <w:p w:rsidR="003A5A07" w:rsidRPr="00B06331" w:rsidRDefault="003A5A07" w:rsidP="004143E3">
            <w:pPr>
              <w:pStyle w:val="ListParagraph"/>
              <w:numPr>
                <w:ilvl w:val="0"/>
                <w:numId w:val="46"/>
              </w:numPr>
              <w:spacing w:after="0" w:line="240" w:lineRule="auto"/>
              <w:cnfStyle w:val="000000100000"/>
              <w:rPr>
                <w:rFonts w:ascii="Avenir Book" w:eastAsia="MS Mincho" w:hAnsi="Avenir Book"/>
              </w:rPr>
            </w:pPr>
            <w:r w:rsidRPr="00B06331">
              <w:rPr>
                <w:rFonts w:ascii="Avenir Book" w:eastAsia="MS Mincho" w:hAnsi="Avenir Book"/>
              </w:rPr>
              <w:t>Increase % of pupils in grade 1 with ECD experience from 62% to 75%</w:t>
            </w:r>
          </w:p>
        </w:tc>
      </w:tr>
      <w:tr w:rsidR="003A5A07" w:rsidRPr="00B06331" w:rsidTr="00B56860">
        <w:tc>
          <w:tcPr>
            <w:cnfStyle w:val="001000000000"/>
            <w:tcW w:w="2448" w:type="dxa"/>
          </w:tcPr>
          <w:p w:rsidR="003A5A07" w:rsidRPr="00B06331" w:rsidRDefault="003A5A07" w:rsidP="003604CF">
            <w:pPr>
              <w:spacing w:after="0"/>
              <w:rPr>
                <w:rFonts w:ascii="Avenir Book" w:eastAsia="MS Mincho" w:hAnsi="Avenir Book"/>
              </w:rPr>
            </w:pPr>
            <w:r w:rsidRPr="00B06331">
              <w:rPr>
                <w:rFonts w:ascii="Avenir Book" w:eastAsia="MS Mincho" w:hAnsi="Avenir Book"/>
                <w:i/>
              </w:rPr>
              <w:lastRenderedPageBreak/>
              <w:t>Quality learning and relevant life and livelihoods skills (Basic Education Level</w:t>
            </w:r>
          </w:p>
        </w:tc>
        <w:tc>
          <w:tcPr>
            <w:tcW w:w="7128" w:type="dxa"/>
          </w:tcPr>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Gross Enrolment rate at the LBS level from 108.6% to 117% (national), from 105.4% to 114% (Boys) and from 111.8% to 116% (Girls)</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Gross Enrolment rate at the UBS level from 67.4% to 84% (National); from 65.0% to 73% (Boys); from 69.7% to 76% (Girls);</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Gross Enrolment rate at the SSS level from 45.9% to 46% (National); from 44.5% to 46% (Boys); and from 46% to 47.1% (Girls)</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Completion Rate at the LBS level from 78.7% to 97% (National); from 77.4% to 95% (Boys); from 80.0% to 97% (Girls)</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Completion rate at the UBS level from 58.9% to 79% (National); from 57.5% to 65% (Boys) and from 60.2% to 68% (Girls)</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Completion rate at the SSS level from 37.7% to 41% (National); from 37.7% to 41% (Boys); and from 37.7% to 41 % (Girl)</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 xml:space="preserve">Increase NAT competency rate at NAT 3 level by gender from 54% (2016) to 59% (English); from 45.8% (2016) to 50% Mathematics </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 xml:space="preserve">Increase NAT Competency rate at NAT 5 level by gender from 55.4% (2016) to 60% (English); from 49.7%        (2016) to 54% (Mathematics); from 48.9% (2016) to 53% (Science) </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 xml:space="preserve">Increase NAT Competency Rate at NAT 8 level by gender from 50.3% (2016) to 55% (English); from 38.9% (2016) to 43% Mathematics; and from 41.7% (2016) to 46% (Science) </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GABECE pass rate by gender from 19% (2016) to 24% (National)</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Percentage of GABECE students with 4 credits including Mathematics and English from 5% to 7%</w:t>
            </w:r>
          </w:p>
          <w:p w:rsidR="003A5A07" w:rsidRPr="00B06331" w:rsidRDefault="003A5A07" w:rsidP="004143E3">
            <w:pPr>
              <w:pStyle w:val="ListParagraph"/>
              <w:numPr>
                <w:ilvl w:val="0"/>
                <w:numId w:val="67"/>
              </w:numPr>
              <w:spacing w:line="240" w:lineRule="auto"/>
              <w:cnfStyle w:val="000000000000"/>
              <w:rPr>
                <w:rFonts w:ascii="Avenir Book" w:eastAsia="MS Mincho" w:hAnsi="Avenir Book"/>
              </w:rPr>
            </w:pPr>
            <w:r w:rsidRPr="00B06331">
              <w:rPr>
                <w:rFonts w:ascii="Avenir Book" w:eastAsia="MS Mincho" w:hAnsi="Avenir Book"/>
              </w:rPr>
              <w:t>Increase Percentage WASSCE students with 5 credits including English and Mathematics from 4 % to 6% (National) and from 5% to XX% (Boys) and from 3% to XX% (Girls)</w:t>
            </w:r>
          </w:p>
        </w:tc>
      </w:tr>
      <w:tr w:rsidR="003A5A07" w:rsidRPr="00B06331" w:rsidTr="00B56860">
        <w:trPr>
          <w:cnfStyle w:val="000000100000"/>
        </w:trPr>
        <w:tc>
          <w:tcPr>
            <w:cnfStyle w:val="001000000000"/>
            <w:tcW w:w="2448" w:type="dxa"/>
          </w:tcPr>
          <w:p w:rsidR="003A5A07" w:rsidRPr="00B06331" w:rsidRDefault="003A5A07" w:rsidP="003604CF">
            <w:pPr>
              <w:pStyle w:val="NoSpacing"/>
              <w:rPr>
                <w:rFonts w:ascii="Avenir Book" w:eastAsia="MS Mincho" w:hAnsi="Avenir Book"/>
              </w:rPr>
            </w:pPr>
            <w:r w:rsidRPr="00B06331">
              <w:rPr>
                <w:rFonts w:ascii="Avenir Book" w:eastAsia="MS Mincho" w:hAnsi="Avenir Book"/>
                <w:i/>
              </w:rPr>
              <w:t>Quality learning and relevant life and livelihoods skills (</w:t>
            </w:r>
            <w:r w:rsidR="00B56860" w:rsidRPr="00B06331">
              <w:rPr>
                <w:rFonts w:ascii="Avenir Book" w:eastAsia="MS Mincho" w:hAnsi="Avenir Book"/>
                <w:i/>
              </w:rPr>
              <w:t>Post-Secondary</w:t>
            </w:r>
            <w:r w:rsidRPr="00B06331">
              <w:rPr>
                <w:rFonts w:ascii="Avenir Book" w:eastAsia="MS Mincho" w:hAnsi="Avenir Book"/>
                <w:i/>
              </w:rPr>
              <w:t>&amp; Tertiary Level)</w:t>
            </w:r>
          </w:p>
          <w:p w:rsidR="003A5A07" w:rsidRPr="00B06331" w:rsidRDefault="003A5A07" w:rsidP="003604CF">
            <w:pPr>
              <w:spacing w:after="0"/>
              <w:rPr>
                <w:rFonts w:ascii="Avenir Book" w:eastAsia="MS Mincho" w:hAnsi="Avenir Book"/>
              </w:rPr>
            </w:pPr>
          </w:p>
        </w:tc>
        <w:tc>
          <w:tcPr>
            <w:tcW w:w="7128" w:type="dxa"/>
          </w:tcPr>
          <w:p w:rsidR="003A5A07" w:rsidRPr="00B06331" w:rsidRDefault="003A5A07" w:rsidP="004143E3">
            <w:pPr>
              <w:pStyle w:val="NoSpacing"/>
              <w:numPr>
                <w:ilvl w:val="0"/>
                <w:numId w:val="68"/>
              </w:numPr>
              <w:cnfStyle w:val="000000100000"/>
              <w:rPr>
                <w:rFonts w:ascii="Avenir Book" w:eastAsia="MS Mincho" w:hAnsi="Avenir Book"/>
              </w:rPr>
            </w:pPr>
            <w:r w:rsidRPr="00B06331">
              <w:rPr>
                <w:rFonts w:ascii="Avenir Book" w:eastAsia="MS Mincho" w:hAnsi="Avenir Book"/>
              </w:rPr>
              <w:t>Increase Gross enrolment rates in post-secondary (19-</w:t>
            </w:r>
            <w:r w:rsidR="00B56860" w:rsidRPr="00B06331">
              <w:rPr>
                <w:rFonts w:ascii="Avenir Book" w:eastAsia="MS Mincho" w:hAnsi="Avenir Book"/>
              </w:rPr>
              <w:t>25-year</w:t>
            </w:r>
            <w:r w:rsidRPr="00B06331">
              <w:rPr>
                <w:rFonts w:ascii="Avenir Book" w:eastAsia="MS Mincho" w:hAnsi="Avenir Book"/>
              </w:rPr>
              <w:t xml:space="preserve"> olds) from 40.7% to XX% </w:t>
            </w:r>
          </w:p>
          <w:p w:rsidR="003A5A07" w:rsidRPr="00B06331" w:rsidRDefault="003A5A07" w:rsidP="004143E3">
            <w:pPr>
              <w:pStyle w:val="NoSpacing"/>
              <w:numPr>
                <w:ilvl w:val="0"/>
                <w:numId w:val="68"/>
              </w:numPr>
              <w:cnfStyle w:val="000000100000"/>
              <w:rPr>
                <w:rFonts w:ascii="Avenir Book" w:eastAsia="MS Mincho" w:hAnsi="Avenir Book"/>
              </w:rPr>
            </w:pPr>
            <w:r w:rsidRPr="00B06331">
              <w:rPr>
                <w:rFonts w:ascii="Avenir Book" w:eastAsia="MS Mincho" w:hAnsi="Avenir Book"/>
              </w:rPr>
              <w:t>(National); from 54.6% to XX% (Female) and from 45.4%to XX% (Male)</w:t>
            </w:r>
          </w:p>
          <w:p w:rsidR="003A5A07" w:rsidRPr="00B06331" w:rsidRDefault="003A5A07" w:rsidP="004143E3">
            <w:pPr>
              <w:pStyle w:val="NoSpacing"/>
              <w:numPr>
                <w:ilvl w:val="0"/>
                <w:numId w:val="68"/>
              </w:numPr>
              <w:cnfStyle w:val="000000100000"/>
              <w:rPr>
                <w:rFonts w:ascii="Avenir Book" w:eastAsia="MS Mincho" w:hAnsi="Avenir Book"/>
              </w:rPr>
            </w:pPr>
            <w:r w:rsidRPr="00B06331">
              <w:rPr>
                <w:rFonts w:ascii="Avenir Book" w:eastAsia="MS Mincho" w:hAnsi="Avenir Book"/>
              </w:rPr>
              <w:t>Increase Percentage of graduate as proportion of total enrolment by post-secondary levels aggregated by gender at the Higher Education lev</w:t>
            </w:r>
            <w:r w:rsidR="00E47BD0" w:rsidRPr="00B06331">
              <w:rPr>
                <w:rFonts w:ascii="Avenir Book" w:eastAsia="MS Mincho" w:hAnsi="Avenir Book"/>
              </w:rPr>
              <w:t>el from 20.2% to XX% (national)</w:t>
            </w:r>
            <w:r w:rsidRPr="00B06331">
              <w:rPr>
                <w:rFonts w:ascii="Avenir Book" w:eastAsia="MS Mincho" w:hAnsi="Avenir Book"/>
              </w:rPr>
              <w:t xml:space="preserve"> from 21.1% to XX% (female) and from 19.8% to XX% (male).</w:t>
            </w:r>
          </w:p>
          <w:p w:rsidR="003A5A07" w:rsidRPr="00B06331" w:rsidRDefault="003A5A07" w:rsidP="004143E3">
            <w:pPr>
              <w:pStyle w:val="NoSpacing"/>
              <w:numPr>
                <w:ilvl w:val="0"/>
                <w:numId w:val="68"/>
              </w:numPr>
              <w:cnfStyle w:val="000000100000"/>
              <w:rPr>
                <w:rFonts w:ascii="Avenir Book" w:eastAsia="MS Mincho" w:hAnsi="Avenir Book"/>
              </w:rPr>
            </w:pPr>
            <w:r w:rsidRPr="00B06331">
              <w:rPr>
                <w:rFonts w:ascii="Avenir Book" w:eastAsia="MS Mincho" w:hAnsi="Avenir Book"/>
              </w:rPr>
              <w:t>Increase Percentage of graduate as proportion of total enrolment by post-secondary levels aggregated by gender at the Tertiary lev</w:t>
            </w:r>
            <w:r w:rsidR="00E47BD0" w:rsidRPr="00B06331">
              <w:rPr>
                <w:rFonts w:ascii="Avenir Book" w:eastAsia="MS Mincho" w:hAnsi="Avenir Book"/>
              </w:rPr>
              <w:t>el from 17.5% to XX% (national)</w:t>
            </w:r>
            <w:r w:rsidRPr="00B06331">
              <w:rPr>
                <w:rFonts w:ascii="Avenir Book" w:eastAsia="MS Mincho" w:hAnsi="Avenir Book"/>
              </w:rPr>
              <w:t xml:space="preserve"> from 15.7% to XX% (female) and from 18.5% to XX% (male).</w:t>
            </w:r>
          </w:p>
          <w:p w:rsidR="003A5A07" w:rsidRPr="00B06331" w:rsidRDefault="003A5A07" w:rsidP="004143E3">
            <w:pPr>
              <w:pStyle w:val="NoSpacing"/>
              <w:numPr>
                <w:ilvl w:val="0"/>
                <w:numId w:val="68"/>
              </w:numPr>
              <w:cnfStyle w:val="000000100000"/>
              <w:rPr>
                <w:rFonts w:ascii="Avenir Book" w:eastAsia="MS Mincho" w:hAnsi="Avenir Book"/>
              </w:rPr>
            </w:pPr>
            <w:r w:rsidRPr="00B06331">
              <w:rPr>
                <w:rFonts w:ascii="Avenir Book" w:eastAsia="MS Mincho" w:hAnsi="Avenir Book"/>
              </w:rPr>
              <w:t>Increase Percentage of graduate as proportion of total enrolment by post-secondary levels aggregated by gender at the Non-Tertiary level from 12.2% to XX% (national); from 12.8</w:t>
            </w:r>
            <w:r w:rsidR="00B56860" w:rsidRPr="00B06331">
              <w:rPr>
                <w:rFonts w:ascii="Avenir Book" w:eastAsia="MS Mincho" w:hAnsi="Avenir Book"/>
              </w:rPr>
              <w:t>% to</w:t>
            </w:r>
            <w:r w:rsidRPr="00B06331">
              <w:rPr>
                <w:rFonts w:ascii="Avenir Book" w:eastAsia="MS Mincho" w:hAnsi="Avenir Book"/>
              </w:rPr>
              <w:t xml:space="preserve"> XX% (female) and from 11.6% to XX% (male).</w:t>
            </w:r>
          </w:p>
        </w:tc>
      </w:tr>
      <w:tr w:rsidR="003A5A07" w:rsidRPr="00B06331" w:rsidTr="00B56860">
        <w:tc>
          <w:tcPr>
            <w:cnfStyle w:val="001000000000"/>
            <w:tcW w:w="2448" w:type="dxa"/>
          </w:tcPr>
          <w:p w:rsidR="003A5A07" w:rsidRPr="00B06331" w:rsidRDefault="003A5A07" w:rsidP="003604CF">
            <w:pPr>
              <w:pStyle w:val="NoSpacing"/>
              <w:rPr>
                <w:rFonts w:ascii="Avenir Book" w:eastAsia="MS Mincho" w:hAnsi="Avenir Book"/>
              </w:rPr>
            </w:pPr>
            <w:r w:rsidRPr="00B06331">
              <w:rPr>
                <w:rFonts w:ascii="Avenir Book" w:eastAsia="MS Mincho" w:hAnsi="Avenir Book"/>
                <w:i/>
              </w:rPr>
              <w:t>Quality learning and relevant life and livelihoods skills (Higher Education Level)</w:t>
            </w:r>
          </w:p>
          <w:p w:rsidR="003A5A07" w:rsidRPr="00B06331" w:rsidRDefault="003A5A07" w:rsidP="003604CF">
            <w:pPr>
              <w:spacing w:after="0"/>
              <w:rPr>
                <w:rFonts w:ascii="Avenir Book" w:eastAsia="MS Mincho" w:hAnsi="Avenir Book"/>
              </w:rPr>
            </w:pPr>
          </w:p>
        </w:tc>
        <w:tc>
          <w:tcPr>
            <w:tcW w:w="7128" w:type="dxa"/>
          </w:tcPr>
          <w:p w:rsidR="003A5A07" w:rsidRPr="00B06331" w:rsidRDefault="003A5A07" w:rsidP="004143E3">
            <w:pPr>
              <w:pStyle w:val="ListParagraph"/>
              <w:numPr>
                <w:ilvl w:val="0"/>
                <w:numId w:val="69"/>
              </w:numPr>
              <w:spacing w:after="0" w:line="240" w:lineRule="auto"/>
              <w:cnfStyle w:val="000000000000"/>
              <w:rPr>
                <w:rFonts w:ascii="Avenir Book" w:eastAsia="MS Mincho" w:hAnsi="Avenir Book"/>
              </w:rPr>
            </w:pPr>
            <w:r w:rsidRPr="00B06331">
              <w:rPr>
                <w:rFonts w:ascii="Avenir Book" w:eastAsia="MS Mincho" w:hAnsi="Avenir Book"/>
              </w:rPr>
              <w:t>Increase the number of Masters and PhDs graduated in STEM, aggregated by gender from 0% to 140 (Masters) and from 0% to 32% (PhD)</w:t>
            </w:r>
          </w:p>
          <w:p w:rsidR="003A5A07" w:rsidRPr="00B06331" w:rsidRDefault="003A5A07" w:rsidP="004143E3">
            <w:pPr>
              <w:pStyle w:val="ListParagraph"/>
              <w:numPr>
                <w:ilvl w:val="0"/>
                <w:numId w:val="69"/>
              </w:numPr>
              <w:spacing w:after="0" w:line="240" w:lineRule="auto"/>
              <w:cnfStyle w:val="000000000000"/>
              <w:rPr>
                <w:rFonts w:ascii="Avenir Book" w:eastAsia="MS Mincho" w:hAnsi="Avenir Book"/>
              </w:rPr>
            </w:pPr>
            <w:r w:rsidRPr="00B06331">
              <w:rPr>
                <w:rFonts w:ascii="Avenir Book" w:eastAsia="MS Mincho" w:hAnsi="Avenir Book"/>
              </w:rPr>
              <w:t>Increase the number of Masters and PhDs graduated in Agriculture, aggregated by gender from 0% to 50 (Masters) and from 0% to 10% (PhD)</w:t>
            </w:r>
          </w:p>
          <w:p w:rsidR="003A5A07" w:rsidRPr="00B06331" w:rsidRDefault="003A5A07" w:rsidP="004143E3">
            <w:pPr>
              <w:pStyle w:val="ListParagraph"/>
              <w:numPr>
                <w:ilvl w:val="0"/>
                <w:numId w:val="69"/>
              </w:numPr>
              <w:spacing w:after="0" w:line="240" w:lineRule="auto"/>
              <w:cnfStyle w:val="000000000000"/>
              <w:rPr>
                <w:rFonts w:ascii="Avenir Book" w:eastAsia="MS Mincho" w:hAnsi="Avenir Book"/>
              </w:rPr>
            </w:pPr>
            <w:r w:rsidRPr="00B06331">
              <w:rPr>
                <w:rFonts w:ascii="Avenir Book" w:eastAsia="MS Mincho" w:hAnsi="Avenir Book"/>
              </w:rPr>
              <w:t>Increase the number of Masters and PhDs graduated in Health, aggregated by gender from 0% to 40 (Masters) and from 0% to 10% (PhD)</w:t>
            </w:r>
          </w:p>
          <w:p w:rsidR="003A5A07" w:rsidRPr="00B06331" w:rsidRDefault="003A5A07" w:rsidP="004143E3">
            <w:pPr>
              <w:pStyle w:val="ListParagraph"/>
              <w:numPr>
                <w:ilvl w:val="0"/>
                <w:numId w:val="69"/>
              </w:numPr>
              <w:spacing w:after="0" w:line="240" w:lineRule="auto"/>
              <w:cnfStyle w:val="000000000000"/>
              <w:rPr>
                <w:rFonts w:ascii="Avenir Book" w:eastAsia="MS Mincho" w:hAnsi="Avenir Book"/>
              </w:rPr>
            </w:pPr>
            <w:r w:rsidRPr="00B06331">
              <w:rPr>
                <w:rFonts w:ascii="Avenir Book" w:eastAsia="MS Mincho" w:hAnsi="Avenir Book"/>
              </w:rPr>
              <w:t>Increase percentages of accredited institutions from XX% to TBD%</w:t>
            </w:r>
          </w:p>
          <w:p w:rsidR="003A5A07" w:rsidRPr="00B06331" w:rsidRDefault="003A5A07" w:rsidP="004143E3">
            <w:pPr>
              <w:pStyle w:val="ListParagraph"/>
              <w:numPr>
                <w:ilvl w:val="0"/>
                <w:numId w:val="69"/>
              </w:numPr>
              <w:spacing w:after="0" w:line="240" w:lineRule="auto"/>
              <w:cnfStyle w:val="000000000000"/>
              <w:rPr>
                <w:rFonts w:ascii="Avenir Book" w:eastAsia="MS Mincho" w:hAnsi="Avenir Book"/>
              </w:rPr>
            </w:pPr>
            <w:r w:rsidRPr="00B06331">
              <w:rPr>
                <w:rFonts w:ascii="Avenir Book" w:eastAsia="MS Mincho" w:hAnsi="Avenir Book"/>
              </w:rPr>
              <w:t xml:space="preserve">Increase percentages of accredited institutional programmes from XX % to </w:t>
            </w:r>
            <w:r w:rsidRPr="00B06331">
              <w:rPr>
                <w:rFonts w:ascii="Avenir Book" w:eastAsia="MS Mincho" w:hAnsi="Avenir Book"/>
              </w:rPr>
              <w:lastRenderedPageBreak/>
              <w:t>XX%.</w:t>
            </w:r>
          </w:p>
        </w:tc>
      </w:tr>
      <w:tr w:rsidR="003A5A07" w:rsidRPr="00B06331" w:rsidTr="00B56860">
        <w:trPr>
          <w:cnfStyle w:val="000000100000"/>
        </w:trPr>
        <w:tc>
          <w:tcPr>
            <w:cnfStyle w:val="001000000000"/>
            <w:tcW w:w="2448" w:type="dxa"/>
          </w:tcPr>
          <w:p w:rsidR="003A5A07" w:rsidRPr="00B06331" w:rsidRDefault="00B56860" w:rsidP="003604CF">
            <w:pPr>
              <w:spacing w:after="0"/>
              <w:rPr>
                <w:rFonts w:ascii="Avenir Book" w:eastAsia="MS Mincho" w:hAnsi="Avenir Book"/>
              </w:rPr>
            </w:pPr>
            <w:r w:rsidRPr="00B06331">
              <w:rPr>
                <w:rFonts w:ascii="Avenir Book" w:eastAsia="MS Mincho" w:hAnsi="Avenir Book"/>
                <w:i/>
              </w:rPr>
              <w:lastRenderedPageBreak/>
              <w:t>Non-Formal</w:t>
            </w:r>
            <w:r w:rsidR="003A5A07" w:rsidRPr="00B06331">
              <w:rPr>
                <w:rFonts w:ascii="Avenir Book" w:eastAsia="MS Mincho" w:hAnsi="Avenir Book"/>
                <w:i/>
              </w:rPr>
              <w:t xml:space="preserve"> and Adult Education</w:t>
            </w:r>
          </w:p>
        </w:tc>
        <w:tc>
          <w:tcPr>
            <w:tcW w:w="7128" w:type="dxa"/>
          </w:tcPr>
          <w:p w:rsidR="003A5A07" w:rsidRPr="00B06331" w:rsidRDefault="003A5A07" w:rsidP="004143E3">
            <w:pPr>
              <w:pStyle w:val="ListParagraph"/>
              <w:numPr>
                <w:ilvl w:val="0"/>
                <w:numId w:val="47"/>
              </w:numPr>
              <w:spacing w:after="0" w:line="240" w:lineRule="auto"/>
              <w:cnfStyle w:val="000000100000"/>
              <w:rPr>
                <w:rFonts w:ascii="Avenir Book" w:eastAsia="MS Mincho" w:hAnsi="Avenir Book"/>
              </w:rPr>
            </w:pPr>
            <w:r w:rsidRPr="00B06331">
              <w:rPr>
                <w:rFonts w:ascii="Avenir Book" w:eastAsia="MS Mincho" w:hAnsi="Avenir Book"/>
              </w:rPr>
              <w:t>Increase Adult literacy rat</w:t>
            </w:r>
            <w:r w:rsidR="00B56860" w:rsidRPr="00B06331">
              <w:rPr>
                <w:rFonts w:ascii="Avenir Book" w:eastAsia="MS Mincho" w:hAnsi="Avenir Book"/>
              </w:rPr>
              <w:t>es by gender from XX % to TBD %</w:t>
            </w:r>
            <w:r w:rsidRPr="00B06331">
              <w:rPr>
                <w:rFonts w:ascii="Avenir Book" w:eastAsia="MS Mincho" w:hAnsi="Avenir Book"/>
              </w:rPr>
              <w:t>???</w:t>
            </w:r>
          </w:p>
          <w:p w:rsidR="003A5A07" w:rsidRPr="00B06331" w:rsidRDefault="003A5A07" w:rsidP="004143E3">
            <w:pPr>
              <w:pStyle w:val="ListParagraph"/>
              <w:numPr>
                <w:ilvl w:val="0"/>
                <w:numId w:val="47"/>
              </w:numPr>
              <w:spacing w:after="0" w:line="240" w:lineRule="auto"/>
              <w:cnfStyle w:val="000000100000"/>
              <w:rPr>
                <w:rFonts w:ascii="Avenir Book" w:eastAsia="MS Mincho" w:hAnsi="Avenir Book"/>
              </w:rPr>
            </w:pPr>
            <w:r w:rsidRPr="00B06331">
              <w:rPr>
                <w:rFonts w:ascii="Avenir Book" w:eastAsia="MS Mincho" w:hAnsi="Avenir Book"/>
              </w:rPr>
              <w:t>Increase proportion of graduates as percentage of total apprenticeship enrolment from XX% to XX%</w:t>
            </w:r>
          </w:p>
          <w:p w:rsidR="003A5A07" w:rsidRPr="00B06331" w:rsidRDefault="003A5A07" w:rsidP="004143E3">
            <w:pPr>
              <w:pStyle w:val="ListParagraph"/>
              <w:numPr>
                <w:ilvl w:val="0"/>
                <w:numId w:val="47"/>
              </w:numPr>
              <w:spacing w:after="0" w:line="240" w:lineRule="auto"/>
              <w:cnfStyle w:val="000000100000"/>
              <w:rPr>
                <w:rFonts w:ascii="Avenir Book" w:eastAsia="MS Mincho" w:hAnsi="Avenir Book"/>
              </w:rPr>
            </w:pPr>
            <w:r w:rsidRPr="00B06331">
              <w:rPr>
                <w:rFonts w:ascii="Avenir Book" w:eastAsia="MS Mincho" w:hAnsi="Avenir Book"/>
              </w:rPr>
              <w:t>Increase number of master craft persons trained from XX% to XX%%</w:t>
            </w:r>
          </w:p>
        </w:tc>
      </w:tr>
    </w:tbl>
    <w:p w:rsidR="00667BB2" w:rsidRPr="00B06331" w:rsidRDefault="00667BB2" w:rsidP="003A5A07">
      <w:pPr>
        <w:pStyle w:val="ListParagraph"/>
        <w:ind w:left="0"/>
        <w:rPr>
          <w:rFonts w:ascii="Avenir Book" w:eastAsia="MS Mincho" w:hAnsi="Avenir Book"/>
          <w:b/>
          <w:i/>
          <w:color w:val="4472C4" w:themeColor="accent1"/>
        </w:rPr>
      </w:pPr>
    </w:p>
    <w:p w:rsidR="005D5E1C" w:rsidRPr="00B06331" w:rsidRDefault="005D5E1C" w:rsidP="003A5A07">
      <w:pPr>
        <w:pStyle w:val="ListParagraph"/>
        <w:ind w:left="0"/>
        <w:rPr>
          <w:rFonts w:ascii="Avenir Book" w:eastAsia="MS Mincho" w:hAnsi="Avenir Book"/>
          <w:b/>
          <w:i/>
          <w:color w:val="4472C4" w:themeColor="accent1"/>
        </w:rPr>
      </w:pPr>
    </w:p>
    <w:p w:rsidR="005D5E1C" w:rsidRPr="00B06331" w:rsidRDefault="005D5E1C" w:rsidP="003A5A07">
      <w:pPr>
        <w:pStyle w:val="ListParagraph"/>
        <w:ind w:left="0"/>
        <w:rPr>
          <w:rFonts w:ascii="Avenir Book" w:eastAsia="MS Mincho" w:hAnsi="Avenir Book"/>
          <w:b/>
          <w:i/>
          <w:color w:val="4472C4" w:themeColor="accent1"/>
        </w:rPr>
      </w:pPr>
    </w:p>
    <w:p w:rsidR="003A5A07" w:rsidRPr="00B06331" w:rsidRDefault="00B56860" w:rsidP="003A5A07">
      <w:pPr>
        <w:pStyle w:val="ListParagraph"/>
        <w:ind w:left="0"/>
        <w:rPr>
          <w:rFonts w:ascii="Avenir Book" w:eastAsia="MS Mincho" w:hAnsi="Avenir Book"/>
          <w:b/>
          <w:i/>
          <w:color w:val="4472C4" w:themeColor="accent1"/>
          <w:sz w:val="20"/>
        </w:rPr>
      </w:pPr>
      <w:r w:rsidRPr="00B06331">
        <w:rPr>
          <w:rFonts w:ascii="Avenir Book" w:eastAsia="MS Mincho" w:hAnsi="Avenir Book"/>
          <w:b/>
          <w:i/>
          <w:color w:val="4472C4" w:themeColor="accent1"/>
        </w:rPr>
        <w:t>Outcome 4.1: Enhanced Access to Quality and Affordable Early Childhood Education Nationwide</w:t>
      </w:r>
    </w:p>
    <w:p w:rsidR="003A5A07" w:rsidRPr="00B06331" w:rsidRDefault="00B56860" w:rsidP="003A5A07">
      <w:pPr>
        <w:jc w:val="both"/>
        <w:rPr>
          <w:rFonts w:ascii="Avenir Book" w:eastAsia="MS Mincho" w:hAnsi="Avenir Book"/>
          <w:szCs w:val="24"/>
        </w:rPr>
      </w:pPr>
      <w:r w:rsidRPr="00B06331">
        <w:rPr>
          <w:rFonts w:ascii="Avenir Book" w:eastAsia="MS Mincho" w:hAnsi="Avenir Book"/>
          <w:szCs w:val="24"/>
        </w:rPr>
        <w:t>T</w:t>
      </w:r>
      <w:r w:rsidR="003A5A07" w:rsidRPr="00B06331">
        <w:rPr>
          <w:rFonts w:ascii="Avenir Book" w:eastAsia="MS Mincho" w:hAnsi="Avenir Book"/>
          <w:szCs w:val="24"/>
        </w:rPr>
        <w:t>o strengthen access to early childhood education nationwide, government will take measur</w:t>
      </w:r>
      <w:r w:rsidR="005809EA" w:rsidRPr="00B06331">
        <w:rPr>
          <w:rFonts w:ascii="Avenir Book" w:eastAsia="MS Mincho" w:hAnsi="Avenir Book"/>
          <w:szCs w:val="24"/>
        </w:rPr>
        <w:t>es and facilitate the follo</w:t>
      </w:r>
      <w:r w:rsidR="00103D93" w:rsidRPr="00B06331">
        <w:rPr>
          <w:rFonts w:ascii="Avenir Book" w:eastAsia="MS Mincho" w:hAnsi="Avenir Book"/>
          <w:szCs w:val="24"/>
        </w:rPr>
        <w:t>wing:</w:t>
      </w:r>
    </w:p>
    <w:p w:rsidR="00103D93" w:rsidRPr="00B06331" w:rsidRDefault="00103D93" w:rsidP="00103D93">
      <w:pPr>
        <w:pStyle w:val="ListParagraph"/>
        <w:numPr>
          <w:ilvl w:val="0"/>
          <w:numId w:val="221"/>
        </w:numPr>
        <w:spacing w:after="0" w:line="240" w:lineRule="auto"/>
        <w:jc w:val="both"/>
        <w:rPr>
          <w:rFonts w:ascii="Avenir Book" w:hAnsi="Avenir Book"/>
          <w:b/>
        </w:rPr>
      </w:pPr>
      <w:r w:rsidRPr="00B06331">
        <w:rPr>
          <w:rFonts w:ascii="Avenir Book" w:hAnsi="Avenir Book"/>
        </w:rPr>
        <w:t>Improve the number and quality of teacher training in terms of knowledge and pedagogy</w:t>
      </w:r>
      <w:r w:rsidRPr="00B06331">
        <w:rPr>
          <w:rFonts w:ascii="Avenir Book" w:hAnsi="Avenir Book"/>
          <w:b/>
        </w:rPr>
        <w:t xml:space="preserve">. </w:t>
      </w:r>
    </w:p>
    <w:p w:rsidR="00103D93" w:rsidRPr="00B06331" w:rsidRDefault="00103D93" w:rsidP="00103D93">
      <w:pPr>
        <w:pStyle w:val="ListParagraph"/>
        <w:numPr>
          <w:ilvl w:val="0"/>
          <w:numId w:val="221"/>
        </w:numPr>
        <w:spacing w:after="0" w:line="240" w:lineRule="auto"/>
        <w:jc w:val="both"/>
        <w:rPr>
          <w:rFonts w:ascii="Avenir Book" w:hAnsi="Avenir Book"/>
        </w:rPr>
      </w:pPr>
      <w:r w:rsidRPr="00B06331">
        <w:rPr>
          <w:rFonts w:ascii="Avenir Book" w:hAnsi="Avenir Book"/>
        </w:rPr>
        <w:t xml:space="preserve">Strengthen The Gambia College Early Childhood Development (ECD) module /curriculum and establishment of private ECD training institutions will be promoted. Candidates interested in pursuing ECD to graduate level will be provided with training opportunities. </w:t>
      </w:r>
    </w:p>
    <w:p w:rsidR="00103D93" w:rsidRPr="00B06331" w:rsidRDefault="00103D93" w:rsidP="00103D93">
      <w:pPr>
        <w:pStyle w:val="ListParagraph"/>
        <w:numPr>
          <w:ilvl w:val="0"/>
          <w:numId w:val="221"/>
        </w:numPr>
        <w:spacing w:after="0" w:line="240" w:lineRule="auto"/>
        <w:jc w:val="both"/>
        <w:rPr>
          <w:rFonts w:ascii="Avenir Book" w:hAnsi="Avenir Book"/>
        </w:rPr>
      </w:pPr>
      <w:r w:rsidRPr="00B06331">
        <w:rPr>
          <w:rFonts w:ascii="Avenir Book" w:hAnsi="Avenir Book"/>
        </w:rPr>
        <w:t xml:space="preserve">Expand ECD centres and facilities, especially in rural areas. </w:t>
      </w:r>
    </w:p>
    <w:p w:rsidR="0004118F" w:rsidRPr="00B06331" w:rsidRDefault="0004118F" w:rsidP="00103D93">
      <w:pPr>
        <w:pStyle w:val="ListParagraph"/>
        <w:numPr>
          <w:ilvl w:val="0"/>
          <w:numId w:val="221"/>
        </w:numPr>
        <w:spacing w:after="0" w:line="240" w:lineRule="auto"/>
        <w:jc w:val="both"/>
        <w:rPr>
          <w:rFonts w:ascii="Avenir Book" w:hAnsi="Avenir Book"/>
        </w:rPr>
      </w:pPr>
      <w:r w:rsidRPr="00B06331">
        <w:rPr>
          <w:rFonts w:ascii="Avenir Book" w:hAnsi="Avenir Book"/>
        </w:rPr>
        <w:t>Government will introduce</w:t>
      </w:r>
      <w:r w:rsidR="00103D93" w:rsidRPr="00B06331">
        <w:rPr>
          <w:rFonts w:ascii="Avenir Book" w:hAnsi="Avenir Book"/>
        </w:rPr>
        <w:t xml:space="preserve"> universal access to ECD services through the active provision of facilities and services especially in communities where such services are not available</w:t>
      </w:r>
      <w:r w:rsidRPr="00B06331">
        <w:rPr>
          <w:rFonts w:ascii="Avenir Book" w:hAnsi="Avenir Book"/>
        </w:rPr>
        <w:t xml:space="preserve"> – in view of the importance of the early of development for children</w:t>
      </w:r>
      <w:r w:rsidR="00103D93" w:rsidRPr="00B06331">
        <w:rPr>
          <w:rFonts w:ascii="Avenir Book" w:hAnsi="Avenir Book"/>
        </w:rPr>
        <w:t xml:space="preserve">.  </w:t>
      </w:r>
    </w:p>
    <w:p w:rsidR="00103D93" w:rsidRPr="00B06331" w:rsidRDefault="0004118F" w:rsidP="00103D93">
      <w:pPr>
        <w:pStyle w:val="ListParagraph"/>
        <w:numPr>
          <w:ilvl w:val="0"/>
          <w:numId w:val="221"/>
        </w:numPr>
        <w:spacing w:after="0" w:line="240" w:lineRule="auto"/>
        <w:jc w:val="both"/>
        <w:rPr>
          <w:rFonts w:ascii="Avenir Book" w:hAnsi="Avenir Book"/>
        </w:rPr>
      </w:pPr>
      <w:r w:rsidRPr="00B06331">
        <w:rPr>
          <w:rFonts w:ascii="Avenir Book" w:hAnsi="Avenir Book"/>
        </w:rPr>
        <w:t>E</w:t>
      </w:r>
      <w:r w:rsidR="00103D93" w:rsidRPr="00B06331">
        <w:rPr>
          <w:rFonts w:ascii="Avenir Book" w:hAnsi="Avenir Book"/>
        </w:rPr>
        <w:t xml:space="preserve">arly development centres will be incorporated in existing lower basic schools located within ‘deprived’ communities. </w:t>
      </w:r>
    </w:p>
    <w:p w:rsidR="00103D93" w:rsidRPr="00B06331" w:rsidRDefault="00103D93" w:rsidP="00103D93">
      <w:pPr>
        <w:pStyle w:val="ListParagraph"/>
        <w:numPr>
          <w:ilvl w:val="0"/>
          <w:numId w:val="221"/>
        </w:numPr>
        <w:spacing w:after="0" w:line="240" w:lineRule="auto"/>
        <w:jc w:val="both"/>
        <w:rPr>
          <w:rFonts w:ascii="Avenir Book" w:hAnsi="Avenir Book"/>
        </w:rPr>
      </w:pPr>
      <w:r w:rsidRPr="00B06331">
        <w:rPr>
          <w:rFonts w:ascii="Avenir Book" w:hAnsi="Avenir Book"/>
        </w:rPr>
        <w:t>Provide minimum standards for ECD centres.</w:t>
      </w:r>
    </w:p>
    <w:p w:rsidR="00103D93" w:rsidRPr="00B06331" w:rsidRDefault="00103D93" w:rsidP="00103D93">
      <w:pPr>
        <w:spacing w:after="0" w:line="240" w:lineRule="auto"/>
        <w:jc w:val="both"/>
        <w:rPr>
          <w:rFonts w:ascii="Avenir Book" w:hAnsi="Avenir Book"/>
          <w:b/>
        </w:rPr>
      </w:pPr>
    </w:p>
    <w:p w:rsidR="00103D93" w:rsidRPr="00B06331" w:rsidRDefault="00103D93" w:rsidP="00103D93">
      <w:pPr>
        <w:spacing w:after="0" w:line="240" w:lineRule="auto"/>
        <w:jc w:val="both"/>
        <w:rPr>
          <w:rFonts w:ascii="Avenir Book" w:hAnsi="Avenir Book"/>
          <w:b/>
        </w:rPr>
      </w:pPr>
      <w:r w:rsidRPr="00B06331">
        <w:rPr>
          <w:rFonts w:ascii="Avenir Book" w:hAnsi="Avenir Book"/>
        </w:rPr>
        <w:t xml:space="preserve">MoBSE will continue to co-ordinate, support and facilitate ECE through monitoring, assessing and developing guidelines for the establishment and management of nursery schools. Minimum standards for Early Childhood Development services will be established and enforced within private and public ECD institutions.  In the case of private ECD centres, Government will continue to monitor compliance. </w:t>
      </w:r>
    </w:p>
    <w:p w:rsidR="003A5A07" w:rsidRPr="00B06331" w:rsidRDefault="003A5A07" w:rsidP="003A5A07">
      <w:pPr>
        <w:tabs>
          <w:tab w:val="left" w:pos="1770"/>
        </w:tabs>
        <w:spacing w:after="0"/>
        <w:rPr>
          <w:rFonts w:ascii="Avenir Book" w:eastAsia="MS Mincho" w:hAnsi="Avenir Book"/>
          <w:b/>
          <w:sz w:val="24"/>
          <w:szCs w:val="24"/>
          <w:u w:val="single"/>
        </w:rPr>
      </w:pPr>
    </w:p>
    <w:p w:rsidR="003A5A07" w:rsidRPr="00B06331" w:rsidRDefault="0007712A" w:rsidP="00B56860">
      <w:pPr>
        <w:tabs>
          <w:tab w:val="left" w:pos="1770"/>
        </w:tabs>
        <w:spacing w:after="0"/>
        <w:rPr>
          <w:rFonts w:ascii="Avenir Book" w:eastAsia="MS Mincho" w:hAnsi="Avenir Book"/>
          <w:b/>
          <w:i/>
          <w:color w:val="4472C4" w:themeColor="accent1"/>
          <w:szCs w:val="24"/>
        </w:rPr>
      </w:pPr>
      <w:r w:rsidRPr="00B06331">
        <w:rPr>
          <w:rFonts w:ascii="Avenir Book" w:eastAsia="MS Mincho" w:hAnsi="Avenir Book"/>
          <w:b/>
          <w:i/>
          <w:color w:val="4472C4" w:themeColor="accent1"/>
          <w:szCs w:val="24"/>
        </w:rPr>
        <w:t>O</w:t>
      </w:r>
      <w:r w:rsidR="00B56860" w:rsidRPr="00B06331">
        <w:rPr>
          <w:rFonts w:ascii="Avenir Book" w:eastAsia="MS Mincho" w:hAnsi="Avenir Book"/>
          <w:b/>
          <w:i/>
          <w:color w:val="4472C4" w:themeColor="accent1"/>
          <w:szCs w:val="24"/>
        </w:rPr>
        <w:t>utcome 4.2: Improved Quality Learning and relevant Life and Livelihood Skills for all Grad</w:t>
      </w:r>
      <w:r w:rsidRPr="00B06331">
        <w:rPr>
          <w:rFonts w:ascii="Avenir Book" w:eastAsia="MS Mincho" w:hAnsi="Avenir Book"/>
          <w:b/>
          <w:i/>
          <w:color w:val="4472C4" w:themeColor="accent1"/>
          <w:szCs w:val="24"/>
        </w:rPr>
        <w:t>uates, with special emphasis on STEM, Health, and Agriculture</w:t>
      </w:r>
    </w:p>
    <w:p w:rsidR="0007712A" w:rsidRPr="00B06331" w:rsidRDefault="0007712A" w:rsidP="00B56860">
      <w:pPr>
        <w:tabs>
          <w:tab w:val="left" w:pos="1770"/>
        </w:tabs>
        <w:spacing w:after="0"/>
        <w:rPr>
          <w:rFonts w:ascii="Avenir Book" w:eastAsia="MS Mincho" w:hAnsi="Avenir Book"/>
          <w:b/>
          <w:szCs w:val="24"/>
          <w:u w:val="single"/>
        </w:rPr>
      </w:pPr>
    </w:p>
    <w:p w:rsidR="003A5A07" w:rsidRPr="00B06331" w:rsidRDefault="003A5A07" w:rsidP="003A5A07">
      <w:pPr>
        <w:pStyle w:val="ListParagraph"/>
        <w:spacing w:after="0"/>
        <w:ind w:left="0"/>
        <w:rPr>
          <w:rFonts w:ascii="Avenir Book" w:hAnsi="Avenir Book"/>
        </w:rPr>
      </w:pPr>
      <w:r w:rsidRPr="00B06331">
        <w:rPr>
          <w:rFonts w:ascii="Avenir Book" w:hAnsi="Avenir Book"/>
        </w:rPr>
        <w:t>To achieve this outcome, Government will undertake the measures described below.</w:t>
      </w:r>
    </w:p>
    <w:p w:rsidR="00076564" w:rsidRPr="00B06331" w:rsidRDefault="00076564" w:rsidP="003A5A07">
      <w:pPr>
        <w:pStyle w:val="ListParagraph"/>
        <w:spacing w:after="0"/>
        <w:ind w:left="0"/>
        <w:rPr>
          <w:rFonts w:ascii="Avenir Book" w:hAnsi="Avenir Book"/>
          <w:sz w:val="24"/>
        </w:rPr>
      </w:pPr>
    </w:p>
    <w:p w:rsidR="003A5A07" w:rsidRPr="00B06331" w:rsidRDefault="003A5A07" w:rsidP="003A5A07">
      <w:pPr>
        <w:spacing w:after="0"/>
        <w:jc w:val="both"/>
        <w:rPr>
          <w:rFonts w:ascii="Avenir Book" w:hAnsi="Avenir Book"/>
          <w:b/>
        </w:rPr>
      </w:pPr>
      <w:r w:rsidRPr="00B06331">
        <w:rPr>
          <w:rFonts w:ascii="Avenir Book" w:hAnsi="Avenir Book"/>
          <w:b/>
        </w:rPr>
        <w:t xml:space="preserve">Strengthen support for special needs education at all levels. </w:t>
      </w:r>
    </w:p>
    <w:p w:rsidR="003A5A07" w:rsidRPr="00B06331" w:rsidRDefault="003A5A07" w:rsidP="003A5A07">
      <w:pPr>
        <w:spacing w:after="0"/>
        <w:jc w:val="both"/>
        <w:rPr>
          <w:rFonts w:ascii="Avenir Book" w:hAnsi="Avenir Book"/>
          <w:b/>
        </w:rPr>
      </w:pPr>
    </w:p>
    <w:p w:rsidR="003A5A07" w:rsidRPr="00B06331" w:rsidRDefault="003A5A07" w:rsidP="003A5A07">
      <w:pPr>
        <w:spacing w:after="0"/>
        <w:jc w:val="both"/>
        <w:rPr>
          <w:rFonts w:ascii="Avenir Book" w:hAnsi="Avenir Book"/>
        </w:rPr>
      </w:pPr>
      <w:r w:rsidRPr="00B06331">
        <w:rPr>
          <w:rFonts w:ascii="Avenir Book" w:hAnsi="Avenir Book"/>
        </w:rPr>
        <w:t>During the plan period, the provision of equitable access to quality teaching and learning for all special needs children will be given prominence.  Mild and moderate disabilities will continue to be mainstreamed while the profound will be sent to special schools which will be strengthened to cater for their respective needs.  All regional education directorates will be provided with at least one functional resource centre to cater for the diverse needs of all children with Special needs.  Teachers engaged in such schools will be trained to respond to the needs of children in their class</w:t>
      </w:r>
      <w:r w:rsidR="001474AB" w:rsidRPr="00B06331">
        <w:rPr>
          <w:rFonts w:ascii="Avenir Book" w:hAnsi="Avenir Book"/>
        </w:rPr>
        <w:t>rooms</w:t>
      </w:r>
      <w:r w:rsidRPr="00B06331">
        <w:rPr>
          <w:rFonts w:ascii="Avenir Book" w:hAnsi="Avenir Book"/>
        </w:rPr>
        <w:t xml:space="preserve">. In addition, the national agenda for all-inclusive education across the board requires post-secondary education systems </w:t>
      </w:r>
      <w:r w:rsidRPr="00B06331">
        <w:rPr>
          <w:rFonts w:ascii="Avenir Book" w:hAnsi="Avenir Book"/>
        </w:rPr>
        <w:lastRenderedPageBreak/>
        <w:t>to be compliant to the demands of those with special needs in education. MoHERST will therefore undertake a comprehensive approach that features: (i) a survey on compliance status of appropriate institutions; (ii) legislation to influence policy and regulation; and (iii) community sensitizationto influence stakeholder buy-in. MoHERST in collaboration with partners will vigorously encourage higher education institutions to develop programmes that are responsive to special needs.</w:t>
      </w:r>
    </w:p>
    <w:p w:rsidR="003A5A07" w:rsidRPr="00B06331" w:rsidRDefault="003A5A07" w:rsidP="003A5A07">
      <w:pPr>
        <w:spacing w:after="0"/>
        <w:jc w:val="both"/>
        <w:rPr>
          <w:rFonts w:ascii="Avenir Book" w:hAnsi="Avenir Book"/>
        </w:rPr>
      </w:pPr>
    </w:p>
    <w:p w:rsidR="005D5E1C" w:rsidRPr="00B06331" w:rsidRDefault="005D5E1C" w:rsidP="003A5A07">
      <w:pPr>
        <w:spacing w:after="0"/>
        <w:jc w:val="both"/>
        <w:rPr>
          <w:rFonts w:ascii="Avenir Book" w:hAnsi="Avenir Book"/>
        </w:rPr>
      </w:pPr>
    </w:p>
    <w:p w:rsidR="005D5E1C" w:rsidRPr="00B06331" w:rsidRDefault="005D5E1C" w:rsidP="003A5A07">
      <w:pPr>
        <w:spacing w:after="0"/>
        <w:jc w:val="both"/>
        <w:rPr>
          <w:rFonts w:ascii="Avenir Book" w:hAnsi="Avenir Book"/>
        </w:rPr>
      </w:pPr>
    </w:p>
    <w:p w:rsidR="003A5A07" w:rsidRPr="00B06331" w:rsidRDefault="003A5A07" w:rsidP="003A5A07">
      <w:pPr>
        <w:spacing w:after="0"/>
        <w:jc w:val="both"/>
        <w:rPr>
          <w:rFonts w:ascii="Avenir Book" w:hAnsi="Avenir Book"/>
          <w:b/>
        </w:rPr>
      </w:pPr>
      <w:r w:rsidRPr="00B06331">
        <w:rPr>
          <w:rFonts w:ascii="Avenir Book" w:hAnsi="Avenir Book"/>
          <w:b/>
        </w:rPr>
        <w:t xml:space="preserve">Implement and monitor the national quality assurance framework. </w:t>
      </w:r>
    </w:p>
    <w:p w:rsidR="003A5A07" w:rsidRPr="00B06331" w:rsidRDefault="003A5A07" w:rsidP="003A5A07">
      <w:pPr>
        <w:spacing w:after="0"/>
        <w:jc w:val="both"/>
        <w:rPr>
          <w:rFonts w:ascii="Avenir Book" w:hAnsi="Avenir Book"/>
          <w:b/>
        </w:rPr>
      </w:pPr>
    </w:p>
    <w:p w:rsidR="003A5A07" w:rsidRPr="00B06331" w:rsidRDefault="003A5A07" w:rsidP="003A5A07">
      <w:pPr>
        <w:spacing w:after="0"/>
        <w:jc w:val="both"/>
        <w:rPr>
          <w:rFonts w:ascii="Avenir Book" w:hAnsi="Avenir Book"/>
        </w:rPr>
      </w:pPr>
      <w:r w:rsidRPr="00B06331">
        <w:rPr>
          <w:rFonts w:ascii="Avenir Book" w:hAnsi="Avenir Book"/>
        </w:rPr>
        <w:t>There is an ongoing drive to regulate all aspects of public and private educationa</w:t>
      </w:r>
      <w:r w:rsidR="001474AB" w:rsidRPr="00B06331">
        <w:rPr>
          <w:rFonts w:ascii="Avenir Book" w:hAnsi="Avenir Book"/>
        </w:rPr>
        <w:t>l institutions</w:t>
      </w:r>
      <w:r w:rsidRPr="00B06331">
        <w:rPr>
          <w:rFonts w:ascii="Avenir Book" w:hAnsi="Avenir Book"/>
        </w:rPr>
        <w:t>. While appreciable success has been registered on access and equity, quality continues to be elusive. Therefore, government will establish Codes of Practice and quality standards as guidelines for registration and accreditation. Worthy of special mention is the oversight responsibility assigned to the National Accreditation and Quality Assurance Authority (NAQAA) for quality assurance and accreditation of all tertiary and higher education institutions and programmes. Associated with this will be continuous monitoring exercises to promote compliance at the tertiary and higher education institutions. The Ministry and NAQAA will continue to review curricula in post-secondary institutions for responsiveness both socially and economically. For the effective management of the sector and to promote evidence-based policies, the Information Management systems will be promoted.</w:t>
      </w:r>
    </w:p>
    <w:p w:rsidR="003A5A07" w:rsidRPr="00B06331" w:rsidRDefault="003A5A07" w:rsidP="003A5A07">
      <w:pPr>
        <w:spacing w:after="0"/>
        <w:jc w:val="both"/>
        <w:rPr>
          <w:rFonts w:ascii="Avenir Book" w:hAnsi="Avenir Book"/>
          <w:b/>
        </w:rPr>
      </w:pPr>
    </w:p>
    <w:p w:rsidR="003A5A07" w:rsidRPr="00B06331" w:rsidRDefault="003A5A07" w:rsidP="003A5A07">
      <w:pPr>
        <w:spacing w:after="0"/>
        <w:jc w:val="both"/>
        <w:rPr>
          <w:rFonts w:ascii="Avenir Book" w:hAnsi="Avenir Book"/>
          <w:b/>
        </w:rPr>
      </w:pPr>
      <w:r w:rsidRPr="00B06331">
        <w:rPr>
          <w:rFonts w:ascii="Avenir Book" w:hAnsi="Avenir Book"/>
          <w:b/>
        </w:rPr>
        <w:t xml:space="preserve">Develop and implement a teacher/lecturer professional development scheme. </w:t>
      </w:r>
    </w:p>
    <w:p w:rsidR="003A5A07" w:rsidRPr="00B06331" w:rsidRDefault="003A5A07" w:rsidP="003A5A07">
      <w:pPr>
        <w:spacing w:after="0"/>
        <w:jc w:val="both"/>
        <w:rPr>
          <w:rFonts w:ascii="Avenir Book" w:hAnsi="Avenir Book"/>
          <w:b/>
        </w:rPr>
      </w:pPr>
    </w:p>
    <w:p w:rsidR="003A5A07" w:rsidRPr="00B06331" w:rsidRDefault="003A5A07" w:rsidP="003A5A07">
      <w:pPr>
        <w:spacing w:after="0"/>
        <w:jc w:val="both"/>
        <w:rPr>
          <w:rFonts w:ascii="Avenir Book" w:hAnsi="Avenir Book"/>
        </w:rPr>
      </w:pPr>
      <w:r w:rsidRPr="00B06331">
        <w:rPr>
          <w:rFonts w:ascii="Avenir Book" w:hAnsi="Avenir Book"/>
        </w:rPr>
        <w:t>There will be a staff development scheme to enhance service delivery within the sector. Premised on a robust Human Resource Management Plan, this strategy will comprise of teacher/lecturer trainings, loan schemes, and health/safety programs aimed at attracting and retaining the best and brightest staff for increased institutional memory and performance. To ensure quality, the sector will work on a licensing mechanism for teachers and lecturers and also establish and execute a National Centralization Reform</w:t>
      </w:r>
      <w:r w:rsidR="001474AB" w:rsidRPr="00B06331">
        <w:rPr>
          <w:rFonts w:ascii="Avenir Book" w:hAnsi="Avenir Book"/>
        </w:rPr>
        <w:t xml:space="preserve"> process</w:t>
      </w:r>
      <w:r w:rsidRPr="00B06331">
        <w:rPr>
          <w:rFonts w:ascii="Avenir Book" w:hAnsi="Avenir Book"/>
        </w:rPr>
        <w:t>.</w:t>
      </w:r>
    </w:p>
    <w:p w:rsidR="003A5A07" w:rsidRPr="00B06331" w:rsidRDefault="003A5A07" w:rsidP="003A5A07">
      <w:pPr>
        <w:spacing w:after="0"/>
        <w:jc w:val="both"/>
      </w:pPr>
    </w:p>
    <w:p w:rsidR="003A5A07" w:rsidRPr="00B06331" w:rsidRDefault="003A5A07" w:rsidP="003A5A07">
      <w:pPr>
        <w:spacing w:after="0"/>
        <w:jc w:val="both"/>
        <w:rPr>
          <w:rFonts w:ascii="Avenir Book" w:hAnsi="Avenir Book"/>
        </w:rPr>
      </w:pPr>
      <w:r w:rsidRPr="00B06331">
        <w:rPr>
          <w:rFonts w:ascii="Avenir Book" w:hAnsi="Avenir Book"/>
        </w:rPr>
        <w:t>Government will continue to train more teachers and lecturers at bachelors, master and doctoral levels to meet the growing needs of education in The Gambia. There will be continuous professional in-service training of teachers and lecturers – including lab</w:t>
      </w:r>
      <w:r w:rsidR="001474AB" w:rsidRPr="00B06331">
        <w:rPr>
          <w:rFonts w:ascii="Avenir Book" w:hAnsi="Avenir Book"/>
        </w:rPr>
        <w:t>oratory- based workshops</w:t>
      </w:r>
      <w:r w:rsidRPr="00B06331">
        <w:rPr>
          <w:rFonts w:ascii="Avenir Book" w:hAnsi="Avenir Book"/>
        </w:rPr>
        <w:t xml:space="preserve"> and it will be supported by a Career Development Plan for the sector.  Similarly, capacities will be built on Research &amp;Development (R&amp;D) and Science Technology and Innovation (STI) to ensure quality, relevance, and sustainable socio-economic development. </w:t>
      </w:r>
    </w:p>
    <w:p w:rsidR="00D349BA" w:rsidRPr="00B06331" w:rsidRDefault="00D349BA" w:rsidP="003A5A07">
      <w:pPr>
        <w:pStyle w:val="ListParagraph"/>
        <w:spacing w:after="0"/>
        <w:ind w:left="0"/>
        <w:rPr>
          <w:rFonts w:ascii="Avenir Book" w:hAnsi="Avenir Book"/>
        </w:rPr>
      </w:pPr>
    </w:p>
    <w:p w:rsidR="003A5A07" w:rsidRPr="00B06331" w:rsidRDefault="003A5A07" w:rsidP="003A5A07">
      <w:pPr>
        <w:spacing w:after="0"/>
        <w:jc w:val="both"/>
        <w:rPr>
          <w:rFonts w:ascii="Avenir Book" w:hAnsi="Avenir Book"/>
          <w:b/>
        </w:rPr>
      </w:pPr>
      <w:r w:rsidRPr="00B06331">
        <w:rPr>
          <w:rFonts w:ascii="Avenir Book" w:hAnsi="Avenir Book"/>
          <w:b/>
        </w:rPr>
        <w:t xml:space="preserve">Expand educational infrastructure and provide learning and teaching equipment. </w:t>
      </w:r>
    </w:p>
    <w:p w:rsidR="003A5A07" w:rsidRPr="00B06331" w:rsidRDefault="003A5A07" w:rsidP="003A5A07">
      <w:pPr>
        <w:spacing w:after="0"/>
        <w:jc w:val="both"/>
        <w:rPr>
          <w:rFonts w:ascii="Avenir Book" w:hAnsi="Avenir Book"/>
          <w:b/>
        </w:rPr>
      </w:pPr>
    </w:p>
    <w:p w:rsidR="003A5A07" w:rsidRPr="00B06331" w:rsidRDefault="003A5A07" w:rsidP="003A5A07">
      <w:pPr>
        <w:spacing w:after="0"/>
        <w:jc w:val="both"/>
        <w:rPr>
          <w:rFonts w:ascii="Avenir Book" w:hAnsi="Avenir Book"/>
          <w:b/>
        </w:rPr>
      </w:pPr>
      <w:r w:rsidRPr="00B06331">
        <w:rPr>
          <w:rFonts w:ascii="Avenir Book" w:hAnsi="Avenir Book"/>
        </w:rPr>
        <w:t xml:space="preserve">The education sector will continue to focus on improving teaching and learning resources especially those related to STEM, Health and Agriculture. STEM curriculum will also be developed and </w:t>
      </w:r>
      <w:r w:rsidRPr="00B06331">
        <w:rPr>
          <w:rFonts w:ascii="Avenir Book" w:hAnsi="Avenir Book"/>
        </w:rPr>
        <w:lastRenderedPageBreak/>
        <w:t>implemented at all education levels. The ICT infrastructure in schools will be strengthened by providing state of the art infrastructure such as smart-boards, auto cads, and computers. The requisite teaching and learning materials for an increase in the compe</w:t>
      </w:r>
      <w:r w:rsidR="001474AB" w:rsidRPr="00B06331">
        <w:rPr>
          <w:rFonts w:ascii="Avenir Book" w:hAnsi="Avenir Book"/>
        </w:rPr>
        <w:t>tency achievements i</w:t>
      </w:r>
      <w:r w:rsidRPr="00B06331">
        <w:rPr>
          <w:rFonts w:ascii="Avenir Book" w:hAnsi="Avenir Book"/>
        </w:rPr>
        <w:t xml:space="preserve">n Math, Science, and English will be further developed during this plan period. The University project which will increase enrolment capacity of about 6, 000 students at various degree levels will be continued. This campus, together with the other campuses of the integrating institutions will provide adequate space for the desired equitable access to tertiary and higher education in the country. MoHERST will support the establishment of a School of Engineering in collaboration with UTG and GTTI. The WASCAL centre will be strengthened through refurbishment of the current facilities to become an education and research centre. The centre will also expand its enrolment on climate change related programmes. At all education levels, laboratories will be upgraded to promote the teaching of STEM and TVET in schools. Digital libraries will be supported and new technologies such as computers, internet and associated multimedia products like projection kits will be promoted. </w:t>
      </w:r>
    </w:p>
    <w:p w:rsidR="003A5A07" w:rsidRPr="00B06331" w:rsidRDefault="003A5A07" w:rsidP="003A5A07">
      <w:pPr>
        <w:spacing w:after="0"/>
        <w:jc w:val="both"/>
        <w:rPr>
          <w:b/>
        </w:rPr>
      </w:pPr>
    </w:p>
    <w:p w:rsidR="003A5A07" w:rsidRPr="00B06331" w:rsidRDefault="003A5A07" w:rsidP="003A5A07">
      <w:pPr>
        <w:spacing w:after="0"/>
        <w:jc w:val="both"/>
        <w:rPr>
          <w:rFonts w:ascii="Avenir Book" w:hAnsi="Avenir Book"/>
          <w:b/>
        </w:rPr>
      </w:pPr>
      <w:r w:rsidRPr="00B06331">
        <w:rPr>
          <w:rFonts w:ascii="Avenir Book" w:hAnsi="Avenir Book"/>
          <w:b/>
        </w:rPr>
        <w:t xml:space="preserve">Train more specialists in STEM, Health, and Agriculture. </w:t>
      </w:r>
    </w:p>
    <w:p w:rsidR="003A5A07" w:rsidRPr="00B06331" w:rsidRDefault="003A5A07" w:rsidP="003A5A07">
      <w:pPr>
        <w:spacing w:after="0"/>
        <w:jc w:val="both"/>
        <w:rPr>
          <w:rFonts w:ascii="Avenir Book" w:hAnsi="Avenir Book"/>
          <w:b/>
        </w:rPr>
      </w:pPr>
    </w:p>
    <w:p w:rsidR="003A5A07" w:rsidRPr="00B06331" w:rsidRDefault="003A5A07" w:rsidP="003A5A07">
      <w:pPr>
        <w:spacing w:after="0"/>
        <w:jc w:val="both"/>
        <w:rPr>
          <w:rFonts w:ascii="Avenir Book" w:hAnsi="Avenir Book"/>
          <w:b/>
        </w:rPr>
      </w:pPr>
      <w:r w:rsidRPr="00B06331">
        <w:rPr>
          <w:rFonts w:ascii="Avenir Book" w:hAnsi="Avenir Book"/>
        </w:rPr>
        <w:t>To address the limited number of specialists in the areas of STEM, Agriculture, and Health, support will be</w:t>
      </w:r>
      <w:r w:rsidR="001474AB" w:rsidRPr="00B06331">
        <w:rPr>
          <w:rFonts w:ascii="Avenir Book" w:hAnsi="Avenir Book"/>
        </w:rPr>
        <w:t xml:space="preserve"> provided to carry out reforms i</w:t>
      </w:r>
      <w:r w:rsidRPr="00B06331">
        <w:rPr>
          <w:rFonts w:ascii="Avenir Book" w:hAnsi="Avenir Book"/>
        </w:rPr>
        <w:t>n teacher training. Through this programme, opportunities will be explored to train more teachers at bachelor’s master’s and doctorate degree levels.  Focus will be placed on strengthening the capacity of teacher trainees and in-service teachers in STEM, Ag</w:t>
      </w:r>
      <w:r w:rsidR="001474AB" w:rsidRPr="00B06331">
        <w:rPr>
          <w:rFonts w:ascii="Avenir Book" w:hAnsi="Avenir Book"/>
        </w:rPr>
        <w:t>riculture, and Health. T</w:t>
      </w:r>
      <w:r w:rsidRPr="00B06331">
        <w:rPr>
          <w:rFonts w:ascii="Avenir Book" w:hAnsi="Avenir Book"/>
        </w:rPr>
        <w:t xml:space="preserve">he sector will promote and strengthen innovative teaching for all relevant subject areas including laboratory assistants, nurses and physical education specialists for effective service delivery. </w:t>
      </w:r>
    </w:p>
    <w:p w:rsidR="003A5A07" w:rsidRPr="00B06331" w:rsidRDefault="003A5A07" w:rsidP="003A5A07">
      <w:pPr>
        <w:spacing w:after="0"/>
        <w:jc w:val="both"/>
        <w:rPr>
          <w:b/>
        </w:rPr>
      </w:pPr>
    </w:p>
    <w:p w:rsidR="003A5A07" w:rsidRPr="00B06331" w:rsidRDefault="003A5A07" w:rsidP="003A5A07">
      <w:pPr>
        <w:spacing w:after="0"/>
        <w:jc w:val="both"/>
        <w:rPr>
          <w:rFonts w:ascii="Avenir Book" w:hAnsi="Avenir Book"/>
        </w:rPr>
      </w:pPr>
      <w:r w:rsidRPr="00B06331">
        <w:rPr>
          <w:rFonts w:ascii="Avenir Book" w:hAnsi="Avenir Book"/>
          <w:b/>
        </w:rPr>
        <w:t>Develop and implement a framework on a science park and incubation centre</w:t>
      </w:r>
      <w:r w:rsidRPr="00B06331">
        <w:rPr>
          <w:rFonts w:ascii="Avenir Book" w:hAnsi="Avenir Book"/>
        </w:rPr>
        <w:t xml:space="preserve">. </w:t>
      </w:r>
    </w:p>
    <w:p w:rsidR="0007712A" w:rsidRPr="00B06331" w:rsidRDefault="0007712A" w:rsidP="003A5A07">
      <w:pPr>
        <w:spacing w:after="0"/>
        <w:jc w:val="both"/>
        <w:rPr>
          <w:rFonts w:ascii="Avenir Book" w:hAnsi="Avenir Book"/>
        </w:rPr>
      </w:pPr>
    </w:p>
    <w:p w:rsidR="003A5A07" w:rsidRPr="00B06331" w:rsidRDefault="001474AB" w:rsidP="003A5A07">
      <w:pPr>
        <w:spacing w:after="0"/>
        <w:jc w:val="both"/>
        <w:rPr>
          <w:rFonts w:ascii="Avenir Book" w:hAnsi="Avenir Book"/>
        </w:rPr>
      </w:pPr>
      <w:r w:rsidRPr="00B06331">
        <w:rPr>
          <w:rFonts w:ascii="Avenir Book" w:hAnsi="Avenir Book"/>
        </w:rPr>
        <w:t>A framework for</w:t>
      </w:r>
      <w:r w:rsidR="003A5A07" w:rsidRPr="00B06331">
        <w:rPr>
          <w:rFonts w:ascii="Avenir Book" w:hAnsi="Avenir Book"/>
        </w:rPr>
        <w:t xml:space="preserve"> a science park and incubation centre will be developed and implemented. The science parks and incubation centers will be established for effective academia-industry collaboration, the promotion of innovators and budding scientists, while also providing support to entrepreneurship.</w:t>
      </w:r>
    </w:p>
    <w:p w:rsidR="003A5A07" w:rsidRPr="00B06331" w:rsidRDefault="003A5A07" w:rsidP="003A5A07">
      <w:pPr>
        <w:spacing w:after="0"/>
        <w:jc w:val="both"/>
        <w:rPr>
          <w:rFonts w:ascii="Avenir Book" w:hAnsi="Avenir Book"/>
        </w:rPr>
      </w:pPr>
    </w:p>
    <w:p w:rsidR="003A5A07" w:rsidRPr="00B06331" w:rsidRDefault="003A5A07" w:rsidP="003A5A07">
      <w:pPr>
        <w:spacing w:after="0"/>
        <w:jc w:val="both"/>
        <w:rPr>
          <w:rFonts w:ascii="Avenir Book" w:hAnsi="Avenir Book"/>
          <w:b/>
        </w:rPr>
      </w:pPr>
      <w:r w:rsidRPr="00B06331">
        <w:rPr>
          <w:rFonts w:ascii="Avenir Book" w:hAnsi="Avenir Book"/>
          <w:b/>
        </w:rPr>
        <w:t xml:space="preserve">Develop </w:t>
      </w:r>
      <w:r w:rsidR="00667BB2" w:rsidRPr="00B06331">
        <w:rPr>
          <w:rFonts w:ascii="Avenir Book" w:hAnsi="Avenir Book"/>
          <w:b/>
        </w:rPr>
        <w:t xml:space="preserve">and expand </w:t>
      </w:r>
      <w:r w:rsidRPr="00B06331">
        <w:rPr>
          <w:rFonts w:ascii="Avenir Book" w:hAnsi="Avenir Book"/>
          <w:b/>
        </w:rPr>
        <w:t xml:space="preserve">the </w:t>
      </w:r>
      <w:r w:rsidR="0007712A" w:rsidRPr="00B06331">
        <w:rPr>
          <w:rFonts w:ascii="Avenir Book" w:eastAsia="MS Mincho" w:hAnsi="Avenir Book"/>
          <w:b/>
        </w:rPr>
        <w:t>Home-grown</w:t>
      </w:r>
      <w:r w:rsidRPr="00B06331">
        <w:rPr>
          <w:rFonts w:ascii="Avenir Book" w:eastAsia="MS Mincho" w:hAnsi="Avenir Book"/>
          <w:b/>
        </w:rPr>
        <w:t xml:space="preserve"> school feeding program</w:t>
      </w:r>
    </w:p>
    <w:p w:rsidR="0007712A" w:rsidRPr="00B06331" w:rsidRDefault="0007712A"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t xml:space="preserve">Since the launching of the </w:t>
      </w:r>
      <w:r w:rsidR="0007712A" w:rsidRPr="00B06331">
        <w:rPr>
          <w:rFonts w:ascii="Avenir Book" w:eastAsia="MS Mincho" w:hAnsi="Avenir Book"/>
        </w:rPr>
        <w:t>home-grown</w:t>
      </w:r>
      <w:r w:rsidRPr="00B06331">
        <w:rPr>
          <w:rFonts w:ascii="Avenir Book" w:eastAsia="MS Mincho" w:hAnsi="Avenir Book"/>
        </w:rPr>
        <w:t xml:space="preserve"> school feeding programme in 2012, followed by the development of a Home-grown School Feeding Framework, Government continues to be committed towards full ownership and management of the programme by 2020. Currently, the school feeding programme is limited to Lower Basic Schools in deprived regions (3-6) including the Fonis in Region 2 but there is need to expand coverage to all regions and all schools.</w:t>
      </w:r>
    </w:p>
    <w:p w:rsidR="003A5A07" w:rsidRPr="00B06331" w:rsidRDefault="003A5A07"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t xml:space="preserve">To this end, Government in partnership with other stakeholders will expand and strengthen the school feeding programme to cover all regions and all levels from ECD to UBS, and SSS including Madrassahs. In this regard, school farms and garden programmes will be supported and promoted to enhance the </w:t>
      </w:r>
      <w:r w:rsidR="0007712A" w:rsidRPr="00B06331">
        <w:rPr>
          <w:rFonts w:ascii="Avenir Book" w:eastAsia="MS Mincho" w:hAnsi="Avenir Book"/>
        </w:rPr>
        <w:t>home-grown</w:t>
      </w:r>
      <w:r w:rsidRPr="00B06331">
        <w:rPr>
          <w:rFonts w:ascii="Avenir Book" w:eastAsia="MS Mincho" w:hAnsi="Avenir Book"/>
        </w:rPr>
        <w:t xml:space="preserve"> initiative. </w:t>
      </w:r>
    </w:p>
    <w:p w:rsidR="003A5A07" w:rsidRPr="00B06331" w:rsidRDefault="003A5A07"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lastRenderedPageBreak/>
        <w:t>Furthermore, Government will gradually take ownership of the school feeding program through the implementation of the Home-Grown School Feeding framework. In facilitating the gradual take over, capacities will be built to support the management of the programme.</w:t>
      </w:r>
    </w:p>
    <w:p w:rsidR="0007712A" w:rsidRPr="00B06331" w:rsidRDefault="0007712A"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b/>
        </w:rPr>
      </w:pPr>
      <w:r w:rsidRPr="00B06331">
        <w:rPr>
          <w:rFonts w:ascii="Avenir Book" w:eastAsia="MS Mincho" w:hAnsi="Avenir Book"/>
          <w:b/>
        </w:rPr>
        <w:t xml:space="preserve">Life Skills Education </w:t>
      </w:r>
    </w:p>
    <w:p w:rsidR="0007712A" w:rsidRPr="00B06331" w:rsidRDefault="0007712A"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t>In keeping with government’s commitment to the SDGs, priority will be given to Life Skills Education (LSE) in this NDP. The LSE program will help learners acquire not only knowledge and skills but also behaviors (adaptive and positive) relevant to their self-fulfillment in a changing social and economic environment.</w:t>
      </w:r>
    </w:p>
    <w:p w:rsidR="003A5A07" w:rsidRPr="00B06331" w:rsidRDefault="003A5A07"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t>The Life skills education programme will continue to cover and strengthen the areas of HIV/AIDS prevention, the reduction of gender based violence in and around schools, the inculcation of peace building and tolerance, global citizenship and patriotism, population and family life and the environment including climate change, and support in the form of guidance and counselling services in schools.</w:t>
      </w:r>
    </w:p>
    <w:p w:rsidR="003A5A07" w:rsidRPr="00B06331" w:rsidRDefault="003A5A07"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b/>
        </w:rPr>
      </w:pPr>
      <w:r w:rsidRPr="00B06331">
        <w:rPr>
          <w:rFonts w:ascii="Avenir Book" w:eastAsia="MS Mincho" w:hAnsi="Avenir Book"/>
          <w:b/>
        </w:rPr>
        <w:t>School Health and Nutrition</w:t>
      </w:r>
    </w:p>
    <w:p w:rsidR="0007712A" w:rsidRPr="00B06331" w:rsidRDefault="0007712A"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t>Government will implement a comprehensive and inclusive school-based health and nutrition programwhich is expected to prevent many children from dropping out of school, and positively impact on the performance of children. Key features of this intervention are school-based de-worming and eye health (vision screening).</w:t>
      </w:r>
    </w:p>
    <w:p w:rsidR="003A5A07" w:rsidRPr="00B06331" w:rsidRDefault="003A5A07"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b/>
        </w:rPr>
      </w:pPr>
      <w:r w:rsidRPr="00B06331">
        <w:rPr>
          <w:rFonts w:ascii="Avenir Book" w:eastAsia="MS Mincho" w:hAnsi="Avenir Book"/>
          <w:b/>
        </w:rPr>
        <w:t>School Sports</w:t>
      </w:r>
    </w:p>
    <w:p w:rsidR="0007712A" w:rsidRPr="00B06331" w:rsidRDefault="0007712A" w:rsidP="003A5A07">
      <w:pPr>
        <w:pStyle w:val="NoSpacing"/>
        <w:jc w:val="both"/>
        <w:rPr>
          <w:rFonts w:ascii="Avenir Book" w:eastAsia="MS Mincho" w:hAnsi="Avenir Book"/>
        </w:rPr>
      </w:pPr>
    </w:p>
    <w:p w:rsidR="003A5A07" w:rsidRPr="00B06331" w:rsidRDefault="003A5A07" w:rsidP="003A5A07">
      <w:pPr>
        <w:pStyle w:val="NoSpacing"/>
        <w:jc w:val="both"/>
        <w:rPr>
          <w:rFonts w:ascii="Avenir Book" w:eastAsia="MS Mincho" w:hAnsi="Avenir Book"/>
        </w:rPr>
      </w:pPr>
      <w:r w:rsidRPr="00B06331">
        <w:rPr>
          <w:rFonts w:ascii="Avenir Book" w:eastAsia="MS Mincho" w:hAnsi="Avenir Book"/>
        </w:rPr>
        <w:t xml:space="preserve">The Government’s policy is that the development of sports in The Gambia must begin at the school level to encourage grassroots involvement. In line with this, school sports will not be treated as only a recreational matter but rather as a fundamental subject that contributes to the holistic development of students and their health thus contributing ultimately to increased academic achievements. In this plan, School sports will be fully integrated in all school activities and delivered by trained physical education and sport teachers. </w:t>
      </w:r>
    </w:p>
    <w:p w:rsidR="003A5A07" w:rsidRPr="00B06331" w:rsidRDefault="003A5A07" w:rsidP="003A5A07">
      <w:pPr>
        <w:pStyle w:val="NoSpacing"/>
        <w:jc w:val="both"/>
        <w:rPr>
          <w:rFonts w:ascii="Avenir Book" w:eastAsia="MS Mincho" w:hAnsi="Avenir Book"/>
        </w:rPr>
      </w:pPr>
    </w:p>
    <w:p w:rsidR="0007712A" w:rsidRPr="00B06331" w:rsidRDefault="0007712A" w:rsidP="003A5A07">
      <w:pPr>
        <w:jc w:val="both"/>
        <w:rPr>
          <w:b/>
          <w:i/>
          <w:color w:val="4472C4" w:themeColor="accent1"/>
          <w:szCs w:val="24"/>
        </w:rPr>
      </w:pPr>
      <w:r w:rsidRPr="00B06331">
        <w:rPr>
          <w:b/>
          <w:i/>
          <w:color w:val="4472C4" w:themeColor="accent1"/>
          <w:szCs w:val="24"/>
        </w:rPr>
        <w:t>Outcome 4.3: Improved Access to non-formal Education and Literacy Programmes for out-of-school children, youth, and non-lettered Adults</w:t>
      </w:r>
    </w:p>
    <w:p w:rsidR="003A5A07" w:rsidRPr="00B06331" w:rsidRDefault="0007712A" w:rsidP="003A5A07">
      <w:pPr>
        <w:jc w:val="both"/>
        <w:rPr>
          <w:sz w:val="24"/>
          <w:szCs w:val="24"/>
        </w:rPr>
      </w:pPr>
      <w:r w:rsidRPr="00B06331">
        <w:rPr>
          <w:szCs w:val="24"/>
        </w:rPr>
        <w:t>D</w:t>
      </w:r>
      <w:r w:rsidR="003A5A07" w:rsidRPr="00B06331">
        <w:rPr>
          <w:szCs w:val="24"/>
        </w:rPr>
        <w:t>uring the plan period, access to non-formal education and literacy programmes will be promoted through the following measures</w:t>
      </w:r>
      <w:r w:rsidR="003A5A07" w:rsidRPr="00B06331">
        <w:rPr>
          <w:sz w:val="24"/>
          <w:szCs w:val="24"/>
        </w:rPr>
        <w:t xml:space="preserve">: </w:t>
      </w:r>
    </w:p>
    <w:p w:rsidR="003A5A07" w:rsidRPr="00B06331" w:rsidRDefault="003A5A07" w:rsidP="004143E3">
      <w:pPr>
        <w:pStyle w:val="ListParagraph"/>
        <w:numPr>
          <w:ilvl w:val="0"/>
          <w:numId w:val="72"/>
        </w:numPr>
        <w:spacing w:after="0" w:line="240" w:lineRule="auto"/>
        <w:jc w:val="both"/>
        <w:rPr>
          <w:rFonts w:ascii="Avenir Book" w:hAnsi="Avenir Book"/>
        </w:rPr>
      </w:pPr>
      <w:r w:rsidRPr="00B06331">
        <w:rPr>
          <w:rFonts w:ascii="Avenir Book" w:hAnsi="Avenir Book"/>
          <w:b/>
        </w:rPr>
        <w:t>Implement and monitor a framework on adult literacy and apprenticeship</w:t>
      </w:r>
      <w:r w:rsidR="0007712A" w:rsidRPr="00B06331">
        <w:rPr>
          <w:rFonts w:ascii="Avenir Book" w:hAnsi="Avenir Book"/>
        </w:rPr>
        <w:t xml:space="preserve">: </w:t>
      </w:r>
      <w:r w:rsidRPr="00B06331">
        <w:rPr>
          <w:rFonts w:ascii="Avenir Book" w:hAnsi="Avenir Book"/>
        </w:rPr>
        <w:t xml:space="preserve">MoHERST will promote and advocate for the inclusion of apprenticeship programmes in the TVET system. This will identify master craft persons and assist with relevant infrastructure to enhance smooth absorption of students without formal certificates into the education system. </w:t>
      </w:r>
    </w:p>
    <w:p w:rsidR="003A5A07" w:rsidRPr="00B06331" w:rsidRDefault="003A5A07" w:rsidP="004143E3">
      <w:pPr>
        <w:pStyle w:val="ListParagraph"/>
        <w:numPr>
          <w:ilvl w:val="0"/>
          <w:numId w:val="72"/>
        </w:numPr>
        <w:spacing w:after="0" w:line="240" w:lineRule="auto"/>
        <w:jc w:val="both"/>
        <w:rPr>
          <w:rFonts w:ascii="Avenir Book" w:hAnsi="Avenir Book"/>
        </w:rPr>
      </w:pPr>
      <w:r w:rsidRPr="00B06331">
        <w:rPr>
          <w:rFonts w:ascii="Avenir Book" w:hAnsi="Avenir Book"/>
          <w:b/>
        </w:rPr>
        <w:t>Expand adult literacy and apprenticeship educational infrastructure and provide l</w:t>
      </w:r>
      <w:r w:rsidR="0007712A" w:rsidRPr="00B06331">
        <w:rPr>
          <w:rFonts w:ascii="Avenir Book" w:hAnsi="Avenir Book"/>
          <w:b/>
        </w:rPr>
        <w:t xml:space="preserve">earning and teaching equipment: </w:t>
      </w:r>
      <w:r w:rsidRPr="00B06331">
        <w:rPr>
          <w:rFonts w:ascii="Avenir Book" w:hAnsi="Avenir Book"/>
        </w:rPr>
        <w:t xml:space="preserve">There are 209 literacy centres nationwide but nearly all the centres are temporal structures (lectures are held either under trees or in unused rooms).  There is need </w:t>
      </w:r>
      <w:r w:rsidRPr="00B06331">
        <w:rPr>
          <w:rFonts w:ascii="Avenir Book" w:hAnsi="Avenir Book"/>
        </w:rPr>
        <w:lastRenderedPageBreak/>
        <w:t xml:space="preserve">to transform literacy and apprenticeship centres into permanent learning structures to enhance teaching and learning. </w:t>
      </w:r>
    </w:p>
    <w:p w:rsidR="003A5A07" w:rsidRPr="00B06331" w:rsidRDefault="003A5A07" w:rsidP="004143E3">
      <w:pPr>
        <w:pStyle w:val="ListParagraph"/>
        <w:numPr>
          <w:ilvl w:val="0"/>
          <w:numId w:val="72"/>
        </w:numPr>
        <w:spacing w:after="0" w:line="240" w:lineRule="auto"/>
        <w:jc w:val="both"/>
        <w:rPr>
          <w:rFonts w:ascii="Avenir Book" w:hAnsi="Avenir Book"/>
        </w:rPr>
      </w:pPr>
      <w:r w:rsidRPr="00B06331">
        <w:rPr>
          <w:rFonts w:ascii="Avenir Book" w:hAnsi="Avenir Book"/>
          <w:b/>
        </w:rPr>
        <w:t>Build capacity of adult literacy s</w:t>
      </w:r>
      <w:r w:rsidR="0007712A" w:rsidRPr="00B06331">
        <w:rPr>
          <w:rFonts w:ascii="Avenir Book" w:hAnsi="Avenir Book"/>
          <w:b/>
        </w:rPr>
        <w:t xml:space="preserve">ervice providers and craftsmen: </w:t>
      </w:r>
      <w:r w:rsidRPr="00B06331">
        <w:rPr>
          <w:rFonts w:ascii="Avenir Book" w:hAnsi="Avenir Book"/>
        </w:rPr>
        <w:t>Given the limited number of literacy service providers and craf</w:t>
      </w:r>
      <w:r w:rsidR="001474AB" w:rsidRPr="00B06331">
        <w:rPr>
          <w:rFonts w:ascii="Avenir Book" w:hAnsi="Avenir Book"/>
        </w:rPr>
        <w:t>tsmen in The Gambia, emphasis w</w:t>
      </w:r>
      <w:r w:rsidRPr="00B06331">
        <w:rPr>
          <w:rFonts w:ascii="Avenir Book" w:hAnsi="Avenir Book"/>
        </w:rPr>
        <w:t xml:space="preserve">ould be placed on building their capacity as well as increasing the number of service providers to ensure relevance and quality education. Some service providers and craftsmen are currently inactive due to lack of funding, therefore partnerships with civil society organizations will be promoted for the purposes of resource mobilization. Given the prominent role </w:t>
      </w:r>
      <w:r w:rsidR="001474AB" w:rsidRPr="00B06331">
        <w:rPr>
          <w:rFonts w:ascii="Avenir Book" w:hAnsi="Avenir Book"/>
        </w:rPr>
        <w:t>played by civil society groups i</w:t>
      </w:r>
      <w:r w:rsidRPr="00B06331">
        <w:rPr>
          <w:rFonts w:ascii="Avenir Book" w:hAnsi="Avenir Book"/>
        </w:rPr>
        <w:t xml:space="preserve">n adult literacy and craftsmanship, their capacities to co-ordinate, supervise, monitor, and evaluate this component of basic education will be promoted. </w:t>
      </w:r>
    </w:p>
    <w:p w:rsidR="003A5A07" w:rsidRPr="00B06331" w:rsidRDefault="003A5A07" w:rsidP="004143E3">
      <w:pPr>
        <w:pStyle w:val="ListParagraph"/>
        <w:numPr>
          <w:ilvl w:val="0"/>
          <w:numId w:val="72"/>
        </w:numPr>
        <w:spacing w:after="0" w:line="240" w:lineRule="auto"/>
        <w:jc w:val="both"/>
        <w:rPr>
          <w:rFonts w:ascii="Avenir Book" w:hAnsi="Avenir Book"/>
        </w:rPr>
      </w:pPr>
      <w:r w:rsidRPr="00B06331">
        <w:rPr>
          <w:rFonts w:ascii="Avenir Book" w:hAnsi="Avenir Book"/>
          <w:b/>
        </w:rPr>
        <w:t xml:space="preserve">Promote lifelong learning </w:t>
      </w:r>
      <w:r w:rsidR="0007712A" w:rsidRPr="00B06331">
        <w:rPr>
          <w:rFonts w:ascii="Avenir Book" w:hAnsi="Avenir Book"/>
          <w:b/>
        </w:rPr>
        <w:t>and career counseling:</w:t>
      </w:r>
      <w:r w:rsidRPr="00B06331">
        <w:rPr>
          <w:rFonts w:ascii="Avenir Book" w:hAnsi="Avenir Book"/>
        </w:rPr>
        <w:t xml:space="preserve">The main thrust of this intervention is to ensure that communities are empowered to sustainably exploit opportunities that exist in their localities. To this end, rural communities will be exposed to curriculum anchored on rural economic activities such as agriculture, animal husbandry, fishing, health, environment, income generating activities and awareness creation on matters pertaining to local governance. In the urban areas, the focus will be on the critical issues of urban life such as income generation, environmental sanitation and protection, and security. Literacy, numeracy, civic </w:t>
      </w:r>
      <w:r w:rsidR="0007712A" w:rsidRPr="00B06331">
        <w:rPr>
          <w:rFonts w:ascii="Avenir Book" w:hAnsi="Avenir Book"/>
        </w:rPr>
        <w:t>education,</w:t>
      </w:r>
      <w:r w:rsidRPr="00B06331">
        <w:rPr>
          <w:rFonts w:ascii="Avenir Book" w:hAnsi="Avenir Book"/>
        </w:rPr>
        <w:t xml:space="preserve"> and indigenous languages will also feature. Communities will also be provided with guidance and counseling services within education forums and community bantabas. Specialized knowledge relating to Life skills education will </w:t>
      </w:r>
      <w:r w:rsidR="00FA7F1A" w:rsidRPr="00B06331">
        <w:rPr>
          <w:rFonts w:ascii="Avenir Book" w:hAnsi="Avenir Book"/>
        </w:rPr>
        <w:t>be strengthened including on</w:t>
      </w:r>
      <w:r w:rsidRPr="00B06331">
        <w:rPr>
          <w:rFonts w:ascii="Avenir Book" w:hAnsi="Avenir Book"/>
        </w:rPr>
        <w:t xml:space="preserve"> HIV/AIDS prevention, the reduction of gender based violence in and around schools, the inculcation of peace building and tolerance, global citizenship and patriotism, population and family life education and the environment including climate change. </w:t>
      </w:r>
    </w:p>
    <w:p w:rsidR="003A5A07" w:rsidRPr="00B06331" w:rsidRDefault="003A5A07" w:rsidP="003A5A07">
      <w:pPr>
        <w:spacing w:after="0"/>
        <w:rPr>
          <w:rFonts w:ascii="Avenir Book" w:eastAsia="MS Mincho" w:hAnsi="Avenir Book"/>
        </w:rPr>
      </w:pPr>
    </w:p>
    <w:p w:rsidR="003A5A07" w:rsidRPr="00B06331" w:rsidRDefault="003A5A07" w:rsidP="003A5A07">
      <w:pPr>
        <w:pStyle w:val="Heading3"/>
        <w:rPr>
          <w:rFonts w:ascii="Calibri" w:hAnsi="Calibri" w:cs="Calibri"/>
          <w:b/>
          <w:sz w:val="22"/>
          <w:szCs w:val="22"/>
        </w:rPr>
      </w:pPr>
      <w:bookmarkStart w:id="126" w:name="_Toc488689335"/>
      <w:bookmarkStart w:id="127" w:name="_Toc492364781"/>
      <w:r w:rsidRPr="00B06331">
        <w:rPr>
          <w:rFonts w:ascii="Calibri" w:hAnsi="Calibri" w:cs="Calibri"/>
          <w:b/>
          <w:sz w:val="22"/>
          <w:szCs w:val="22"/>
        </w:rPr>
        <w:t>7.5.2. Health</w:t>
      </w:r>
      <w:bookmarkEnd w:id="126"/>
      <w:r w:rsidR="001929BE" w:rsidRPr="00B06331">
        <w:rPr>
          <w:rFonts w:ascii="Calibri" w:hAnsi="Calibri" w:cs="Calibri"/>
          <w:b/>
          <w:sz w:val="22"/>
          <w:szCs w:val="22"/>
        </w:rPr>
        <w:t xml:space="preserve">, </w:t>
      </w:r>
      <w:r w:rsidR="00CC69CB" w:rsidRPr="00B06331">
        <w:rPr>
          <w:rFonts w:ascii="Calibri" w:hAnsi="Calibri" w:cs="Calibri"/>
          <w:b/>
          <w:sz w:val="22"/>
          <w:szCs w:val="22"/>
        </w:rPr>
        <w:t>Nutrition,</w:t>
      </w:r>
      <w:r w:rsidR="001929BE" w:rsidRPr="00B06331">
        <w:rPr>
          <w:rFonts w:ascii="Calibri" w:hAnsi="Calibri" w:cs="Calibri"/>
          <w:b/>
          <w:sz w:val="22"/>
          <w:szCs w:val="22"/>
        </w:rPr>
        <w:t xml:space="preserve"> and Sanitation</w:t>
      </w:r>
      <w:bookmarkEnd w:id="127"/>
    </w:p>
    <w:p w:rsidR="003A5A07" w:rsidRPr="00B06331" w:rsidRDefault="003A5A07" w:rsidP="003A5A07">
      <w:pPr>
        <w:spacing w:after="0"/>
        <w:rPr>
          <w:rFonts w:ascii="Avenir Book" w:eastAsia="MS Mincho" w:hAnsi="Avenir Book"/>
          <w:szCs w:val="20"/>
        </w:rPr>
      </w:pPr>
    </w:p>
    <w:p w:rsidR="003A5A07" w:rsidRPr="00B06331" w:rsidRDefault="00772C6A" w:rsidP="003A5A07">
      <w:pPr>
        <w:tabs>
          <w:tab w:val="left" w:pos="1770"/>
        </w:tabs>
        <w:rPr>
          <w:rFonts w:ascii="Avenir Book" w:eastAsia="MS Mincho" w:hAnsi="Avenir Book"/>
        </w:rPr>
      </w:pPr>
      <w:r w:rsidRPr="00B06331">
        <w:rPr>
          <w:rFonts w:ascii="Avenir Book" w:eastAsia="MS Mincho" w:hAnsi="Avenir Book"/>
        </w:rPr>
        <w:t>Although</w:t>
      </w:r>
      <w:r w:rsidR="003A5A07" w:rsidRPr="00B06331">
        <w:rPr>
          <w:rFonts w:ascii="Avenir Book" w:eastAsia="MS Mincho" w:hAnsi="Avenir Book"/>
        </w:rPr>
        <w:t xml:space="preserve"> Gambia has registered significant achievements because of improved access to basic health services across the country, PHC has substantially deteriorated overtime and is no longer adequately serving the population.  There is considerable growth in non-communicable </w:t>
      </w:r>
      <w:r w:rsidR="0007712A" w:rsidRPr="00B06331">
        <w:rPr>
          <w:rFonts w:ascii="Avenir Book" w:eastAsia="MS Mincho" w:hAnsi="Avenir Book"/>
        </w:rPr>
        <w:t>diseases, high</w:t>
      </w:r>
      <w:r w:rsidR="003A5A07" w:rsidRPr="00B06331">
        <w:rPr>
          <w:rFonts w:ascii="Avenir Book" w:eastAsia="MS Mincho" w:hAnsi="Avenir Book"/>
        </w:rPr>
        <w:t xml:space="preserve"> out of pocket expenditures for </w:t>
      </w:r>
      <w:r w:rsidR="006F3A32" w:rsidRPr="00B06331">
        <w:rPr>
          <w:rFonts w:ascii="Avenir Book" w:eastAsia="MS Mincho" w:hAnsi="Avenir Book"/>
        </w:rPr>
        <w:t>healthcare, serious</w:t>
      </w:r>
      <w:r w:rsidR="003A5A07" w:rsidRPr="00B06331">
        <w:rPr>
          <w:rFonts w:ascii="Avenir Book" w:eastAsia="MS Mincho" w:hAnsi="Avenir Book"/>
        </w:rPr>
        <w:t xml:space="preserve"> challenges relating to maternal and women’s health, </w:t>
      </w:r>
      <w:r w:rsidRPr="00B06331">
        <w:rPr>
          <w:rFonts w:ascii="Avenir Book" w:eastAsia="MS Mincho" w:hAnsi="Avenir Book"/>
        </w:rPr>
        <w:t>and skilled</w:t>
      </w:r>
      <w:r w:rsidR="003A5A07" w:rsidRPr="00B06331">
        <w:rPr>
          <w:rFonts w:ascii="Avenir Book" w:eastAsia="MS Mincho" w:hAnsi="Avenir Book"/>
        </w:rPr>
        <w:t xml:space="preserve"> health personnel are inadequate. </w:t>
      </w:r>
    </w:p>
    <w:p w:rsidR="00D349BA" w:rsidRPr="00B06331" w:rsidRDefault="003A5A07" w:rsidP="003A5A07">
      <w:pPr>
        <w:tabs>
          <w:tab w:val="left" w:pos="1770"/>
        </w:tabs>
        <w:rPr>
          <w:rFonts w:ascii="Avenir Book" w:eastAsia="MS Mincho" w:hAnsi="Avenir Book"/>
        </w:rPr>
      </w:pPr>
      <w:r w:rsidRPr="00B06331">
        <w:rPr>
          <w:rFonts w:ascii="Avenir Book" w:eastAsia="MS Mincho" w:hAnsi="Avenir Book"/>
        </w:rPr>
        <w:t>To address these issues and other challenges menti</w:t>
      </w:r>
      <w:r w:rsidR="00FA7F1A" w:rsidRPr="00B06331">
        <w:rPr>
          <w:rFonts w:ascii="Avenir Book" w:eastAsia="MS Mincho" w:hAnsi="Avenir Book"/>
        </w:rPr>
        <w:t xml:space="preserve">oned earlier, </w:t>
      </w:r>
      <w:r w:rsidRPr="00B06331">
        <w:rPr>
          <w:rFonts w:ascii="Avenir Book" w:eastAsia="MS Mincho" w:hAnsi="Avenir Book"/>
        </w:rPr>
        <w:t xml:space="preserve">four main outcomes </w:t>
      </w:r>
      <w:r w:rsidR="00FA7F1A" w:rsidRPr="00B06331">
        <w:rPr>
          <w:rFonts w:ascii="Avenir Book" w:eastAsia="MS Mincho" w:hAnsi="Avenir Book"/>
        </w:rPr>
        <w:t xml:space="preserve">are to </w:t>
      </w:r>
      <w:r w:rsidRPr="00B06331">
        <w:rPr>
          <w:rFonts w:ascii="Avenir Book" w:eastAsia="MS Mincho" w:hAnsi="Avenir Book"/>
        </w:rPr>
        <w:t>be achieved during the plan period (</w:t>
      </w:r>
      <w:r w:rsidR="00FA7F1A" w:rsidRPr="00B06331">
        <w:rPr>
          <w:rFonts w:ascii="Avenir Book" w:eastAsia="MS Mincho" w:hAnsi="Avenir Book"/>
        </w:rPr>
        <w:t xml:space="preserve">outcomes 4.4 - 4.8). These </w:t>
      </w:r>
      <w:r w:rsidRPr="00B06331">
        <w:rPr>
          <w:rFonts w:ascii="Avenir Book" w:eastAsia="MS Mincho" w:hAnsi="Avenir Book"/>
        </w:rPr>
        <w:t>focus on reducing maternal, new born mortality, reducing the burden of communicable and non-communicable diseases, and ensuring that the country has appropriately skilled health personnel in place.</w:t>
      </w:r>
      <w:r w:rsidR="00D14A92" w:rsidRPr="00B06331">
        <w:rPr>
          <w:rFonts w:ascii="Avenir Book" w:eastAsia="MS Mincho" w:hAnsi="Avenir Book"/>
        </w:rPr>
        <w:t xml:space="preserve"> The weak</w:t>
      </w:r>
      <w:r w:rsidR="00FA7F1A" w:rsidRPr="00B06331">
        <w:rPr>
          <w:rFonts w:ascii="Avenir Book" w:eastAsia="MS Mincho" w:hAnsi="Avenir Book"/>
        </w:rPr>
        <w:t xml:space="preserve"> health governance </w:t>
      </w:r>
      <w:r w:rsidR="00D14A92" w:rsidRPr="00B06331">
        <w:rPr>
          <w:rFonts w:ascii="Avenir Book" w:eastAsia="MS Mincho" w:hAnsi="Avenir Book"/>
        </w:rPr>
        <w:t xml:space="preserve">and partnership </w:t>
      </w:r>
      <w:r w:rsidR="00FA7F1A" w:rsidRPr="00B06331">
        <w:rPr>
          <w:rFonts w:ascii="Avenir Book" w:eastAsia="MS Mincho" w:hAnsi="Avenir Book"/>
        </w:rPr>
        <w:t>framework will also be addressed, as well as enhanced nutrition and WASH outcomes.</w:t>
      </w:r>
    </w:p>
    <w:p w:rsidR="003A5A07" w:rsidRPr="00B06331" w:rsidRDefault="003A5A07" w:rsidP="003A5A07">
      <w:pPr>
        <w:tabs>
          <w:tab w:val="left" w:pos="1770"/>
        </w:tabs>
        <w:rPr>
          <w:rFonts w:ascii="Avenir Book" w:eastAsia="MS Mincho" w:hAnsi="Avenir Book"/>
          <w:b/>
        </w:rPr>
      </w:pPr>
      <w:r w:rsidRPr="00B06331">
        <w:rPr>
          <w:rFonts w:ascii="Avenir Book" w:eastAsia="MS Mincho" w:hAnsi="Avenir Book"/>
          <w:b/>
        </w:rPr>
        <w:t>Table 7.6: Key</w:t>
      </w:r>
      <w:r w:rsidR="0007712A" w:rsidRPr="00B06331">
        <w:rPr>
          <w:rFonts w:ascii="Avenir Book" w:eastAsia="MS Mincho" w:hAnsi="Avenir Book"/>
          <w:b/>
        </w:rPr>
        <w:t xml:space="preserve"> Expected</w:t>
      </w:r>
      <w:r w:rsidRPr="00B06331">
        <w:rPr>
          <w:rFonts w:ascii="Avenir Book" w:eastAsia="MS Mincho" w:hAnsi="Avenir Book"/>
          <w:b/>
        </w:rPr>
        <w:t xml:space="preserve"> res</w:t>
      </w:r>
      <w:r w:rsidR="00772C6A" w:rsidRPr="00B06331">
        <w:rPr>
          <w:rFonts w:ascii="Avenir Book" w:eastAsia="MS Mincho" w:hAnsi="Avenir Book"/>
          <w:b/>
        </w:rPr>
        <w:t>ults for Health</w:t>
      </w:r>
      <w:r w:rsidR="001929BE" w:rsidRPr="00B06331">
        <w:rPr>
          <w:rFonts w:ascii="Avenir Book" w:eastAsia="MS Mincho" w:hAnsi="Avenir Book"/>
          <w:b/>
        </w:rPr>
        <w:t>, Nutrition, and Sanitation</w:t>
      </w:r>
    </w:p>
    <w:tbl>
      <w:tblPr>
        <w:tblStyle w:val="GridTable4-Accent11"/>
        <w:tblW w:w="0" w:type="auto"/>
        <w:tblLook w:val="04A0"/>
      </w:tblPr>
      <w:tblGrid>
        <w:gridCol w:w="2718"/>
        <w:gridCol w:w="6858"/>
      </w:tblGrid>
      <w:tr w:rsidR="003A5A07" w:rsidRPr="00B06331" w:rsidTr="0007712A">
        <w:trPr>
          <w:cnfStyle w:val="100000000000"/>
        </w:trPr>
        <w:tc>
          <w:tcPr>
            <w:cnfStyle w:val="001000000000"/>
            <w:tcW w:w="2718" w:type="dxa"/>
          </w:tcPr>
          <w:p w:rsidR="003A5A07" w:rsidRPr="00B06331" w:rsidRDefault="003A5A07" w:rsidP="003604CF">
            <w:pPr>
              <w:tabs>
                <w:tab w:val="left" w:pos="1770"/>
              </w:tabs>
              <w:rPr>
                <w:rFonts w:ascii="Avenir Book" w:eastAsia="MS Mincho" w:hAnsi="Avenir Book"/>
              </w:rPr>
            </w:pPr>
            <w:r w:rsidRPr="00B06331">
              <w:rPr>
                <w:rFonts w:ascii="Avenir Book" w:eastAsia="MS Mincho" w:hAnsi="Avenir Book"/>
              </w:rPr>
              <w:t>Results Area</w:t>
            </w:r>
          </w:p>
        </w:tc>
        <w:tc>
          <w:tcPr>
            <w:tcW w:w="6858" w:type="dxa"/>
          </w:tcPr>
          <w:p w:rsidR="003A5A07" w:rsidRPr="00B06331" w:rsidRDefault="003A5A07" w:rsidP="003604CF">
            <w:pPr>
              <w:tabs>
                <w:tab w:val="left" w:pos="1770"/>
              </w:tabs>
              <w:cnfStyle w:val="100000000000"/>
              <w:rPr>
                <w:rFonts w:ascii="Avenir Book" w:eastAsia="MS Mincho" w:hAnsi="Avenir Book"/>
              </w:rPr>
            </w:pPr>
            <w:r w:rsidRPr="00B06331">
              <w:rPr>
                <w:rFonts w:ascii="Avenir Book" w:eastAsia="MS Mincho" w:hAnsi="Avenir Book"/>
              </w:rPr>
              <w:t>Key Results</w:t>
            </w:r>
          </w:p>
        </w:tc>
      </w:tr>
      <w:tr w:rsidR="00667CEB" w:rsidRPr="00B06331" w:rsidTr="0007712A">
        <w:trPr>
          <w:cnfStyle w:val="000000100000"/>
        </w:trPr>
        <w:tc>
          <w:tcPr>
            <w:cnfStyle w:val="001000000000"/>
            <w:tcW w:w="2718" w:type="dxa"/>
          </w:tcPr>
          <w:p w:rsidR="00667CEB" w:rsidRPr="00B06331" w:rsidRDefault="00667CEB" w:rsidP="003604CF">
            <w:pPr>
              <w:tabs>
                <w:tab w:val="left" w:pos="1770"/>
              </w:tabs>
              <w:rPr>
                <w:rFonts w:ascii="Avenir Book" w:eastAsia="MS Mincho" w:hAnsi="Avenir Book"/>
                <w:i/>
              </w:rPr>
            </w:pPr>
            <w:r w:rsidRPr="00B06331">
              <w:rPr>
                <w:rFonts w:ascii="Avenir Book" w:eastAsia="MS Mincho" w:hAnsi="Avenir Book"/>
                <w:i/>
              </w:rPr>
              <w:t>Policy and coordination mechanism</w:t>
            </w:r>
          </w:p>
        </w:tc>
        <w:tc>
          <w:tcPr>
            <w:tcW w:w="6858" w:type="dxa"/>
          </w:tcPr>
          <w:p w:rsidR="00667CEB" w:rsidRPr="00B06331" w:rsidRDefault="00667CEB" w:rsidP="004143E3">
            <w:pPr>
              <w:numPr>
                <w:ilvl w:val="0"/>
                <w:numId w:val="70"/>
              </w:numPr>
              <w:tabs>
                <w:tab w:val="left" w:pos="1770"/>
              </w:tabs>
              <w:spacing w:after="0" w:line="240" w:lineRule="auto"/>
              <w:cnfStyle w:val="000000100000"/>
              <w:rPr>
                <w:rFonts w:ascii="Avenir Book" w:eastAsia="MS Mincho" w:hAnsi="Avenir Book"/>
              </w:rPr>
            </w:pPr>
            <w:r w:rsidRPr="00B06331">
              <w:rPr>
                <w:rFonts w:ascii="Avenir Book" w:eastAsia="MS Mincho" w:hAnsi="Avenir Book"/>
              </w:rPr>
              <w:t xml:space="preserve">Existence of a Health Governance Framework and Robust Coordination </w:t>
            </w:r>
            <w:r w:rsidR="005809EA" w:rsidRPr="00B06331">
              <w:rPr>
                <w:rFonts w:ascii="Avenir Book" w:eastAsia="MS Mincho" w:hAnsi="Avenir Book"/>
              </w:rPr>
              <w:t xml:space="preserve">and partnership </w:t>
            </w:r>
            <w:r w:rsidRPr="00B06331">
              <w:rPr>
                <w:rFonts w:ascii="Avenir Book" w:eastAsia="MS Mincho" w:hAnsi="Avenir Book"/>
              </w:rPr>
              <w:t xml:space="preserve">mechanism </w:t>
            </w:r>
          </w:p>
        </w:tc>
      </w:tr>
      <w:tr w:rsidR="003A5A07" w:rsidRPr="00B06331" w:rsidTr="0007712A">
        <w:tc>
          <w:tcPr>
            <w:cnfStyle w:val="001000000000"/>
            <w:tcW w:w="2718" w:type="dxa"/>
          </w:tcPr>
          <w:p w:rsidR="003A5A07" w:rsidRPr="00B06331" w:rsidRDefault="003A5A07" w:rsidP="003604CF">
            <w:pPr>
              <w:tabs>
                <w:tab w:val="left" w:pos="1770"/>
              </w:tabs>
              <w:rPr>
                <w:rFonts w:ascii="Avenir Book" w:eastAsia="MS Mincho" w:hAnsi="Avenir Book"/>
                <w:i/>
              </w:rPr>
            </w:pPr>
            <w:r w:rsidRPr="00B06331">
              <w:rPr>
                <w:rFonts w:ascii="Avenir Book" w:eastAsia="MS Mincho" w:hAnsi="Avenir Book"/>
                <w:i/>
              </w:rPr>
              <w:t xml:space="preserve">Maternal, New-born, infant, </w:t>
            </w:r>
            <w:r w:rsidRPr="00B06331">
              <w:rPr>
                <w:rFonts w:ascii="Avenir Book" w:eastAsia="MS Mincho" w:hAnsi="Avenir Book"/>
                <w:i/>
              </w:rPr>
              <w:lastRenderedPageBreak/>
              <w:t>child and Adolescent Morbidity and Mortality</w:t>
            </w:r>
          </w:p>
          <w:p w:rsidR="003A5A07" w:rsidRPr="00B06331" w:rsidRDefault="003A5A07" w:rsidP="003604CF">
            <w:pPr>
              <w:tabs>
                <w:tab w:val="left" w:pos="1770"/>
              </w:tabs>
              <w:rPr>
                <w:rFonts w:ascii="Avenir Book" w:eastAsia="MS Mincho" w:hAnsi="Avenir Book"/>
              </w:rPr>
            </w:pPr>
          </w:p>
        </w:tc>
        <w:tc>
          <w:tcPr>
            <w:tcW w:w="6858" w:type="dxa"/>
          </w:tcPr>
          <w:p w:rsidR="003A5A07" w:rsidRPr="00B06331" w:rsidRDefault="003A5A07" w:rsidP="004143E3">
            <w:pPr>
              <w:numPr>
                <w:ilvl w:val="0"/>
                <w:numId w:val="70"/>
              </w:numPr>
              <w:tabs>
                <w:tab w:val="left" w:pos="1770"/>
              </w:tabs>
              <w:spacing w:after="0" w:line="240" w:lineRule="auto"/>
              <w:cnfStyle w:val="000000000000"/>
              <w:rPr>
                <w:rFonts w:ascii="Avenir Book" w:eastAsia="MS Mincho" w:hAnsi="Avenir Book"/>
              </w:rPr>
            </w:pPr>
            <w:r w:rsidRPr="00B06331">
              <w:rPr>
                <w:rFonts w:ascii="Avenir Book" w:eastAsia="MS Mincho" w:hAnsi="Avenir Book"/>
              </w:rPr>
              <w:lastRenderedPageBreak/>
              <w:t xml:space="preserve">Reduce Maternal mortality ratio from 433/100000(DHS </w:t>
            </w:r>
            <w:r w:rsidR="0007712A" w:rsidRPr="00B06331">
              <w:rPr>
                <w:rFonts w:ascii="Avenir Book" w:eastAsia="MS Mincho" w:hAnsi="Avenir Book"/>
              </w:rPr>
              <w:t>2013) to</w:t>
            </w:r>
            <w:r w:rsidRPr="00B06331">
              <w:rPr>
                <w:rFonts w:ascii="Avenir Book" w:eastAsia="MS Mincho" w:hAnsi="Avenir Book"/>
              </w:rPr>
              <w:t xml:space="preserve"> 315/100000</w:t>
            </w:r>
          </w:p>
          <w:p w:rsidR="003A5A07" w:rsidRPr="00B06331" w:rsidRDefault="003A5A07" w:rsidP="004143E3">
            <w:pPr>
              <w:numPr>
                <w:ilvl w:val="0"/>
                <w:numId w:val="70"/>
              </w:numPr>
              <w:tabs>
                <w:tab w:val="left" w:pos="1770"/>
              </w:tabs>
              <w:spacing w:after="0" w:line="240" w:lineRule="auto"/>
              <w:cnfStyle w:val="000000000000"/>
              <w:rPr>
                <w:rFonts w:ascii="Avenir Book" w:eastAsia="MS Mincho" w:hAnsi="Avenir Book"/>
              </w:rPr>
            </w:pPr>
            <w:r w:rsidRPr="00B06331">
              <w:rPr>
                <w:rFonts w:ascii="Avenir Book" w:eastAsia="MS Mincho" w:hAnsi="Avenir Book"/>
              </w:rPr>
              <w:lastRenderedPageBreak/>
              <w:t>Increase proportion of births attended by skilled health personnel from 57.2 % (DHS  2013) to 80%</w:t>
            </w:r>
          </w:p>
          <w:p w:rsidR="003A5A07" w:rsidRPr="00B06331" w:rsidRDefault="003A5A07" w:rsidP="004143E3">
            <w:pPr>
              <w:numPr>
                <w:ilvl w:val="0"/>
                <w:numId w:val="70"/>
              </w:numPr>
              <w:tabs>
                <w:tab w:val="left" w:pos="1770"/>
              </w:tabs>
              <w:spacing w:after="0" w:line="240" w:lineRule="auto"/>
              <w:cnfStyle w:val="000000000000"/>
              <w:rPr>
                <w:rFonts w:ascii="Avenir Book" w:eastAsia="MS Mincho" w:hAnsi="Avenir Book"/>
              </w:rPr>
            </w:pPr>
            <w:r w:rsidRPr="00B06331">
              <w:rPr>
                <w:rFonts w:ascii="Avenir Book" w:eastAsia="MS Mincho" w:hAnsi="Avenir Book"/>
              </w:rPr>
              <w:t>Decrease under-five mortality rate from 54/1000(DHS 2013) to 44/1000</w:t>
            </w:r>
          </w:p>
          <w:p w:rsidR="003A5A07" w:rsidRPr="00B06331" w:rsidRDefault="003A5A07" w:rsidP="004143E3">
            <w:pPr>
              <w:numPr>
                <w:ilvl w:val="0"/>
                <w:numId w:val="70"/>
              </w:numPr>
              <w:tabs>
                <w:tab w:val="left" w:pos="1770"/>
              </w:tabs>
              <w:spacing w:after="0" w:line="240" w:lineRule="auto"/>
              <w:cnfStyle w:val="000000000000"/>
              <w:rPr>
                <w:rFonts w:ascii="Avenir Book" w:eastAsia="MS Mincho" w:hAnsi="Avenir Book"/>
              </w:rPr>
            </w:pPr>
            <w:r w:rsidRPr="00B06331">
              <w:rPr>
                <w:rFonts w:ascii="Avenir Book" w:eastAsia="MS Mincho" w:hAnsi="Avenir Book"/>
              </w:rPr>
              <w:t>Decrease neonatal mortality rate from 22/1000(DHS 2013) to 15/1000</w:t>
            </w:r>
          </w:p>
        </w:tc>
      </w:tr>
      <w:tr w:rsidR="003A5A07" w:rsidRPr="00B06331" w:rsidTr="0007712A">
        <w:trPr>
          <w:cnfStyle w:val="000000100000"/>
        </w:trPr>
        <w:tc>
          <w:tcPr>
            <w:cnfStyle w:val="001000000000"/>
            <w:tcW w:w="2718" w:type="dxa"/>
          </w:tcPr>
          <w:p w:rsidR="003A5A07" w:rsidRPr="00B06331" w:rsidRDefault="003A5A07" w:rsidP="003604CF">
            <w:pPr>
              <w:tabs>
                <w:tab w:val="left" w:pos="1770"/>
              </w:tabs>
              <w:spacing w:after="0" w:line="240" w:lineRule="auto"/>
              <w:rPr>
                <w:rFonts w:ascii="Avenir Book" w:eastAsia="MS Mincho" w:hAnsi="Avenir Book"/>
                <w:i/>
              </w:rPr>
            </w:pPr>
            <w:r w:rsidRPr="00B06331">
              <w:rPr>
                <w:rFonts w:ascii="Avenir Book" w:eastAsia="MS Mincho" w:hAnsi="Avenir Book"/>
                <w:i/>
              </w:rPr>
              <w:lastRenderedPageBreak/>
              <w:t xml:space="preserve">Communicable and </w:t>
            </w:r>
            <w:r w:rsidR="0007712A" w:rsidRPr="00B06331">
              <w:rPr>
                <w:rFonts w:ascii="Avenir Book" w:eastAsia="MS Mincho" w:hAnsi="Avenir Book"/>
                <w:i/>
              </w:rPr>
              <w:t>Non-Communicable</w:t>
            </w:r>
            <w:r w:rsidRPr="00B06331">
              <w:rPr>
                <w:rFonts w:ascii="Avenir Book" w:eastAsia="MS Mincho" w:hAnsi="Avenir Book"/>
                <w:i/>
              </w:rPr>
              <w:t xml:space="preserve"> Diseases</w:t>
            </w:r>
          </w:p>
          <w:p w:rsidR="003A5A07" w:rsidRPr="00B06331" w:rsidRDefault="003A5A07" w:rsidP="003604CF">
            <w:pPr>
              <w:tabs>
                <w:tab w:val="left" w:pos="1770"/>
              </w:tabs>
              <w:spacing w:after="0" w:line="240" w:lineRule="auto"/>
              <w:rPr>
                <w:rFonts w:ascii="Avenir Book" w:eastAsia="MS Mincho" w:hAnsi="Avenir Book"/>
                <w:i/>
              </w:rPr>
            </w:pPr>
          </w:p>
          <w:p w:rsidR="003A5A07" w:rsidRPr="00B06331" w:rsidRDefault="003A5A07" w:rsidP="003604CF">
            <w:pPr>
              <w:tabs>
                <w:tab w:val="left" w:pos="1770"/>
              </w:tabs>
              <w:rPr>
                <w:rFonts w:ascii="Avenir Book" w:eastAsia="MS Mincho" w:hAnsi="Avenir Book"/>
              </w:rPr>
            </w:pPr>
          </w:p>
        </w:tc>
        <w:tc>
          <w:tcPr>
            <w:tcW w:w="6858" w:type="dxa"/>
          </w:tcPr>
          <w:p w:rsidR="003A5A07" w:rsidRPr="00B06331" w:rsidRDefault="003A5A07" w:rsidP="004143E3">
            <w:pPr>
              <w:numPr>
                <w:ilvl w:val="0"/>
                <w:numId w:val="54"/>
              </w:numPr>
              <w:tabs>
                <w:tab w:val="left" w:pos="1770"/>
              </w:tabs>
              <w:spacing w:after="0" w:line="240" w:lineRule="auto"/>
              <w:cnfStyle w:val="000000100000"/>
              <w:rPr>
                <w:rFonts w:ascii="Avenir Book" w:eastAsia="MS Mincho" w:hAnsi="Avenir Book"/>
              </w:rPr>
            </w:pPr>
            <w:r w:rsidRPr="00B06331">
              <w:rPr>
                <w:rFonts w:ascii="Avenir Book" w:eastAsia="MS Mincho" w:hAnsi="Avenir Book"/>
              </w:rPr>
              <w:t xml:space="preserve">Decrease mortality rate attributed to cardiovascular disease, cancer, </w:t>
            </w:r>
            <w:r w:rsidR="0007712A" w:rsidRPr="00B06331">
              <w:rPr>
                <w:rFonts w:ascii="Avenir Book" w:eastAsia="MS Mincho" w:hAnsi="Avenir Book"/>
              </w:rPr>
              <w:t>diabetes,</w:t>
            </w:r>
            <w:r w:rsidRPr="00B06331">
              <w:rPr>
                <w:rFonts w:ascii="Avenir Book" w:eastAsia="MS Mincho" w:hAnsi="Avenir Book"/>
              </w:rPr>
              <w:t xml:space="preserve"> or chronic respiratory disease from Xx % to XX%</w:t>
            </w:r>
            <w:r w:rsidRPr="00B06331">
              <w:rPr>
                <w:rFonts w:ascii="Avenir Book" w:eastAsia="MS Mincho" w:hAnsi="Avenir Book"/>
              </w:rPr>
              <w:tab/>
            </w:r>
          </w:p>
          <w:p w:rsidR="003A5A07" w:rsidRPr="00B06331" w:rsidRDefault="003A5A07" w:rsidP="004143E3">
            <w:pPr>
              <w:numPr>
                <w:ilvl w:val="0"/>
                <w:numId w:val="54"/>
              </w:numPr>
              <w:tabs>
                <w:tab w:val="left" w:pos="1770"/>
              </w:tabs>
              <w:spacing w:after="0" w:line="240" w:lineRule="auto"/>
              <w:cnfStyle w:val="000000100000"/>
              <w:rPr>
                <w:rFonts w:ascii="Avenir Book" w:eastAsia="MS Mincho" w:hAnsi="Avenir Book"/>
              </w:rPr>
            </w:pPr>
            <w:r w:rsidRPr="00B06331">
              <w:rPr>
                <w:rFonts w:ascii="Avenir Book" w:eastAsia="MS Mincho" w:hAnsi="Avenir Book"/>
              </w:rPr>
              <w:t xml:space="preserve">Decrease the number of new HIV infections per 1,000 uninfected population, by sex, </w:t>
            </w:r>
            <w:r w:rsidR="0007712A" w:rsidRPr="00B06331">
              <w:rPr>
                <w:rFonts w:ascii="Avenir Book" w:eastAsia="MS Mincho" w:hAnsi="Avenir Book"/>
              </w:rPr>
              <w:t>age,</w:t>
            </w:r>
            <w:r w:rsidRPr="00B06331">
              <w:rPr>
                <w:rFonts w:ascii="Avenir Book" w:eastAsia="MS Mincho" w:hAnsi="Avenir Book"/>
              </w:rPr>
              <w:t xml:space="preserve"> and key populations from Xx% to XX%</w:t>
            </w:r>
            <w:r w:rsidRPr="00B06331">
              <w:rPr>
                <w:rFonts w:ascii="Avenir Book" w:eastAsia="MS Mincho" w:hAnsi="Avenir Book"/>
              </w:rPr>
              <w:tab/>
            </w:r>
          </w:p>
          <w:p w:rsidR="0007712A" w:rsidRPr="00B06331" w:rsidRDefault="0007712A" w:rsidP="004143E3">
            <w:pPr>
              <w:numPr>
                <w:ilvl w:val="0"/>
                <w:numId w:val="54"/>
              </w:numPr>
              <w:tabs>
                <w:tab w:val="left" w:pos="1770"/>
              </w:tabs>
              <w:spacing w:after="0" w:line="240" w:lineRule="auto"/>
              <w:cnfStyle w:val="000000100000"/>
              <w:rPr>
                <w:rFonts w:ascii="Avenir Book" w:eastAsia="MS Mincho" w:hAnsi="Avenir Book"/>
              </w:rPr>
            </w:pPr>
            <w:r w:rsidRPr="00B06331">
              <w:rPr>
                <w:rFonts w:ascii="Avenir Book" w:eastAsia="MS Mincho" w:hAnsi="Avenir Book"/>
              </w:rPr>
              <w:t>Increase % of eligible population with HIV having access to ARV from 86% (DHS) 2013) to 100%</w:t>
            </w:r>
          </w:p>
        </w:tc>
      </w:tr>
      <w:tr w:rsidR="001929BE" w:rsidRPr="00B06331" w:rsidTr="0007712A">
        <w:tc>
          <w:tcPr>
            <w:cnfStyle w:val="001000000000"/>
            <w:tcW w:w="2718" w:type="dxa"/>
          </w:tcPr>
          <w:p w:rsidR="001929BE" w:rsidRPr="00B06331" w:rsidRDefault="001929BE" w:rsidP="003604CF">
            <w:pPr>
              <w:tabs>
                <w:tab w:val="left" w:pos="1770"/>
              </w:tabs>
              <w:spacing w:after="0" w:line="240" w:lineRule="auto"/>
              <w:rPr>
                <w:rFonts w:ascii="Avenir Book" w:eastAsia="MS Mincho" w:hAnsi="Avenir Book"/>
                <w:i/>
              </w:rPr>
            </w:pPr>
            <w:r w:rsidRPr="00B06331">
              <w:rPr>
                <w:rFonts w:ascii="Avenir Book" w:eastAsia="MS Mincho" w:hAnsi="Avenir Book"/>
                <w:i/>
              </w:rPr>
              <w:t>Nutrition</w:t>
            </w:r>
          </w:p>
        </w:tc>
        <w:tc>
          <w:tcPr>
            <w:tcW w:w="6858" w:type="dxa"/>
          </w:tcPr>
          <w:p w:rsidR="001929BE" w:rsidRPr="00B06331" w:rsidRDefault="001929BE" w:rsidP="001929BE">
            <w:pPr>
              <w:pStyle w:val="ListParagraph"/>
              <w:numPr>
                <w:ilvl w:val="0"/>
                <w:numId w:val="54"/>
              </w:numPr>
              <w:spacing w:after="0" w:line="240" w:lineRule="auto"/>
              <w:cnfStyle w:val="000000000000"/>
              <w:rPr>
                <w:rFonts w:ascii="Avenir Book" w:eastAsia="MS Mincho" w:hAnsi="Avenir Book"/>
              </w:rPr>
            </w:pPr>
            <w:r w:rsidRPr="00B06331">
              <w:rPr>
                <w:rFonts w:ascii="Avenir Book" w:eastAsia="MS Mincho" w:hAnsi="Avenir Book"/>
              </w:rPr>
              <w:t>Decrease prevalence of underweight among children under 5 from 17% (DHS 2013) to 8.5%</w:t>
            </w:r>
          </w:p>
          <w:p w:rsidR="001929BE" w:rsidRPr="00B06331" w:rsidRDefault="001929BE" w:rsidP="001929BE">
            <w:pPr>
              <w:pStyle w:val="ListParagraph"/>
              <w:numPr>
                <w:ilvl w:val="0"/>
                <w:numId w:val="54"/>
              </w:numPr>
              <w:spacing w:after="0" w:line="240" w:lineRule="auto"/>
              <w:cnfStyle w:val="000000000000"/>
              <w:rPr>
                <w:rFonts w:ascii="Avenir Book" w:eastAsia="MS Mincho" w:hAnsi="Avenir Book"/>
              </w:rPr>
            </w:pPr>
            <w:r w:rsidRPr="00B06331">
              <w:rPr>
                <w:rFonts w:ascii="Avenir Book" w:eastAsia="MS Mincho" w:hAnsi="Avenir Book"/>
              </w:rPr>
              <w:t>Decrease pregnant women with anemia from 67.9% (DHS 2013) to 40%</w:t>
            </w:r>
          </w:p>
          <w:p w:rsidR="001929BE" w:rsidRPr="00B06331" w:rsidRDefault="001929BE" w:rsidP="001929BE">
            <w:pPr>
              <w:pStyle w:val="ListParagraph"/>
              <w:numPr>
                <w:ilvl w:val="0"/>
                <w:numId w:val="54"/>
              </w:numPr>
              <w:spacing w:after="0" w:line="240" w:lineRule="auto"/>
              <w:cnfStyle w:val="000000000000"/>
              <w:rPr>
                <w:rFonts w:ascii="Avenir Book" w:eastAsia="MS Mincho" w:hAnsi="Avenir Book"/>
              </w:rPr>
            </w:pPr>
            <w:r w:rsidRPr="00B06331">
              <w:rPr>
                <w:rFonts w:ascii="Avenir Book" w:eastAsia="MS Mincho" w:hAnsi="Avenir Book"/>
              </w:rPr>
              <w:t>Decrease prevalence of underweight non-pregnant women from 16.7% (DHS 2013) to 10%</w:t>
            </w:r>
          </w:p>
          <w:p w:rsidR="001929BE" w:rsidRPr="00B06331" w:rsidRDefault="001929BE" w:rsidP="001929BE">
            <w:pPr>
              <w:numPr>
                <w:ilvl w:val="0"/>
                <w:numId w:val="54"/>
              </w:numPr>
              <w:tabs>
                <w:tab w:val="left" w:pos="1770"/>
              </w:tabs>
              <w:spacing w:after="0" w:line="240" w:lineRule="auto"/>
              <w:cnfStyle w:val="000000000000"/>
              <w:rPr>
                <w:rFonts w:ascii="Avenir Book" w:eastAsia="MS Mincho" w:hAnsi="Avenir Book"/>
              </w:rPr>
            </w:pPr>
            <w:r w:rsidRPr="00B06331">
              <w:rPr>
                <w:rFonts w:ascii="Avenir Book" w:eastAsia="MS Mincho" w:hAnsi="Avenir Book"/>
              </w:rPr>
              <w:t>Decrease % of the population who are food insecure from 37.2% (CFSVA 2016) to 20%</w:t>
            </w:r>
          </w:p>
        </w:tc>
      </w:tr>
      <w:tr w:rsidR="001929BE" w:rsidRPr="00B06331" w:rsidTr="0007712A">
        <w:trPr>
          <w:cnfStyle w:val="000000100000"/>
        </w:trPr>
        <w:tc>
          <w:tcPr>
            <w:cnfStyle w:val="001000000000"/>
            <w:tcW w:w="2718" w:type="dxa"/>
          </w:tcPr>
          <w:p w:rsidR="001929BE" w:rsidRPr="00B06331" w:rsidRDefault="001929BE" w:rsidP="003604CF">
            <w:pPr>
              <w:tabs>
                <w:tab w:val="left" w:pos="1770"/>
              </w:tabs>
              <w:spacing w:after="0" w:line="240" w:lineRule="auto"/>
              <w:rPr>
                <w:rFonts w:ascii="Avenir Book" w:eastAsia="MS Mincho" w:hAnsi="Avenir Book"/>
                <w:i/>
              </w:rPr>
            </w:pPr>
            <w:r w:rsidRPr="00B06331">
              <w:rPr>
                <w:rFonts w:ascii="Avenir Book" w:eastAsia="MS Mincho" w:hAnsi="Avenir Book"/>
                <w:i/>
              </w:rPr>
              <w:t>WASH</w:t>
            </w:r>
          </w:p>
        </w:tc>
        <w:tc>
          <w:tcPr>
            <w:tcW w:w="6858" w:type="dxa"/>
          </w:tcPr>
          <w:p w:rsidR="001929BE" w:rsidRPr="00B06331" w:rsidRDefault="001929BE" w:rsidP="001929BE">
            <w:pPr>
              <w:pStyle w:val="ListParagraph"/>
              <w:numPr>
                <w:ilvl w:val="0"/>
                <w:numId w:val="54"/>
              </w:numPr>
              <w:spacing w:after="0" w:line="240" w:lineRule="auto"/>
              <w:cnfStyle w:val="000000100000"/>
              <w:rPr>
                <w:rFonts w:ascii="Avenir Book" w:eastAsia="MS Mincho" w:hAnsi="Avenir Book"/>
              </w:rPr>
            </w:pPr>
            <w:r w:rsidRPr="00B06331">
              <w:rPr>
                <w:rFonts w:ascii="Avenir Book" w:eastAsia="MS Mincho" w:hAnsi="Avenir Book"/>
              </w:rPr>
              <w:t>Increase % of population with access to safe drinking water from 89.6% (DHS 2013) to 100%</w:t>
            </w:r>
          </w:p>
          <w:p w:rsidR="001929BE" w:rsidRPr="00B06331" w:rsidRDefault="001929BE" w:rsidP="001929BE">
            <w:pPr>
              <w:pStyle w:val="ListParagraph"/>
              <w:numPr>
                <w:ilvl w:val="0"/>
                <w:numId w:val="54"/>
              </w:numPr>
              <w:spacing w:after="0" w:line="240" w:lineRule="auto"/>
              <w:cnfStyle w:val="000000100000"/>
              <w:rPr>
                <w:rFonts w:ascii="Avenir Book" w:eastAsia="MS Mincho" w:hAnsi="Avenir Book"/>
              </w:rPr>
            </w:pPr>
            <w:r w:rsidRPr="00B06331">
              <w:rPr>
                <w:rFonts w:ascii="Avenir Book" w:eastAsia="MS Mincho" w:hAnsi="Avenir Book"/>
              </w:rPr>
              <w:t>Increase % of population with access to improved sanitation facilities from 39.8% (DHS 2013) to 75%</w:t>
            </w:r>
          </w:p>
          <w:p w:rsidR="001929BE" w:rsidRPr="00B06331" w:rsidRDefault="001929BE" w:rsidP="001929BE">
            <w:pPr>
              <w:pStyle w:val="ListParagraph"/>
              <w:numPr>
                <w:ilvl w:val="0"/>
                <w:numId w:val="54"/>
              </w:numPr>
              <w:spacing w:after="0" w:line="240" w:lineRule="auto"/>
              <w:cnfStyle w:val="000000100000"/>
              <w:rPr>
                <w:rFonts w:ascii="Avenir Book" w:eastAsia="MS Mincho" w:hAnsi="Avenir Book"/>
              </w:rPr>
            </w:pPr>
            <w:r w:rsidRPr="00B06331">
              <w:rPr>
                <w:rFonts w:ascii="Avenir Book" w:eastAsia="MS Mincho" w:hAnsi="Avenir Book"/>
              </w:rPr>
              <w:t>Increase percentage of urban and peri- urban solid waste regularly collected from X% to TBD %</w:t>
            </w:r>
          </w:p>
          <w:p w:rsidR="001929BE" w:rsidRPr="00B06331" w:rsidRDefault="001929BE" w:rsidP="001929BE">
            <w:pPr>
              <w:numPr>
                <w:ilvl w:val="0"/>
                <w:numId w:val="54"/>
              </w:numPr>
              <w:tabs>
                <w:tab w:val="left" w:pos="1770"/>
              </w:tabs>
              <w:spacing w:after="0" w:line="240" w:lineRule="auto"/>
              <w:cnfStyle w:val="000000100000"/>
              <w:rPr>
                <w:rFonts w:ascii="Avenir Book" w:eastAsia="MS Mincho" w:hAnsi="Avenir Book"/>
              </w:rPr>
            </w:pPr>
            <w:r w:rsidRPr="00B06331">
              <w:rPr>
                <w:rFonts w:ascii="Avenir Book" w:eastAsia="MS Mincho" w:hAnsi="Avenir Book"/>
              </w:rPr>
              <w:t>Increase % of household using soap and water for hand washing from 66% to 80% (Urban) and from 26% to 50% (Rural)</w:t>
            </w:r>
          </w:p>
        </w:tc>
      </w:tr>
    </w:tbl>
    <w:p w:rsidR="003A5A07" w:rsidRPr="00B06331" w:rsidRDefault="003A5A07" w:rsidP="0007712A">
      <w:pPr>
        <w:tabs>
          <w:tab w:val="left" w:pos="1770"/>
        </w:tabs>
        <w:spacing w:after="0" w:line="240" w:lineRule="auto"/>
        <w:rPr>
          <w:rFonts w:ascii="Avenir Book" w:eastAsia="MS Mincho" w:hAnsi="Avenir Book"/>
          <w:sz w:val="20"/>
        </w:rPr>
      </w:pPr>
    </w:p>
    <w:p w:rsidR="003A5A07" w:rsidRPr="00B06331" w:rsidRDefault="0007712A" w:rsidP="003A5A07">
      <w:pPr>
        <w:tabs>
          <w:tab w:val="left" w:pos="1770"/>
        </w:tabs>
        <w:rPr>
          <w:rFonts w:ascii="Avenir Book" w:eastAsia="MS Mincho" w:hAnsi="Avenir Book"/>
          <w:b/>
          <w:i/>
          <w:color w:val="4472C4" w:themeColor="accent1"/>
        </w:rPr>
      </w:pPr>
      <w:r w:rsidRPr="00B06331">
        <w:rPr>
          <w:rFonts w:ascii="Avenir Book" w:eastAsia="MS Mincho" w:hAnsi="Avenir Book"/>
          <w:b/>
          <w:i/>
          <w:color w:val="4472C4" w:themeColor="accent1"/>
        </w:rPr>
        <w:t>Outcome 4.4: Strengthened Quality Health Service Delivery for Reduction of Maternal, New-born, infant, child and Adolescent Morbidity and Mortality</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Government will intensify efforts to reduce maternal, newborn, infant child and adolescent morbidity and mortality through the following key interventions:</w:t>
      </w:r>
    </w:p>
    <w:p w:rsidR="003A5A07" w:rsidRPr="00B06331" w:rsidRDefault="003A5A07" w:rsidP="003A5A07">
      <w:pPr>
        <w:tabs>
          <w:tab w:val="left" w:pos="1770"/>
        </w:tabs>
        <w:rPr>
          <w:rFonts w:ascii="Avenir Book" w:eastAsia="MS Mincho" w:hAnsi="Avenir Book"/>
          <w:b/>
        </w:rPr>
      </w:pPr>
      <w:r w:rsidRPr="00B06331">
        <w:rPr>
          <w:rFonts w:ascii="Avenir Book" w:eastAsia="MS Mincho" w:hAnsi="Avenir Book"/>
          <w:b/>
        </w:rPr>
        <w:t xml:space="preserve">Strengthen service delivery to provide reproductive, maternal, newborn, infant, </w:t>
      </w:r>
      <w:r w:rsidR="0007712A" w:rsidRPr="00B06331">
        <w:rPr>
          <w:rFonts w:ascii="Avenir Book" w:eastAsia="MS Mincho" w:hAnsi="Avenir Book"/>
          <w:b/>
        </w:rPr>
        <w:t>child,</w:t>
      </w:r>
      <w:r w:rsidRPr="00B06331">
        <w:rPr>
          <w:rFonts w:ascii="Avenir Book" w:eastAsia="MS Mincho" w:hAnsi="Avenir Book"/>
          <w:b/>
        </w:rPr>
        <w:t xml:space="preserve"> and adolescent health services at all levels </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The main factors contributing to high maternal mortality include inadequate access to Comprehensive and Basic Emergency Obstetric and Newbo</w:t>
      </w:r>
      <w:r w:rsidR="00D14A92" w:rsidRPr="00B06331">
        <w:rPr>
          <w:rFonts w:ascii="Avenir Book" w:eastAsia="MS Mincho" w:hAnsi="Avenir Book"/>
        </w:rPr>
        <w:t>rn services respectively, inadequate</w:t>
      </w:r>
      <w:r w:rsidRPr="00B06331">
        <w:rPr>
          <w:rFonts w:ascii="Avenir Book" w:eastAsia="MS Mincho" w:hAnsi="Avenir Book"/>
        </w:rPr>
        <w:t xml:space="preserve"> trained human resource and unavaila</w:t>
      </w:r>
      <w:r w:rsidR="00D14A92" w:rsidRPr="00B06331">
        <w:rPr>
          <w:rFonts w:ascii="Avenir Book" w:eastAsia="MS Mincho" w:hAnsi="Avenir Book"/>
        </w:rPr>
        <w:t>ble or inadequate transport</w:t>
      </w:r>
      <w:r w:rsidRPr="00B06331">
        <w:rPr>
          <w:rFonts w:ascii="Avenir Book" w:eastAsia="MS Mincho" w:hAnsi="Avenir Book"/>
        </w:rPr>
        <w:t xml:space="preserve"> to access hea</w:t>
      </w:r>
      <w:r w:rsidR="00D14A92" w:rsidRPr="00B06331">
        <w:rPr>
          <w:rFonts w:ascii="Avenir Book" w:eastAsia="MS Mincho" w:hAnsi="Avenir Book"/>
        </w:rPr>
        <w:t>lthcare. A</w:t>
      </w:r>
      <w:r w:rsidRPr="00B06331">
        <w:rPr>
          <w:rFonts w:ascii="Avenir Book" w:eastAsia="MS Mincho" w:hAnsi="Avenir Book"/>
        </w:rPr>
        <w:t>ddressing these challenges can contribute to at least a 60% reduction in maternal mortality.  Government will ther</w:t>
      </w:r>
      <w:r w:rsidR="00D14A92" w:rsidRPr="00B06331">
        <w:rPr>
          <w:rFonts w:ascii="Avenir Book" w:eastAsia="MS Mincho" w:hAnsi="Avenir Book"/>
        </w:rPr>
        <w:t>efore undertake actions to address them,</w:t>
      </w:r>
      <w:r w:rsidRPr="00B06331">
        <w:rPr>
          <w:rFonts w:ascii="Avenir Book" w:eastAsia="MS Mincho" w:hAnsi="Avenir Book"/>
        </w:rPr>
        <w:t xml:space="preserve"> including the provision of pharmaceutical lifesaving equipment and </w:t>
      </w:r>
      <w:r w:rsidR="00D14A92" w:rsidRPr="00B06331">
        <w:rPr>
          <w:rFonts w:ascii="Avenir Book" w:eastAsia="MS Mincho" w:hAnsi="Avenir Book"/>
        </w:rPr>
        <w:t>supplies as well as strengthening and expanding</w:t>
      </w:r>
      <w:r w:rsidRPr="00B06331">
        <w:rPr>
          <w:rFonts w:ascii="Avenir Book" w:eastAsia="MS Mincho" w:hAnsi="Avenir Book"/>
        </w:rPr>
        <w:t xml:space="preserve"> laboratory services to provide required tests and investigations at all levels of the Health care delivery system.</w:t>
      </w:r>
    </w:p>
    <w:p w:rsidR="003A5A07" w:rsidRPr="00B06331" w:rsidRDefault="00D14A92" w:rsidP="003A5A07">
      <w:pPr>
        <w:tabs>
          <w:tab w:val="left" w:pos="1770"/>
        </w:tabs>
        <w:rPr>
          <w:rFonts w:ascii="Avenir Book" w:eastAsia="MS Mincho" w:hAnsi="Avenir Book"/>
        </w:rPr>
      </w:pPr>
      <w:r w:rsidRPr="00B06331">
        <w:rPr>
          <w:rFonts w:ascii="Avenir Book" w:eastAsia="MS Mincho" w:hAnsi="Avenir Book"/>
        </w:rPr>
        <w:t>Q</w:t>
      </w:r>
      <w:r w:rsidR="003A5A07" w:rsidRPr="00B06331">
        <w:rPr>
          <w:rFonts w:ascii="Avenir Book" w:eastAsia="MS Mincho" w:hAnsi="Avenir Book"/>
        </w:rPr>
        <w:t xml:space="preserve">uality care during pregnancy, labour and child birth, and the postpartum period can significantly reduce maternal and neonatal morbidity and mortality. Similarly, antenatal care provides an opportunity to inform and educate pregnant women about pregnancy, </w:t>
      </w:r>
      <w:r w:rsidR="00BC2900" w:rsidRPr="00B06331">
        <w:rPr>
          <w:rFonts w:ascii="Avenir Book" w:eastAsia="MS Mincho" w:hAnsi="Avenir Book"/>
        </w:rPr>
        <w:t>childbirth,</w:t>
      </w:r>
      <w:r w:rsidR="003A5A07" w:rsidRPr="00B06331">
        <w:rPr>
          <w:rFonts w:ascii="Avenir Book" w:eastAsia="MS Mincho" w:hAnsi="Avenir Book"/>
        </w:rPr>
        <w:t xml:space="preserve"> and ca</w:t>
      </w:r>
      <w:r w:rsidRPr="00B06331">
        <w:rPr>
          <w:rFonts w:ascii="Avenir Book" w:eastAsia="MS Mincho" w:hAnsi="Avenir Book"/>
        </w:rPr>
        <w:t>re of the new-born. Also important are the</w:t>
      </w:r>
      <w:r w:rsidR="003A5A07" w:rsidRPr="00B06331">
        <w:rPr>
          <w:rFonts w:ascii="Avenir Book" w:eastAsia="MS Mincho" w:hAnsi="Avenir Book"/>
        </w:rPr>
        <w:t xml:space="preserve"> provision of adequate skilled health professionals to conduct safe </w:t>
      </w:r>
      <w:r w:rsidR="003A5A07" w:rsidRPr="00B06331">
        <w:rPr>
          <w:rFonts w:ascii="Avenir Book" w:eastAsia="MS Mincho" w:hAnsi="Avenir Book"/>
        </w:rPr>
        <w:lastRenderedPageBreak/>
        <w:t xml:space="preserve">deliveries in all health facilities and advocacy for active community involvement and male participation in Reproductive and Child Health (RCH) issues and services. </w:t>
      </w:r>
    </w:p>
    <w:p w:rsidR="003A5A07" w:rsidRPr="00B06331" w:rsidRDefault="00BC2900" w:rsidP="003A5A07">
      <w:pPr>
        <w:tabs>
          <w:tab w:val="left" w:pos="1770"/>
        </w:tabs>
        <w:rPr>
          <w:rFonts w:ascii="Avenir Book" w:eastAsia="MS Mincho" w:hAnsi="Avenir Book"/>
        </w:rPr>
      </w:pPr>
      <w:r w:rsidRPr="00B06331">
        <w:rPr>
          <w:rFonts w:ascii="Avenir Book" w:eastAsia="MS Mincho" w:hAnsi="Avenir Book"/>
        </w:rPr>
        <w:t>To</w:t>
      </w:r>
      <w:r w:rsidR="003A5A07" w:rsidRPr="00B06331">
        <w:rPr>
          <w:rFonts w:ascii="Avenir Book" w:eastAsia="MS Mincho" w:hAnsi="Avenir Book"/>
        </w:rPr>
        <w:t xml:space="preserve"> accelerate the reduction of neonatal and child morbidity and mortality and the frequency and severity of illness and disability and contribute to growth and development during the first five years of a child's life, Government will also strengthen the Integrated Management of Neo-natal and Childhood illnesses (IMNCI) s</w:t>
      </w:r>
      <w:r w:rsidR="00D14A92" w:rsidRPr="00B06331">
        <w:rPr>
          <w:rFonts w:ascii="Avenir Book" w:eastAsia="MS Mincho" w:hAnsi="Avenir Book"/>
        </w:rPr>
        <w:t xml:space="preserve">trategy. The Strategy </w:t>
      </w:r>
      <w:r w:rsidR="003A5A07" w:rsidRPr="00B06331">
        <w:rPr>
          <w:rFonts w:ascii="Avenir Book" w:eastAsia="MS Mincho" w:hAnsi="Avenir Book"/>
        </w:rPr>
        <w:t>promote</w:t>
      </w:r>
      <w:r w:rsidR="00D14A92" w:rsidRPr="00B06331">
        <w:rPr>
          <w:rFonts w:ascii="Avenir Book" w:eastAsia="MS Mincho" w:hAnsi="Avenir Book"/>
        </w:rPr>
        <w:t>s</w:t>
      </w:r>
      <w:r w:rsidR="003A5A07" w:rsidRPr="00B06331">
        <w:rPr>
          <w:rFonts w:ascii="Avenir Book" w:eastAsia="MS Mincho" w:hAnsi="Avenir Book"/>
        </w:rPr>
        <w:t xml:space="preserve"> both preventive and curative interventions.</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Access to sexual and reproductive health services, including contraceptives and HIV prevention and treatment, are fundamental human rights. Addressing the needs of adolescen</w:t>
      </w:r>
      <w:r w:rsidR="00D14A92" w:rsidRPr="00B06331">
        <w:rPr>
          <w:rFonts w:ascii="Avenir Book" w:eastAsia="MS Mincho" w:hAnsi="Avenir Book"/>
        </w:rPr>
        <w:t>t will be emphasized during the plan period</w:t>
      </w:r>
      <w:r w:rsidRPr="00B06331">
        <w:rPr>
          <w:rFonts w:ascii="Avenir Book" w:eastAsia="MS Mincho" w:hAnsi="Avenir Book"/>
        </w:rPr>
        <w:t xml:space="preserve"> in partnership with other stakeholders. In particular, Government will partner with CSOs to address legal and policy barriers to life choices for young people</w:t>
      </w:r>
      <w:r w:rsidR="00D14A92" w:rsidRPr="00B06331">
        <w:rPr>
          <w:rFonts w:ascii="Avenir Book" w:eastAsia="MS Mincho" w:hAnsi="Avenir Book"/>
        </w:rPr>
        <w:t>’s</w:t>
      </w:r>
      <w:r w:rsidRPr="00B06331">
        <w:rPr>
          <w:rFonts w:ascii="Avenir Book" w:eastAsia="MS Mincho" w:hAnsi="Avenir Book"/>
        </w:rPr>
        <w:t xml:space="preserve"> access </w:t>
      </w:r>
      <w:r w:rsidR="00D14A92" w:rsidRPr="00B06331">
        <w:rPr>
          <w:rFonts w:ascii="Avenir Book" w:eastAsia="MS Mincho" w:hAnsi="Avenir Book"/>
        </w:rPr>
        <w:t xml:space="preserve">to </w:t>
      </w:r>
      <w:r w:rsidRPr="00B06331">
        <w:rPr>
          <w:rFonts w:ascii="Avenir Book" w:eastAsia="MS Mincho" w:hAnsi="Avenir Book"/>
        </w:rPr>
        <w:t xml:space="preserve">SRH and FP services including restrictions based on age and/or marital status and thus attain viable solutions to address demand-side barriers. In this regard, appropriate centres will be established at central, regional and community levels to provide guidance and counseling on the issues that affect youth productivity and empowerment. Realizing a demographic dividend requires multiple and simultaneous intersecting investments: lowering the dependency ratio through a demographic transition; improving health systems; building the human capital - education, skills, experience - needed to succeed in a competitive global workplace; and implementing appropriate socio-economic and governance policies. This will be done with a focus on adolescents and youth. </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 xml:space="preserve">Government will use multiple means to ensure that the youth have access to a relevant and </w:t>
      </w:r>
      <w:r w:rsidR="00BC2900" w:rsidRPr="00B06331">
        <w:rPr>
          <w:rFonts w:ascii="Avenir Book" w:eastAsia="MS Mincho" w:hAnsi="Avenir Book"/>
        </w:rPr>
        <w:t>high-quality</w:t>
      </w:r>
      <w:r w:rsidRPr="00B06331">
        <w:rPr>
          <w:rFonts w:ascii="Avenir Book" w:eastAsia="MS Mincho" w:hAnsi="Avenir Book"/>
        </w:rPr>
        <w:t xml:space="preserve"> health care system that responds to the specific health needs of young people. Government will ensure that the youth are empowered and have knowledge about health facilit</w:t>
      </w:r>
      <w:r w:rsidR="00D14A92" w:rsidRPr="00B06331">
        <w:rPr>
          <w:rFonts w:ascii="Avenir Book" w:eastAsia="MS Mincho" w:hAnsi="Avenir Book"/>
        </w:rPr>
        <w:t>ies and services that are available</w:t>
      </w:r>
      <w:r w:rsidRPr="00B06331">
        <w:rPr>
          <w:rFonts w:ascii="Avenir Book" w:eastAsia="MS Mincho" w:hAnsi="Avenir Book"/>
        </w:rPr>
        <w:t xml:space="preserve">. Social discriminations relating to access to health services will be curbed through advocacy, training, confidentially and affordability. </w:t>
      </w:r>
    </w:p>
    <w:p w:rsidR="003A5A07" w:rsidRPr="00B06331" w:rsidRDefault="00D14A92" w:rsidP="003A5A07">
      <w:pPr>
        <w:tabs>
          <w:tab w:val="left" w:pos="1770"/>
        </w:tabs>
        <w:rPr>
          <w:rFonts w:ascii="Avenir Book" w:eastAsia="MS Mincho" w:hAnsi="Avenir Book"/>
        </w:rPr>
      </w:pPr>
      <w:r w:rsidRPr="00B06331">
        <w:rPr>
          <w:rFonts w:ascii="Avenir Book" w:eastAsia="MS Mincho" w:hAnsi="Avenir Book"/>
        </w:rPr>
        <w:t>Government</w:t>
      </w:r>
      <w:r w:rsidR="003A5A07" w:rsidRPr="00B06331">
        <w:rPr>
          <w:rFonts w:ascii="Avenir Book" w:eastAsia="MS Mincho" w:hAnsi="Avenir Book"/>
        </w:rPr>
        <w:t xml:space="preserve"> has been worki</w:t>
      </w:r>
      <w:r w:rsidRPr="00B06331">
        <w:rPr>
          <w:rFonts w:ascii="Avenir Book" w:eastAsia="MS Mincho" w:hAnsi="Avenir Book"/>
        </w:rPr>
        <w:t>ng with partners to increase</w:t>
      </w:r>
      <w:r w:rsidR="003A5A07" w:rsidRPr="00B06331">
        <w:rPr>
          <w:rFonts w:ascii="Avenir Book" w:eastAsia="MS Mincho" w:hAnsi="Avenir Book"/>
        </w:rPr>
        <w:t xml:space="preserve"> contraceptive prevalence rate, reduce the unmet need for modern contraceptive</w:t>
      </w:r>
      <w:r w:rsidRPr="00B06331">
        <w:rPr>
          <w:rFonts w:ascii="Avenir Book" w:eastAsia="MS Mincho" w:hAnsi="Avenir Book"/>
        </w:rPr>
        <w:t>s</w:t>
      </w:r>
      <w:r w:rsidR="003A5A07" w:rsidRPr="00B06331">
        <w:rPr>
          <w:rFonts w:ascii="Avenir Book" w:eastAsia="MS Mincho" w:hAnsi="Avenir Book"/>
        </w:rPr>
        <w:t xml:space="preserve"> and thereby reduce fertility which can ultimately reduce maternal mortality by 30</w:t>
      </w:r>
      <w:r w:rsidR="002A5775" w:rsidRPr="00B06331">
        <w:rPr>
          <w:rFonts w:ascii="Avenir Book" w:eastAsia="MS Mincho" w:hAnsi="Avenir Book"/>
        </w:rPr>
        <w:t xml:space="preserve">%. </w:t>
      </w:r>
      <w:r w:rsidR="00DB21D8" w:rsidRPr="00B06331">
        <w:rPr>
          <w:rFonts w:ascii="Avenir Book" w:eastAsia="MS Mincho" w:hAnsi="Avenir Book"/>
        </w:rPr>
        <w:t>Gambia’s high</w:t>
      </w:r>
      <w:r w:rsidR="003A5A07" w:rsidRPr="00B06331">
        <w:rPr>
          <w:rFonts w:ascii="Avenir Book" w:eastAsia="MS Mincho" w:hAnsi="Avenir Book"/>
        </w:rPr>
        <w:t xml:space="preserve"> fertility</w:t>
      </w:r>
      <w:r w:rsidR="002A5775" w:rsidRPr="00B06331">
        <w:rPr>
          <w:rFonts w:ascii="Avenir Book" w:eastAsia="MS Mincho" w:hAnsi="Avenir Book"/>
        </w:rPr>
        <w:t xml:space="preserve"> rate</w:t>
      </w:r>
      <w:r w:rsidR="003A5A07" w:rsidRPr="00B06331">
        <w:rPr>
          <w:rFonts w:ascii="Avenir Book" w:eastAsia="MS Mincho" w:hAnsi="Avenir Book"/>
        </w:rPr>
        <w:t xml:space="preserve"> is attributed to the low utilization of family planning </w:t>
      </w:r>
      <w:r w:rsidR="002A5775" w:rsidRPr="00B06331">
        <w:rPr>
          <w:rFonts w:ascii="Avenir Book" w:eastAsia="MS Mincho" w:hAnsi="Avenir Book"/>
        </w:rPr>
        <w:t xml:space="preserve">services </w:t>
      </w:r>
      <w:r w:rsidR="003A5A07" w:rsidRPr="00B06331">
        <w:rPr>
          <w:rFonts w:ascii="Avenir Book" w:eastAsia="MS Mincho" w:hAnsi="Avenir Book"/>
        </w:rPr>
        <w:t>despite high knowledge and access to the facilities.  To this end, Family Planning will be strengthened by reviewing and updating existing FP tools, building capacity of service providers on FP technologies, procuring adequate mixed of contraceptive commodities to satisfy varied needs and by active community/stakeholder engagements.</w:t>
      </w:r>
    </w:p>
    <w:p w:rsidR="003A5A07" w:rsidRPr="00B06331" w:rsidRDefault="003A5A07" w:rsidP="003A5A07">
      <w:pPr>
        <w:tabs>
          <w:tab w:val="left" w:pos="1770"/>
        </w:tabs>
        <w:rPr>
          <w:rFonts w:ascii="Avenir Book" w:eastAsia="MS Mincho" w:hAnsi="Avenir Book"/>
          <w:b/>
        </w:rPr>
      </w:pPr>
      <w:r w:rsidRPr="00B06331">
        <w:rPr>
          <w:rFonts w:ascii="Avenir Book" w:eastAsia="MS Mincho" w:hAnsi="Avenir Book"/>
          <w:b/>
        </w:rPr>
        <w:t xml:space="preserve">Strengthen the provision of logistics, infrastructure, equipment, transport and supplies at all levels. </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The National Medicines Policy (NMP) aims to contribute to the attainment of quality health services f</w:t>
      </w:r>
      <w:r w:rsidR="002A5775" w:rsidRPr="00B06331">
        <w:rPr>
          <w:rFonts w:ascii="Avenir Book" w:eastAsia="MS Mincho" w:hAnsi="Avenir Book"/>
        </w:rPr>
        <w:t xml:space="preserve">or the population </w:t>
      </w:r>
      <w:r w:rsidRPr="00B06331">
        <w:rPr>
          <w:rFonts w:ascii="Avenir Book" w:eastAsia="MS Mincho" w:hAnsi="Avenir Book"/>
        </w:rPr>
        <w:t xml:space="preserve">through ensuring the continuous availability, accessibility of essential medicines and other health commodities of appropriate quality, safety, and efficacy and by promoting their rational use. Consequently, Government will collaborate with other stakeholders to strengthen an effective and </w:t>
      </w:r>
      <w:r w:rsidRPr="00B06331">
        <w:rPr>
          <w:rFonts w:ascii="Avenir Book" w:eastAsia="MS Mincho" w:hAnsi="Avenir Book"/>
        </w:rPr>
        <w:lastRenderedPageBreak/>
        <w:t>sustainable supply chain management system for drugs and other commodities including basic equipment.</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Government will also invest i</w:t>
      </w:r>
      <w:r w:rsidR="002A5775" w:rsidRPr="00B06331">
        <w:rPr>
          <w:rFonts w:ascii="Avenir Book" w:eastAsia="MS Mincho" w:hAnsi="Avenir Book"/>
        </w:rPr>
        <w:t>n health infrastructures in o</w:t>
      </w:r>
      <w:r w:rsidRPr="00B06331">
        <w:rPr>
          <w:rFonts w:ascii="Avenir Book" w:eastAsia="MS Mincho" w:hAnsi="Avenir Book"/>
        </w:rPr>
        <w:t>r</w:t>
      </w:r>
      <w:r w:rsidR="002A5775" w:rsidRPr="00B06331">
        <w:rPr>
          <w:rFonts w:ascii="Avenir Book" w:eastAsia="MS Mincho" w:hAnsi="Avenir Book"/>
        </w:rPr>
        <w:t>der</w:t>
      </w:r>
      <w:r w:rsidRPr="00B06331">
        <w:rPr>
          <w:rFonts w:ascii="Avenir Book" w:eastAsia="MS Mincho" w:hAnsi="Avenir Book"/>
        </w:rPr>
        <w:t xml:space="preserve"> to address and achieve equitable geographical access to health care. The dilapidated facilities at community levels will be refurbished and thus expand primary health care services. In addition, Government will investment in transport used especially for referrals and so strengthen the linkage between communities and health facilities as well as</w:t>
      </w:r>
      <w:r w:rsidR="00BC2900" w:rsidRPr="00B06331">
        <w:rPr>
          <w:rFonts w:ascii="Avenir Book" w:eastAsia="MS Mincho" w:hAnsi="Avenir Book"/>
        </w:rPr>
        <w:t xml:space="preserve"> improve access to healthcare. </w:t>
      </w:r>
    </w:p>
    <w:p w:rsidR="003A5A07" w:rsidRPr="00B06331" w:rsidRDefault="003A5A07" w:rsidP="003A5A07">
      <w:pPr>
        <w:tabs>
          <w:tab w:val="left" w:pos="1770"/>
        </w:tabs>
        <w:rPr>
          <w:rFonts w:ascii="Avenir Book" w:eastAsia="MS Mincho" w:hAnsi="Avenir Book"/>
          <w:b/>
        </w:rPr>
      </w:pPr>
      <w:r w:rsidRPr="00B06331">
        <w:rPr>
          <w:rFonts w:ascii="Avenir Book" w:eastAsia="MS Mincho" w:hAnsi="Avenir Book"/>
          <w:b/>
        </w:rPr>
        <w:t xml:space="preserve">Strengthen Social and Behavioral Change Communication (SBCC) for improved health and wellbeing at all levels. </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 xml:space="preserve">Community utilization of health service delivery and adoption of ideal health </w:t>
      </w:r>
      <w:r w:rsidR="00DB21D8" w:rsidRPr="00B06331">
        <w:rPr>
          <w:rFonts w:ascii="Avenir Book" w:eastAsia="MS Mincho" w:hAnsi="Avenir Book"/>
        </w:rPr>
        <w:t>behavior</w:t>
      </w:r>
      <w:r w:rsidRPr="00B06331">
        <w:rPr>
          <w:rFonts w:ascii="Avenir Book" w:eastAsia="MS Mincho" w:hAnsi="Avenir Book"/>
        </w:rPr>
        <w:t xml:space="preserve"> is paramount in any health program delivery. Government will use SBCC to continuously mobilize communities for community action on different health interventions especially </w:t>
      </w:r>
      <w:r w:rsidR="002A5775" w:rsidRPr="00B06331">
        <w:rPr>
          <w:rFonts w:ascii="Avenir Book" w:eastAsia="MS Mincho" w:hAnsi="Avenir Book"/>
        </w:rPr>
        <w:t xml:space="preserve">those </w:t>
      </w:r>
      <w:r w:rsidRPr="00B06331">
        <w:rPr>
          <w:rFonts w:ascii="Avenir Book" w:eastAsia="MS Mincho" w:hAnsi="Avenir Book"/>
        </w:rPr>
        <w:t xml:space="preserve">relating to maternal and child health and nutrition. This will be done using organized community groups such as the interpersonal communication networks (village Support Groups, Village Development Committees, Traditional communicators, and drama groups) as well as the use of mass media communication forums in order to foster dialogue and </w:t>
      </w:r>
      <w:r w:rsidR="002A5775" w:rsidRPr="00B06331">
        <w:rPr>
          <w:rFonts w:ascii="Avenir Book" w:eastAsia="MS Mincho" w:hAnsi="Avenir Book"/>
        </w:rPr>
        <w:t>raise</w:t>
      </w:r>
      <w:r w:rsidRPr="00B06331">
        <w:rPr>
          <w:rFonts w:ascii="Avenir Book" w:eastAsia="MS Mincho" w:hAnsi="Avenir Book"/>
        </w:rPr>
        <w:t xml:space="preserve"> awareness of the general public for the effective uptake of health interventions. </w:t>
      </w:r>
    </w:p>
    <w:p w:rsidR="00BC2900" w:rsidRPr="00B06331" w:rsidRDefault="00BC2900" w:rsidP="003A5A07">
      <w:pPr>
        <w:tabs>
          <w:tab w:val="left" w:pos="1770"/>
        </w:tabs>
        <w:rPr>
          <w:rFonts w:ascii="Avenir Book" w:eastAsia="MS Mincho" w:hAnsi="Avenir Book"/>
          <w:b/>
          <w:i/>
          <w:color w:val="4472C4" w:themeColor="accent1"/>
        </w:rPr>
      </w:pPr>
      <w:r w:rsidRPr="00B06331">
        <w:rPr>
          <w:rFonts w:ascii="Avenir Book" w:eastAsia="MS Mincho" w:hAnsi="Avenir Book"/>
          <w:b/>
          <w:i/>
          <w:color w:val="4472C4" w:themeColor="accent1"/>
        </w:rPr>
        <w:t>Outcome 4.5: Reduced burden of Communicable and non-Communicable Diseases and enhanced capacity to respond to Public Health Emergencies</w:t>
      </w:r>
    </w:p>
    <w:p w:rsidR="00EB7E8A" w:rsidRPr="00B06331" w:rsidRDefault="003A5A07" w:rsidP="003A5A07">
      <w:pPr>
        <w:tabs>
          <w:tab w:val="left" w:pos="1770"/>
        </w:tabs>
        <w:rPr>
          <w:rFonts w:ascii="Avenir Book" w:eastAsia="MS Mincho" w:hAnsi="Avenir Book"/>
        </w:rPr>
      </w:pPr>
      <w:r w:rsidRPr="00B06331">
        <w:rPr>
          <w:rFonts w:ascii="Avenir Book" w:eastAsia="MS Mincho" w:hAnsi="Avenir Book"/>
        </w:rPr>
        <w:t>As the country continues to grapple with the traditional communicable diseases such as STIs, and tuberculosis, there is a rising tide of non-communicable disease linked to changes in life style and diet. Governments will therefore take measures to address both facets of the disease burden through the following interventions:</w:t>
      </w:r>
    </w:p>
    <w:p w:rsidR="003A5A07" w:rsidRPr="00B06331" w:rsidRDefault="003A5A07" w:rsidP="003A5A07">
      <w:pPr>
        <w:tabs>
          <w:tab w:val="left" w:pos="1770"/>
        </w:tabs>
        <w:rPr>
          <w:rFonts w:ascii="Avenir Book" w:eastAsia="MS Mincho" w:hAnsi="Avenir Book"/>
          <w:b/>
        </w:rPr>
      </w:pPr>
      <w:r w:rsidRPr="00B06331">
        <w:rPr>
          <w:rFonts w:ascii="Avenir Book" w:eastAsia="MS Mincho" w:hAnsi="Avenir Book"/>
          <w:b/>
        </w:rPr>
        <w:t>Build institutional/ health workforce capacity at all levels to respond to communicable and non- communicable diseases as well as public health emergencies preparedness</w:t>
      </w:r>
    </w:p>
    <w:p w:rsidR="003A5A07" w:rsidRPr="00B06331" w:rsidRDefault="002A5775" w:rsidP="003A5A07">
      <w:pPr>
        <w:tabs>
          <w:tab w:val="left" w:pos="1770"/>
        </w:tabs>
        <w:rPr>
          <w:rFonts w:ascii="Avenir Book" w:eastAsia="MS Mincho" w:hAnsi="Avenir Book"/>
        </w:rPr>
      </w:pPr>
      <w:r w:rsidRPr="00B06331">
        <w:rPr>
          <w:rFonts w:ascii="Avenir Book" w:eastAsia="MS Mincho" w:hAnsi="Avenir Book"/>
        </w:rPr>
        <w:t>To support the scaling</w:t>
      </w:r>
      <w:r w:rsidR="003A5A07" w:rsidRPr="00B06331">
        <w:rPr>
          <w:rFonts w:ascii="Avenir Book" w:eastAsia="MS Mincho" w:hAnsi="Avenir Book"/>
        </w:rPr>
        <w:t xml:space="preserve"> up of communicable disease reduction, it is important to expand the availability of HIV services, Sexually Transmissible Infections (STIs), Malaria, Tuberculosis, eye health diagnosis and treatment. Government will provide equipment and laboratory supplies to ensure quality and consistent services. PMTCT sites will be increased from current 57 sites to 72 sites by 2021. The first opportunity for scaling up e-MTCT is to ensure all ANC sites provide HCT services. e-MTCT will be integrated within ANC, staff trained on HCT and test kits supplied to enable these sites to provide the </w:t>
      </w:r>
      <w:r w:rsidRPr="00B06331">
        <w:rPr>
          <w:rFonts w:ascii="Avenir Book" w:eastAsia="MS Mincho" w:hAnsi="Avenir Book"/>
        </w:rPr>
        <w:t xml:space="preserve">required </w:t>
      </w:r>
      <w:r w:rsidR="003A5A07" w:rsidRPr="00B06331">
        <w:rPr>
          <w:rFonts w:ascii="Avenir Book" w:eastAsia="MS Mincho" w:hAnsi="Avenir Book"/>
        </w:rPr>
        <w:t>service</w:t>
      </w:r>
      <w:r w:rsidRPr="00B06331">
        <w:rPr>
          <w:rFonts w:ascii="Avenir Book" w:eastAsia="MS Mincho" w:hAnsi="Avenir Book"/>
        </w:rPr>
        <w:t>s</w:t>
      </w:r>
      <w:r w:rsidR="003A5A07" w:rsidRPr="00B06331">
        <w:rPr>
          <w:rFonts w:ascii="Avenir Book" w:eastAsia="MS Mincho" w:hAnsi="Avenir Book"/>
        </w:rPr>
        <w:t>.</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 xml:space="preserve">The Gambia adopted Seasonal Malaria Chemoprevention strategy(SMC) strategy in 2014. To complement the strategy’s implementation in the hotspots of URR and CRR, SMC will be scaled up to cover Western Health Region 2, NBR AND LRR during the plan period. </w:t>
      </w:r>
    </w:p>
    <w:p w:rsidR="003A5A07" w:rsidRPr="00B06331" w:rsidRDefault="002A5775" w:rsidP="003A5A07">
      <w:pPr>
        <w:tabs>
          <w:tab w:val="left" w:pos="1770"/>
        </w:tabs>
        <w:rPr>
          <w:rFonts w:ascii="Avenir Book" w:eastAsia="MS Mincho" w:hAnsi="Avenir Book"/>
        </w:rPr>
      </w:pPr>
      <w:r w:rsidRPr="00B06331">
        <w:rPr>
          <w:rFonts w:ascii="Avenir Book" w:eastAsia="MS Mincho" w:hAnsi="Avenir Book"/>
        </w:rPr>
        <w:lastRenderedPageBreak/>
        <w:t>Government</w:t>
      </w:r>
      <w:r w:rsidR="003A5A07" w:rsidRPr="00B06331">
        <w:rPr>
          <w:rFonts w:ascii="Avenir Book" w:eastAsia="MS Mincho" w:hAnsi="Avenir Book"/>
        </w:rPr>
        <w:t xml:space="preserve"> will also strengthen the management of Drug Resistant Tuberculosis (DR-TB) in this plan. When c</w:t>
      </w:r>
      <w:r w:rsidRPr="00B06331">
        <w:rPr>
          <w:rFonts w:ascii="Avenir Book" w:eastAsia="MS Mincho" w:hAnsi="Avenir Book"/>
        </w:rPr>
        <w:t>onfronted with DR-TB, the country</w:t>
      </w:r>
      <w:r w:rsidR="003A5A07" w:rsidRPr="00B06331">
        <w:rPr>
          <w:rFonts w:ascii="Avenir Book" w:eastAsia="MS Mincho" w:hAnsi="Avenir Book"/>
        </w:rPr>
        <w:t xml:space="preserve"> lacks standard facil</w:t>
      </w:r>
      <w:r w:rsidRPr="00B06331">
        <w:rPr>
          <w:rFonts w:ascii="Avenir Book" w:eastAsia="MS Mincho" w:hAnsi="Avenir Book"/>
        </w:rPr>
        <w:t>ities to admit patients especially</w:t>
      </w:r>
      <w:r w:rsidR="003A5A07" w:rsidRPr="00B06331">
        <w:rPr>
          <w:rFonts w:ascii="Avenir Book" w:eastAsia="MS Mincho" w:hAnsi="Avenir Book"/>
        </w:rPr>
        <w:t xml:space="preserve"> during the intensive phase of treatment. In add</w:t>
      </w:r>
      <w:r w:rsidRPr="00B06331">
        <w:rPr>
          <w:rFonts w:ascii="Avenir Book" w:eastAsia="MS Mincho" w:hAnsi="Avenir Book"/>
        </w:rPr>
        <w:t>ition, some of the category two</w:t>
      </w:r>
      <w:r w:rsidR="003A5A07" w:rsidRPr="00B06331">
        <w:rPr>
          <w:rFonts w:ascii="Avenir Book" w:eastAsia="MS Mincho" w:hAnsi="Avenir Book"/>
        </w:rPr>
        <w:t xml:space="preserve"> TB patients need to be admitted</w:t>
      </w:r>
      <w:r w:rsidRPr="00B06331">
        <w:rPr>
          <w:rFonts w:ascii="Avenir Book" w:eastAsia="MS Mincho" w:hAnsi="Avenir Book"/>
        </w:rPr>
        <w:t xml:space="preserve"> tominimize</w:t>
      </w:r>
      <w:r w:rsidR="003A5A07" w:rsidRPr="00B06331">
        <w:rPr>
          <w:rFonts w:ascii="Avenir Book" w:eastAsia="MS Mincho" w:hAnsi="Avenir Book"/>
        </w:rPr>
        <w:t xml:space="preserve"> the risk of transmitting TB especially drug resistant strain</w:t>
      </w:r>
      <w:r w:rsidRPr="00B06331">
        <w:rPr>
          <w:rFonts w:ascii="Avenir Book" w:eastAsia="MS Mincho" w:hAnsi="Avenir Book"/>
        </w:rPr>
        <w:t>s in the community.</w:t>
      </w:r>
      <w:r w:rsidR="003A5A07" w:rsidRPr="00B06331">
        <w:rPr>
          <w:rFonts w:ascii="Avenir Book" w:eastAsia="MS Mincho" w:hAnsi="Avenir Book"/>
        </w:rPr>
        <w:t xml:space="preserve"> Government will work on building standard TB treatment/DR-TB facilities that conforms to infecti</w:t>
      </w:r>
      <w:r w:rsidRPr="00B06331">
        <w:rPr>
          <w:rFonts w:ascii="Avenir Book" w:eastAsia="MS Mincho" w:hAnsi="Avenir Book"/>
        </w:rPr>
        <w:t>on control standards and sheltered</w:t>
      </w:r>
      <w:r w:rsidR="003A5A07" w:rsidRPr="00B06331">
        <w:rPr>
          <w:rFonts w:ascii="Avenir Book" w:eastAsia="MS Mincho" w:hAnsi="Avenir Book"/>
        </w:rPr>
        <w:t xml:space="preserve"> from a polluted environment. </w:t>
      </w:r>
    </w:p>
    <w:p w:rsidR="003A5A07" w:rsidRPr="00B06331" w:rsidRDefault="002A5775" w:rsidP="003A5A07">
      <w:pPr>
        <w:tabs>
          <w:tab w:val="left" w:pos="1770"/>
        </w:tabs>
        <w:rPr>
          <w:rFonts w:ascii="Avenir Book" w:eastAsia="MS Mincho" w:hAnsi="Avenir Book"/>
        </w:rPr>
      </w:pPr>
      <w:r w:rsidRPr="00B06331">
        <w:rPr>
          <w:rFonts w:ascii="Avenir Book" w:eastAsia="MS Mincho" w:hAnsi="Avenir Book"/>
        </w:rPr>
        <w:t>The m</w:t>
      </w:r>
      <w:r w:rsidR="003A5A07" w:rsidRPr="00B06331">
        <w:rPr>
          <w:rFonts w:ascii="Avenir Book" w:eastAsia="MS Mincho" w:hAnsi="Avenir Book"/>
        </w:rPr>
        <w:t>ajority of Gambians remain uninformed about various aspects of viral hepatitis, including mode of transmission, associated adverse health effects, the need for testing and care, and the availability of treatment. This state of affairs will be remedied through the establishment and integration of hepatitis services into the existing RCH services across the country.</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 xml:space="preserve">The Gambia is experiencing </w:t>
      </w:r>
      <w:r w:rsidR="002A5775" w:rsidRPr="00B06331">
        <w:rPr>
          <w:rFonts w:ascii="Avenir Book" w:eastAsia="MS Mincho" w:hAnsi="Avenir Book"/>
        </w:rPr>
        <w:t xml:space="preserve">a </w:t>
      </w:r>
      <w:r w:rsidRPr="00B06331">
        <w:rPr>
          <w:rFonts w:ascii="Avenir Book" w:eastAsia="MS Mincho" w:hAnsi="Avenir Book"/>
        </w:rPr>
        <w:t xml:space="preserve">significant burden of non-communicable diseases/conditions such as diabetes, cancer, chronic respiratory infections, hypertension, road traffic crashes and mental disorders. This is due, in part, to </w:t>
      </w:r>
      <w:r w:rsidR="002A5775" w:rsidRPr="00B06331">
        <w:rPr>
          <w:rFonts w:ascii="Avenir Book" w:eastAsia="MS Mincho" w:hAnsi="Avenir Book"/>
        </w:rPr>
        <w:t>rapidly changing lifestyles</w:t>
      </w:r>
      <w:r w:rsidRPr="00B06331">
        <w:rPr>
          <w:rFonts w:ascii="Avenir Book" w:eastAsia="MS Mincho" w:hAnsi="Avenir Book"/>
        </w:rPr>
        <w:t xml:space="preserve"> leading to reduced physical activity, changing diets and increased tobacco and</w:t>
      </w:r>
      <w:r w:rsidR="002A5775" w:rsidRPr="00B06331">
        <w:rPr>
          <w:rFonts w:ascii="Avenir Book" w:eastAsia="MS Mincho" w:hAnsi="Avenir Book"/>
        </w:rPr>
        <w:t xml:space="preserve"> alcohol use. This trend ismore noticeable today, affects</w:t>
      </w:r>
      <w:r w:rsidRPr="00B06331">
        <w:rPr>
          <w:rFonts w:ascii="Avenir Book" w:eastAsia="MS Mincho" w:hAnsi="Avenir Book"/>
        </w:rPr>
        <w:t xml:space="preserve"> all societies, rich and poor. Government will adopt multiple strategies such as SBCC for preventive measures and dedicated clinics for management of patients.  A Reference laboratory will be equipped with specialized equipment, a quality assured system will be established to ensure proper handling of samples from service delivery points to the laboratory facilities and staff both at the service delivery points and laboratories will be trained on diagnostics.  </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To address the acute shortage of human resources for the health sector, Government will develop and implement the fifteen-year human resource projection and comprehensive training plan. It will also strengthen the management of this resource by putting in place a performance-based management system and incentive scheme.</w:t>
      </w:r>
    </w:p>
    <w:p w:rsidR="006C01A7" w:rsidRPr="00B06331" w:rsidRDefault="003A5A07" w:rsidP="003A5A07">
      <w:pPr>
        <w:tabs>
          <w:tab w:val="left" w:pos="1770"/>
        </w:tabs>
        <w:rPr>
          <w:rFonts w:ascii="Avenir Book" w:eastAsia="MS Mincho" w:hAnsi="Avenir Book"/>
        </w:rPr>
      </w:pPr>
      <w:r w:rsidRPr="00B06331">
        <w:rPr>
          <w:rFonts w:ascii="Avenir Book" w:eastAsia="MS Mincho" w:hAnsi="Avenir Book"/>
        </w:rPr>
        <w:t>Government will also review and implement the 15-year human resource projection and comprehensive training plan. The human resource projection including comprehensive training plan was developed with</w:t>
      </w:r>
      <w:r w:rsidR="006C01A7" w:rsidRPr="00B06331">
        <w:rPr>
          <w:rFonts w:ascii="Avenir Book" w:eastAsia="MS Mincho" w:hAnsi="Avenir Book"/>
        </w:rPr>
        <w:t xml:space="preserve"> partners in 2005 to</w:t>
      </w:r>
      <w:r w:rsidRPr="00B06331">
        <w:rPr>
          <w:rFonts w:ascii="Avenir Book" w:eastAsia="MS Mincho" w:hAnsi="Avenir Book"/>
        </w:rPr>
        <w:t xml:space="preserve"> support education, training, and skills development in line with national health priorities with the objective of meeting at least 50% of the required human resources </w:t>
      </w:r>
      <w:r w:rsidR="006C01A7" w:rsidRPr="00B06331">
        <w:rPr>
          <w:rFonts w:ascii="Avenir Book" w:eastAsia="MS Mincho" w:hAnsi="Avenir Book"/>
        </w:rPr>
        <w:t>needs for health</w:t>
      </w:r>
      <w:r w:rsidRPr="00B06331">
        <w:rPr>
          <w:rFonts w:ascii="Avenir Book" w:eastAsia="MS Mincho" w:hAnsi="Avenir Book"/>
        </w:rPr>
        <w:t xml:space="preserve"> by the year 2020. </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Measures will be taken to develop and implement a performance-based management system and incentives sche</w:t>
      </w:r>
      <w:r w:rsidR="006C01A7" w:rsidRPr="00B06331">
        <w:rPr>
          <w:rFonts w:ascii="Avenir Book" w:eastAsia="MS Mincho" w:hAnsi="Avenir Book"/>
        </w:rPr>
        <w:t>me. Based on recommendation of the</w:t>
      </w:r>
      <w:r w:rsidRPr="00B06331">
        <w:rPr>
          <w:rFonts w:ascii="Avenir Book" w:eastAsia="MS Mincho" w:hAnsi="Avenir Book"/>
        </w:rPr>
        <w:t xml:space="preserve"> Human Resource Situational Analysis (HRSA) 2003 report, the current incentive package was created for Ministry of Health and Soc</w:t>
      </w:r>
      <w:r w:rsidR="006C01A7" w:rsidRPr="00B06331">
        <w:rPr>
          <w:rFonts w:ascii="Avenir Book" w:eastAsia="MS Mincho" w:hAnsi="Avenir Book"/>
        </w:rPr>
        <w:t>ial Welfare staff.  I</w:t>
      </w:r>
      <w:r w:rsidRPr="00B06331">
        <w:rPr>
          <w:rFonts w:ascii="Avenir Book" w:eastAsia="MS Mincho" w:hAnsi="Avenir Book"/>
        </w:rPr>
        <w:t xml:space="preserve">t was not implemented until 2008.  According to the Ministry of Health and Social Welfare/Centre for Innovation Against Malaria (CIAM) incentive study conducted in 2010, most health staff were not satisfied with both the amount and distribution of the package.  It also noted generally the </w:t>
      </w:r>
      <w:r w:rsidR="006C01A7" w:rsidRPr="00B06331">
        <w:rPr>
          <w:rFonts w:ascii="Avenir Book" w:eastAsia="MS Mincho" w:hAnsi="Avenir Book"/>
        </w:rPr>
        <w:t>package has been static and is</w:t>
      </w:r>
      <w:r w:rsidRPr="00B06331">
        <w:rPr>
          <w:rFonts w:ascii="Avenir Book" w:eastAsia="MS Mincho" w:hAnsi="Avenir Book"/>
        </w:rPr>
        <w:t xml:space="preserve"> not commensurate with cost of living. Government will therefore review and implement a comprehensive incentive package that meets the </w:t>
      </w:r>
      <w:r w:rsidR="006C01A7" w:rsidRPr="00B06331">
        <w:rPr>
          <w:rFonts w:ascii="Avenir Book" w:eastAsia="MS Mincho" w:hAnsi="Avenir Book"/>
        </w:rPr>
        <w:t>economic realities</w:t>
      </w:r>
      <w:r w:rsidRPr="00B06331">
        <w:rPr>
          <w:rFonts w:ascii="Avenir Book" w:eastAsia="MS Mincho" w:hAnsi="Avenir Book"/>
        </w:rPr>
        <w:t>.</w:t>
      </w:r>
    </w:p>
    <w:p w:rsidR="003A5A07" w:rsidRPr="00B06331" w:rsidRDefault="003A5A07" w:rsidP="003A5A07">
      <w:pPr>
        <w:tabs>
          <w:tab w:val="left" w:pos="1770"/>
        </w:tabs>
        <w:rPr>
          <w:rFonts w:ascii="Avenir Book" w:eastAsia="MS Mincho" w:hAnsi="Avenir Book"/>
          <w:b/>
        </w:rPr>
      </w:pPr>
      <w:r w:rsidRPr="00B06331">
        <w:rPr>
          <w:rFonts w:ascii="Avenir Book" w:eastAsia="MS Mincho" w:hAnsi="Avenir Book"/>
          <w:b/>
        </w:rPr>
        <w:t xml:space="preserve">Design and pilot an innovative universal health </w:t>
      </w:r>
      <w:r w:rsidR="00076564" w:rsidRPr="00B06331">
        <w:rPr>
          <w:rFonts w:ascii="Avenir Book" w:eastAsia="MS Mincho" w:hAnsi="Avenir Book"/>
          <w:b/>
        </w:rPr>
        <w:t>insurance scheme</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lastRenderedPageBreak/>
        <w:t xml:space="preserve">Current funding for the health sector is less than optimal and the available resources are inadequate to provide the required quality of health care services for the population. It is against this background that Government seeks the establishment of social health insurance schemes, as well as public-private partnerships in insurance provision to help users’ pool risk and, as a result, decrease out-of-pocket spending. Risk pooling mechanisms help ensure that the level of prepayment is increased and that user fees and other out-of-pocket payments are reduced, thereby reducing households’ vulnerability to the cost of health care. The government will pilot social health insurance with a focus on the community-based health financing and </w:t>
      </w:r>
      <w:r w:rsidR="00BC2900" w:rsidRPr="00B06331">
        <w:rPr>
          <w:rFonts w:ascii="Avenir Book" w:eastAsia="MS Mincho" w:hAnsi="Avenir Book"/>
        </w:rPr>
        <w:t>social health insurance models.</w:t>
      </w:r>
    </w:p>
    <w:p w:rsidR="003A5A07" w:rsidRPr="00B06331" w:rsidRDefault="00076564" w:rsidP="003A5A07">
      <w:pPr>
        <w:tabs>
          <w:tab w:val="left" w:pos="1770"/>
        </w:tabs>
        <w:rPr>
          <w:rFonts w:ascii="Avenir Book" w:eastAsia="MS Mincho" w:hAnsi="Avenir Book"/>
          <w:b/>
        </w:rPr>
      </w:pPr>
      <w:r w:rsidRPr="00B06331">
        <w:rPr>
          <w:rFonts w:ascii="Avenir Book" w:eastAsia="MS Mincho" w:hAnsi="Avenir Book"/>
          <w:b/>
        </w:rPr>
        <w:t>Establish a Health Partnership Framework to improve governance, s</w:t>
      </w:r>
      <w:r w:rsidR="003A5A07" w:rsidRPr="00B06331">
        <w:rPr>
          <w:rFonts w:ascii="Avenir Book" w:eastAsia="MS Mincho" w:hAnsi="Avenir Book"/>
          <w:b/>
        </w:rPr>
        <w:t xml:space="preserve">trengthen coordination and Health Information System (HIS) for effective and efficient planning and informed decision making to </w:t>
      </w:r>
      <w:r w:rsidR="00BC2900" w:rsidRPr="00B06331">
        <w:rPr>
          <w:rFonts w:ascii="Avenir Book" w:eastAsia="MS Mincho" w:hAnsi="Avenir Book"/>
          <w:b/>
        </w:rPr>
        <w:t>yield improved service delivery</w:t>
      </w:r>
    </w:p>
    <w:p w:rsidR="00076564" w:rsidRPr="00B06331" w:rsidRDefault="00076564" w:rsidP="003A5A07">
      <w:pPr>
        <w:tabs>
          <w:tab w:val="left" w:pos="1770"/>
        </w:tabs>
        <w:rPr>
          <w:rFonts w:ascii="Avenir Book" w:eastAsia="MS Mincho" w:hAnsi="Avenir Book"/>
        </w:rPr>
      </w:pPr>
      <w:r w:rsidRPr="00B06331">
        <w:rPr>
          <w:rFonts w:ascii="Avenir Book" w:eastAsia="MS Mincho" w:hAnsi="Avenir Book"/>
        </w:rPr>
        <w:t>Government in concert with development partners will establish a Heath Partnership Framework to improve governance in the health sector, and “implementation of one-health-strategic plan”. With improved coordination and partnerships, health system challenges will be solved around the table using a coordination framework such as the Country Compact. In addition, a donor-partner coordinating tool known as the Strategic Partnership Portal (SSP) has established for all countries. Government will emphasize the utilization of this tool during the plan period as it serves as an interphase between donors and partners.</w:t>
      </w:r>
      <w:r w:rsidR="00EB7E8A" w:rsidRPr="00B06331">
        <w:rPr>
          <w:rFonts w:ascii="Avenir Book" w:eastAsia="MS Mincho" w:hAnsi="Avenir Book"/>
        </w:rPr>
        <w:t xml:space="preserve"> With this tool, government will promote transparency and enable donors and partners to know who is doing what, where and when. Therefore, overlapping of investments will be prevented. Through this tool, government will also promote inter-agency coordination, communication, and collaboration (3Cs).</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For the</w:t>
      </w:r>
      <w:r w:rsidR="00EB7E8A" w:rsidRPr="00B06331">
        <w:rPr>
          <w:rFonts w:ascii="Avenir Book" w:eastAsia="MS Mincho" w:hAnsi="Avenir Book"/>
        </w:rPr>
        <w:t xml:space="preserve"> effective implementation of the health</w:t>
      </w:r>
      <w:r w:rsidRPr="00B06331">
        <w:rPr>
          <w:rFonts w:ascii="Avenir Book" w:eastAsia="MS Mincho" w:hAnsi="Avenir Book"/>
        </w:rPr>
        <w:t xml:space="preserve"> strategy </w:t>
      </w:r>
      <w:r w:rsidR="00EB7E8A" w:rsidRPr="00B06331">
        <w:rPr>
          <w:rFonts w:ascii="Avenir Book" w:eastAsia="MS Mincho" w:hAnsi="Avenir Book"/>
        </w:rPr>
        <w:t>government will</w:t>
      </w:r>
      <w:r w:rsidRPr="00B06331">
        <w:rPr>
          <w:rFonts w:ascii="Avenir Book" w:eastAsia="MS Mincho" w:hAnsi="Avenir Book"/>
        </w:rPr>
        <w:t xml:space="preserve"> identify</w:t>
      </w:r>
      <w:r w:rsidR="00EB7E8A" w:rsidRPr="00B06331">
        <w:rPr>
          <w:rFonts w:ascii="Avenir Book" w:eastAsia="MS Mincho" w:hAnsi="Avenir Book"/>
        </w:rPr>
        <w:t xml:space="preserve"> all stakeholders and coordinateits engagements with </w:t>
      </w:r>
      <w:r w:rsidRPr="00B06331">
        <w:rPr>
          <w:rFonts w:ascii="Avenir Book" w:eastAsia="MS Mincho" w:hAnsi="Avenir Book"/>
        </w:rPr>
        <w:t xml:space="preserve">all actors </w:t>
      </w:r>
      <w:r w:rsidR="00EB7E8A" w:rsidRPr="00B06331">
        <w:rPr>
          <w:rFonts w:ascii="Avenir Book" w:eastAsia="MS Mincho" w:hAnsi="Avenir Book"/>
        </w:rPr>
        <w:t xml:space="preserve">at the </w:t>
      </w:r>
      <w:r w:rsidRPr="00B06331">
        <w:rPr>
          <w:rFonts w:ascii="Avenir Book" w:eastAsia="MS Mincho" w:hAnsi="Avenir Book"/>
        </w:rPr>
        <w:t>central, r</w:t>
      </w:r>
      <w:r w:rsidR="00EB7E8A" w:rsidRPr="00B06331">
        <w:rPr>
          <w:rFonts w:ascii="Avenir Book" w:eastAsia="MS Mincho" w:hAnsi="Avenir Book"/>
        </w:rPr>
        <w:t>egional and community levels. When</w:t>
      </w:r>
      <w:r w:rsidRPr="00B06331">
        <w:rPr>
          <w:rFonts w:ascii="Avenir Book" w:eastAsia="MS Mincho" w:hAnsi="Avenir Book"/>
        </w:rPr>
        <w:t xml:space="preserve"> all relevant structures and policies are properly harnessed, a smooth and coherent implementation of strategies will achieve the desired goals and objectives. Government will emphasize coordination, partnerships and results based planning during this NDP period.  </w:t>
      </w:r>
    </w:p>
    <w:p w:rsidR="003A5A07" w:rsidRPr="00B06331" w:rsidRDefault="003A5A07" w:rsidP="00BC2900">
      <w:pPr>
        <w:tabs>
          <w:tab w:val="left" w:pos="1770"/>
        </w:tabs>
        <w:rPr>
          <w:rFonts w:ascii="Avenir Book" w:eastAsia="MS Mincho" w:hAnsi="Avenir Book"/>
        </w:rPr>
      </w:pPr>
      <w:r w:rsidRPr="00B06331">
        <w:rPr>
          <w:rFonts w:ascii="Avenir Book" w:eastAsia="MS Mincho" w:hAnsi="Avenir Book"/>
        </w:rPr>
        <w:t xml:space="preserve">A Health Information System will also be developed to focus on information generation, validation, analysis, dissemination and utilization </w:t>
      </w:r>
      <w:r w:rsidR="00EB7E8A" w:rsidRPr="00B06331">
        <w:rPr>
          <w:rFonts w:ascii="Avenir Book" w:eastAsia="MS Mincho" w:hAnsi="Avenir Book"/>
        </w:rPr>
        <w:t>for</w:t>
      </w:r>
      <w:r w:rsidRPr="00B06331">
        <w:rPr>
          <w:rFonts w:ascii="Avenir Book" w:eastAsia="MS Mincho" w:hAnsi="Avenir Book"/>
        </w:rPr>
        <w:t xml:space="preserve"> effective and efficient plannin</w:t>
      </w:r>
      <w:r w:rsidR="00BC2900" w:rsidRPr="00B06331">
        <w:rPr>
          <w:rFonts w:ascii="Avenir Book" w:eastAsia="MS Mincho" w:hAnsi="Avenir Book"/>
        </w:rPr>
        <w:t xml:space="preserve">g and </w:t>
      </w:r>
      <w:r w:rsidR="00772C6A" w:rsidRPr="00B06331">
        <w:rPr>
          <w:rFonts w:ascii="Avenir Book" w:eastAsia="MS Mincho" w:hAnsi="Avenir Book"/>
        </w:rPr>
        <w:t>decision-making</w:t>
      </w:r>
      <w:r w:rsidR="00BC2900" w:rsidRPr="00B06331">
        <w:rPr>
          <w:rFonts w:ascii="Avenir Book" w:eastAsia="MS Mincho" w:hAnsi="Avenir Book"/>
        </w:rPr>
        <w:t xml:space="preserve"> process. </w:t>
      </w:r>
    </w:p>
    <w:p w:rsidR="003A5A07" w:rsidRPr="00B06331" w:rsidRDefault="003A5A07" w:rsidP="003A5A07">
      <w:pPr>
        <w:tabs>
          <w:tab w:val="num" w:pos="720"/>
        </w:tabs>
        <w:spacing w:after="0" w:line="240" w:lineRule="auto"/>
        <w:jc w:val="both"/>
        <w:rPr>
          <w:rFonts w:ascii="Avenir Book" w:eastAsia="MS Mincho" w:hAnsi="Avenir Book"/>
        </w:rPr>
      </w:pPr>
    </w:p>
    <w:p w:rsidR="003A5A07" w:rsidRPr="00B06331" w:rsidRDefault="00BC2900" w:rsidP="003A5A07">
      <w:pPr>
        <w:rPr>
          <w:rFonts w:ascii="Avenir Book" w:eastAsia="MS Mincho" w:hAnsi="Avenir Book"/>
          <w:b/>
          <w:i/>
          <w:color w:val="4472C4" w:themeColor="accent1"/>
        </w:rPr>
      </w:pPr>
      <w:bookmarkStart w:id="128" w:name="_Toc488080365"/>
      <w:r w:rsidRPr="00B06331">
        <w:rPr>
          <w:rFonts w:ascii="Avenir Book" w:eastAsia="MS Mincho" w:hAnsi="Avenir Book"/>
          <w:b/>
          <w:i/>
          <w:color w:val="4472C4" w:themeColor="accent1"/>
        </w:rPr>
        <w:t>Outcome 4.6: Improved, Equitable Access to Safe and Affordable Water and Sanitation, Good Hygiene Practices, and Environmental Protection Promoted for All</w:t>
      </w:r>
    </w:p>
    <w:bookmarkEnd w:id="128"/>
    <w:p w:rsidR="006C01A7" w:rsidRPr="00B06331" w:rsidRDefault="006C01A7" w:rsidP="006C01A7">
      <w:pPr>
        <w:tabs>
          <w:tab w:val="num" w:pos="720"/>
        </w:tabs>
        <w:spacing w:after="0" w:line="240" w:lineRule="auto"/>
        <w:jc w:val="both"/>
        <w:rPr>
          <w:rFonts w:ascii="Avenir Book" w:eastAsia="MS Mincho" w:hAnsi="Avenir Book"/>
        </w:rPr>
      </w:pPr>
      <w:r w:rsidRPr="00B06331">
        <w:rPr>
          <w:rFonts w:ascii="Avenir Book" w:eastAsia="MS Mincho" w:hAnsi="Avenir Book"/>
        </w:rPr>
        <w:t xml:space="preserve">As shown in Chapter 2, high population growth rate and urbanization has weakened the ability of water and sanitation services to keep pace with demand. Poor maintenance culture of water systems further complicates this. Other factors include inadequate investment and funding; weak institutional capacities and poor coordination and low hygiene and sanitation practices. The proportion of the population with access to pipe borne drinking water increased in urban areas but decreased in rural areas. Furthermore, National coverage for improved sanitation has dropped from 42.1% in 2013 to </w:t>
      </w:r>
      <w:r w:rsidRPr="00B06331">
        <w:rPr>
          <w:rFonts w:ascii="Avenir Book" w:eastAsia="MS Mincho" w:hAnsi="Avenir Book"/>
        </w:rPr>
        <w:lastRenderedPageBreak/>
        <w:t>40.3% in 2015. In addition, per capita waste generation is above the capacity of the municipal councils resulting in severe challenges in waste management.</w:t>
      </w:r>
    </w:p>
    <w:p w:rsidR="006C01A7" w:rsidRPr="00B06331" w:rsidRDefault="006C01A7" w:rsidP="00BC2900">
      <w:pPr>
        <w:tabs>
          <w:tab w:val="num" w:pos="720"/>
        </w:tabs>
        <w:spacing w:after="0"/>
        <w:jc w:val="both"/>
        <w:rPr>
          <w:rFonts w:ascii="Avenir Book" w:eastAsia="MS Mincho" w:hAnsi="Avenir Book"/>
        </w:rPr>
      </w:pPr>
    </w:p>
    <w:p w:rsidR="003A5A07" w:rsidRPr="00B06331" w:rsidRDefault="003A5A07" w:rsidP="00BC2900">
      <w:pPr>
        <w:tabs>
          <w:tab w:val="num" w:pos="720"/>
        </w:tabs>
        <w:spacing w:after="0"/>
        <w:jc w:val="both"/>
        <w:rPr>
          <w:rFonts w:ascii="Avenir Book" w:eastAsia="MS Mincho" w:hAnsi="Avenir Book"/>
        </w:rPr>
      </w:pPr>
      <w:r w:rsidRPr="00B06331">
        <w:rPr>
          <w:rFonts w:ascii="Avenir Book" w:eastAsia="MS Mincho" w:hAnsi="Avenir Book"/>
        </w:rPr>
        <w:t>During the plan period, Government will focus on improving access to safe drinking water and affordable sanitation and good h</w:t>
      </w:r>
      <w:r w:rsidR="00BC2900" w:rsidRPr="00B06331">
        <w:rPr>
          <w:rFonts w:ascii="Avenir Book" w:eastAsia="MS Mincho" w:hAnsi="Avenir Book"/>
        </w:rPr>
        <w:t xml:space="preserve">ygiene practices at all levels. </w:t>
      </w:r>
      <w:r w:rsidRPr="00B06331">
        <w:rPr>
          <w:rFonts w:ascii="Avenir Book" w:eastAsia="MS Mincho" w:hAnsi="Avenir Book"/>
        </w:rPr>
        <w:t xml:space="preserve">Key measures/interventions to be taken to ensure equitable access to safe and affordable water, </w:t>
      </w:r>
      <w:r w:rsidR="00BC2900" w:rsidRPr="00B06331">
        <w:rPr>
          <w:rFonts w:ascii="Avenir Book" w:eastAsia="MS Mincho" w:hAnsi="Avenir Book"/>
        </w:rPr>
        <w:t>sanitation,</w:t>
      </w:r>
      <w:r w:rsidRPr="00B06331">
        <w:rPr>
          <w:rFonts w:ascii="Avenir Book" w:eastAsia="MS Mincho" w:hAnsi="Avenir Book"/>
        </w:rPr>
        <w:t xml:space="preserve"> and hygiene promotion to communities across th</w:t>
      </w:r>
      <w:r w:rsidR="006C01A7" w:rsidRPr="00B06331">
        <w:rPr>
          <w:rFonts w:ascii="Avenir Book" w:eastAsia="MS Mincho" w:hAnsi="Avenir Book"/>
        </w:rPr>
        <w:t>e country</w:t>
      </w:r>
      <w:r w:rsidRPr="00B06331">
        <w:rPr>
          <w:rFonts w:ascii="Avenir Book" w:eastAsia="MS Mincho" w:hAnsi="Avenir Book"/>
        </w:rPr>
        <w:t xml:space="preserve"> will include:</w:t>
      </w:r>
    </w:p>
    <w:p w:rsidR="003A5A07" w:rsidRPr="00B06331" w:rsidRDefault="003A5A07" w:rsidP="004143E3">
      <w:pPr>
        <w:pStyle w:val="ListParagraph"/>
        <w:numPr>
          <w:ilvl w:val="0"/>
          <w:numId w:val="73"/>
        </w:numPr>
        <w:spacing w:after="160" w:line="259" w:lineRule="auto"/>
        <w:jc w:val="both"/>
        <w:rPr>
          <w:rFonts w:ascii="Avenir Book" w:eastAsia="MS Mincho" w:hAnsi="Avenir Book"/>
        </w:rPr>
      </w:pPr>
      <w:r w:rsidRPr="00B06331">
        <w:rPr>
          <w:rFonts w:ascii="Avenir Book" w:eastAsia="MS Mincho" w:hAnsi="Avenir Book"/>
          <w:b/>
        </w:rPr>
        <w:t>Mobilizing resources including through PPP for delivery and upgrading of water supply system</w:t>
      </w:r>
      <w:r w:rsidR="006C01A7" w:rsidRPr="00B06331">
        <w:rPr>
          <w:rFonts w:ascii="Avenir Book" w:eastAsia="MS Mincho" w:hAnsi="Avenir Book"/>
          <w:b/>
        </w:rPr>
        <w:t>s</w:t>
      </w:r>
      <w:r w:rsidRPr="00B06331">
        <w:rPr>
          <w:rFonts w:ascii="Avenir Book" w:eastAsia="MS Mincho" w:hAnsi="Avenir Book"/>
          <w:b/>
        </w:rPr>
        <w:t>, solid waste management, sewerage, and sanitation</w:t>
      </w:r>
      <w:r w:rsidR="00BC2900" w:rsidRPr="00B06331">
        <w:rPr>
          <w:rFonts w:ascii="Avenir Book" w:eastAsia="MS Mincho" w:hAnsi="Avenir Book"/>
        </w:rPr>
        <w:t xml:space="preserve">: </w:t>
      </w:r>
      <w:r w:rsidRPr="00B06331">
        <w:rPr>
          <w:rFonts w:ascii="Avenir Book" w:eastAsia="MS Mincho" w:hAnsi="Avenir Book"/>
        </w:rPr>
        <w:t>Government will mobilize resources through bilateral, multilateral organizations and public private sectors for the construction, rehabilitation and upgrading of water supply systems, sanitation facilities, solid waste management and sewerage. This will improve access to affordable water supply, sanitation and enhance environmental protection for communities and institutions thus ensuring a healthy population, improved productivity and enhanced socioeconomic wellbeing of the population</w:t>
      </w:r>
      <w:r w:rsidR="00BC2900" w:rsidRPr="00B06331">
        <w:rPr>
          <w:rFonts w:ascii="Avenir Book" w:eastAsia="MS Mincho" w:hAnsi="Avenir Book"/>
        </w:rPr>
        <w:t>.</w:t>
      </w:r>
    </w:p>
    <w:p w:rsidR="003A5A07" w:rsidRPr="00B06331" w:rsidRDefault="003A5A07" w:rsidP="004143E3">
      <w:pPr>
        <w:pStyle w:val="ListParagraph"/>
        <w:numPr>
          <w:ilvl w:val="0"/>
          <w:numId w:val="73"/>
        </w:numPr>
        <w:jc w:val="both"/>
        <w:rPr>
          <w:rFonts w:ascii="Avenir Book" w:eastAsia="MS Mincho" w:hAnsi="Avenir Book"/>
          <w:b/>
        </w:rPr>
      </w:pPr>
      <w:r w:rsidRPr="00B06331">
        <w:rPr>
          <w:rFonts w:ascii="Avenir Book" w:eastAsia="MS Mincho" w:hAnsi="Avenir Book"/>
          <w:b/>
        </w:rPr>
        <w:t>Strengthen</w:t>
      </w:r>
      <w:r w:rsidR="00BC2900" w:rsidRPr="00B06331">
        <w:rPr>
          <w:rFonts w:ascii="Avenir Book" w:eastAsia="MS Mincho" w:hAnsi="Avenir Book"/>
          <w:b/>
        </w:rPr>
        <w:t>ing</w:t>
      </w:r>
      <w:r w:rsidRPr="00B06331">
        <w:rPr>
          <w:rFonts w:ascii="Avenir Book" w:eastAsia="MS Mincho" w:hAnsi="Avenir Book"/>
          <w:b/>
        </w:rPr>
        <w:t xml:space="preserve"> community structures for effective maintenance and sustainable management of water resources and sanitation facilities using Integrated Water Reso</w:t>
      </w:r>
      <w:r w:rsidR="00BC2900" w:rsidRPr="00B06331">
        <w:rPr>
          <w:rFonts w:ascii="Avenir Book" w:eastAsia="MS Mincho" w:hAnsi="Avenir Book"/>
          <w:b/>
        </w:rPr>
        <w:t xml:space="preserve">urce Management (IWRM) approach: </w:t>
      </w:r>
      <w:r w:rsidRPr="00B06331">
        <w:rPr>
          <w:rFonts w:ascii="Avenir Book" w:eastAsia="MS Mincho" w:hAnsi="Avenir Book"/>
        </w:rPr>
        <w:t xml:space="preserve">The sustainable management of water supply systems in communities and institutions is the responsibilities of the beneficiaries. In this regard, Government will sensitize, train, form and strengthen community management structures to </w:t>
      </w:r>
      <w:r w:rsidR="006C01A7" w:rsidRPr="00B06331">
        <w:rPr>
          <w:rFonts w:ascii="Avenir Book" w:eastAsia="MS Mincho" w:hAnsi="Avenir Book"/>
        </w:rPr>
        <w:t xml:space="preserve">capacitate them </w:t>
      </w:r>
      <w:r w:rsidR="00293C9C" w:rsidRPr="00B06331">
        <w:rPr>
          <w:rFonts w:ascii="Avenir Book" w:eastAsia="MS Mincho" w:hAnsi="Avenir Book"/>
        </w:rPr>
        <w:t xml:space="preserve">to </w:t>
      </w:r>
      <w:r w:rsidRPr="00B06331">
        <w:rPr>
          <w:rFonts w:ascii="Avenir Book" w:eastAsia="MS Mincho" w:hAnsi="Avenir Book"/>
        </w:rPr>
        <w:t>be able to operate, manage and sustain the water su</w:t>
      </w:r>
      <w:r w:rsidR="00293C9C" w:rsidRPr="00B06331">
        <w:rPr>
          <w:rFonts w:ascii="Avenir Book" w:eastAsia="MS Mincho" w:hAnsi="Avenir Book"/>
        </w:rPr>
        <w:t>pply and sanitation systems and ensure availability in</w:t>
      </w:r>
      <w:r w:rsidRPr="00B06331">
        <w:rPr>
          <w:rFonts w:ascii="Avenir Book" w:eastAsia="MS Mincho" w:hAnsi="Avenir Book"/>
        </w:rPr>
        <w:t xml:space="preserve"> communities and institutions.  </w:t>
      </w:r>
    </w:p>
    <w:p w:rsidR="003A5A07" w:rsidRPr="00B06331" w:rsidRDefault="003A5A07" w:rsidP="004143E3">
      <w:pPr>
        <w:pStyle w:val="ListParagraph"/>
        <w:numPr>
          <w:ilvl w:val="0"/>
          <w:numId w:val="73"/>
        </w:numPr>
        <w:spacing w:after="160" w:line="259" w:lineRule="auto"/>
        <w:jc w:val="both"/>
        <w:rPr>
          <w:rFonts w:ascii="Avenir Book" w:eastAsia="MS Mincho" w:hAnsi="Avenir Book"/>
          <w:b/>
        </w:rPr>
      </w:pPr>
      <w:r w:rsidRPr="00B06331">
        <w:rPr>
          <w:rFonts w:ascii="Avenir Book" w:eastAsia="MS Mincho" w:hAnsi="Avenir Book"/>
          <w:b/>
        </w:rPr>
        <w:t xml:space="preserve">Strengthening Social Behavioral Change Communication (SBCC) approach for sanitation and </w:t>
      </w:r>
      <w:r w:rsidR="00BC2900" w:rsidRPr="00B06331">
        <w:rPr>
          <w:rFonts w:ascii="Avenir Book" w:eastAsia="MS Mincho" w:hAnsi="Avenir Book"/>
          <w:b/>
        </w:rPr>
        <w:t xml:space="preserve">hygiene promotion at all levels: </w:t>
      </w:r>
      <w:r w:rsidRPr="00B06331">
        <w:rPr>
          <w:rFonts w:ascii="Avenir Book" w:eastAsia="MS Mincho" w:hAnsi="Avenir Book"/>
        </w:rPr>
        <w:t xml:space="preserve">The availability of basic sanitation facilities for the general population contributes </w:t>
      </w:r>
      <w:r w:rsidR="00293C9C" w:rsidRPr="00B06331">
        <w:rPr>
          <w:rFonts w:ascii="Avenir Book" w:eastAsia="MS Mincho" w:hAnsi="Avenir Book"/>
        </w:rPr>
        <w:t>to improved health</w:t>
      </w:r>
      <w:r w:rsidRPr="00B06331">
        <w:rPr>
          <w:rFonts w:ascii="Avenir Book" w:eastAsia="MS Mincho" w:hAnsi="Avenir Book"/>
        </w:rPr>
        <w:t xml:space="preserve">. Government will therefore </w:t>
      </w:r>
      <w:r w:rsidR="00BC2900" w:rsidRPr="00B06331">
        <w:rPr>
          <w:rFonts w:ascii="Avenir Book" w:eastAsia="MS Mincho" w:hAnsi="Avenir Book"/>
        </w:rPr>
        <w:t>mobilize</w:t>
      </w:r>
      <w:r w:rsidRPr="00B06331">
        <w:rPr>
          <w:rFonts w:ascii="Avenir Book" w:eastAsia="MS Mincho" w:hAnsi="Avenir Book"/>
        </w:rPr>
        <w:t xml:space="preserve"> the needed resources, including through private sector participation to construct, </w:t>
      </w:r>
      <w:r w:rsidR="00BC2900" w:rsidRPr="00B06331">
        <w:rPr>
          <w:rFonts w:ascii="Avenir Book" w:eastAsia="MS Mincho" w:hAnsi="Avenir Book"/>
        </w:rPr>
        <w:t>rehabilitate,</w:t>
      </w:r>
      <w:r w:rsidRPr="00B06331">
        <w:rPr>
          <w:rFonts w:ascii="Avenir Book" w:eastAsia="MS Mincho" w:hAnsi="Avenir Book"/>
        </w:rPr>
        <w:t xml:space="preserve"> and upgrade sanitation facilities and hand washing stations. </w:t>
      </w:r>
      <w:r w:rsidR="00BC2900" w:rsidRPr="00B06331">
        <w:rPr>
          <w:rFonts w:ascii="Avenir Book" w:eastAsia="MS Mincho" w:hAnsi="Avenir Book"/>
        </w:rPr>
        <w:t>Similarly</w:t>
      </w:r>
      <w:r w:rsidRPr="00B06331">
        <w:rPr>
          <w:rFonts w:ascii="Avenir Book" w:eastAsia="MS Mincho" w:hAnsi="Avenir Book"/>
        </w:rPr>
        <w:t xml:space="preserve">, the benefits of the Gambia’s WASH programme would be enhanced through social and </w:t>
      </w:r>
      <w:r w:rsidR="00BC2900" w:rsidRPr="00B06331">
        <w:rPr>
          <w:rFonts w:ascii="Avenir Book" w:eastAsia="MS Mincho" w:hAnsi="Avenir Book"/>
        </w:rPr>
        <w:t>behavioral</w:t>
      </w:r>
      <w:r w:rsidRPr="00B06331">
        <w:rPr>
          <w:rFonts w:ascii="Avenir Book" w:eastAsia="MS Mincho" w:hAnsi="Avenir Book"/>
        </w:rPr>
        <w:t xml:space="preserve"> change communication (SBCC) including the use of mass media, village support group, community hygiene promoters, and drama groups. </w:t>
      </w:r>
    </w:p>
    <w:p w:rsidR="003A5A07" w:rsidRPr="00B06331" w:rsidRDefault="00BC2900" w:rsidP="003A5A07">
      <w:pPr>
        <w:rPr>
          <w:rFonts w:cs="Calibri"/>
          <w:b/>
          <w:i/>
          <w:color w:val="4472C4" w:themeColor="accent1"/>
        </w:rPr>
      </w:pPr>
      <w:r w:rsidRPr="00B06331">
        <w:rPr>
          <w:rFonts w:cs="Calibri"/>
          <w:b/>
          <w:i/>
          <w:color w:val="4472C4" w:themeColor="accent1"/>
        </w:rPr>
        <w:t>Outcome 4.7: Improved Nutritional Well-being of all Gambians, particularly Mothers and Children</w:t>
      </w:r>
    </w:p>
    <w:p w:rsidR="00293C9C" w:rsidRPr="00B06331" w:rsidRDefault="00293C9C" w:rsidP="00293C9C">
      <w:pPr>
        <w:rPr>
          <w:rFonts w:ascii="Avenir Book" w:eastAsia="MS Mincho" w:hAnsi="Avenir Book"/>
        </w:rPr>
      </w:pPr>
      <w:bookmarkStart w:id="129" w:name="_Toc488080367"/>
      <w:r w:rsidRPr="00B06331">
        <w:rPr>
          <w:rFonts w:ascii="Avenir Book" w:eastAsia="MS Mincho" w:hAnsi="Avenir Book"/>
        </w:rPr>
        <w:t>The Gambia is experiencing a double burden of malnutrition –under-nutrition and micronutrient deficiencies co-existing with overweight and obesity. Furthermore, data shows that:</w:t>
      </w:r>
    </w:p>
    <w:p w:rsidR="00293C9C" w:rsidRPr="00B06331" w:rsidRDefault="00293C9C" w:rsidP="00293C9C">
      <w:pPr>
        <w:pStyle w:val="ListParagraph"/>
        <w:numPr>
          <w:ilvl w:val="0"/>
          <w:numId w:val="28"/>
        </w:numPr>
        <w:rPr>
          <w:rFonts w:ascii="Avenir Book" w:eastAsia="MS Mincho" w:hAnsi="Avenir Book"/>
        </w:rPr>
      </w:pPr>
      <w:r w:rsidRPr="00B06331">
        <w:rPr>
          <w:rFonts w:ascii="Avenir Book" w:eastAsia="MS Mincho" w:hAnsi="Avenir Book"/>
        </w:rPr>
        <w:t>Only 8% of children aged 6-23 months are fed in accordance with all Infant and Young Child Feeding practices;</w:t>
      </w:r>
    </w:p>
    <w:p w:rsidR="00293C9C" w:rsidRPr="00B06331" w:rsidRDefault="00293C9C" w:rsidP="00293C9C">
      <w:pPr>
        <w:pStyle w:val="ListParagraph"/>
        <w:numPr>
          <w:ilvl w:val="0"/>
          <w:numId w:val="28"/>
        </w:numPr>
        <w:rPr>
          <w:rFonts w:ascii="Avenir Book" w:eastAsia="MS Mincho" w:hAnsi="Avenir Book"/>
        </w:rPr>
      </w:pPr>
      <w:r w:rsidRPr="00B06331">
        <w:rPr>
          <w:rFonts w:ascii="Avenir Book" w:eastAsia="MS Mincho" w:hAnsi="Avenir Book"/>
        </w:rPr>
        <w:t>22% of children are chronically malnourished or stunted with 6.2% severely stunted;</w:t>
      </w:r>
    </w:p>
    <w:p w:rsidR="00293C9C" w:rsidRPr="00B06331" w:rsidRDefault="00293C9C" w:rsidP="00293C9C">
      <w:pPr>
        <w:pStyle w:val="ListParagraph"/>
        <w:numPr>
          <w:ilvl w:val="0"/>
          <w:numId w:val="28"/>
        </w:numPr>
        <w:rPr>
          <w:rFonts w:ascii="Avenir Book" w:eastAsia="MS Mincho" w:hAnsi="Avenir Book"/>
        </w:rPr>
      </w:pPr>
      <w:r w:rsidRPr="00B06331">
        <w:rPr>
          <w:rFonts w:ascii="Avenir Book" w:eastAsia="MS Mincho" w:hAnsi="Avenir Book"/>
        </w:rPr>
        <w:t>73% of Gambian children suffer from some level of anemia;</w:t>
      </w:r>
    </w:p>
    <w:p w:rsidR="00293C9C" w:rsidRPr="00B06331" w:rsidRDefault="00293C9C" w:rsidP="00293C9C">
      <w:pPr>
        <w:pStyle w:val="ListParagraph"/>
        <w:numPr>
          <w:ilvl w:val="0"/>
          <w:numId w:val="28"/>
        </w:numPr>
        <w:rPr>
          <w:rFonts w:ascii="Avenir Book" w:eastAsia="MS Mincho" w:hAnsi="Avenir Book"/>
        </w:rPr>
      </w:pPr>
      <w:r w:rsidRPr="00B06331">
        <w:rPr>
          <w:rFonts w:ascii="Avenir Book" w:eastAsia="MS Mincho" w:hAnsi="Avenir Book"/>
        </w:rPr>
        <w:t>And obesity and overweight affects 25% and 17% of women living in urban areas of Banjul and Kanifing respectively.</w:t>
      </w:r>
    </w:p>
    <w:p w:rsidR="00293C9C" w:rsidRPr="00B06331" w:rsidRDefault="00293C9C" w:rsidP="00293C9C">
      <w:pPr>
        <w:pStyle w:val="ListParagraph"/>
        <w:numPr>
          <w:ilvl w:val="0"/>
          <w:numId w:val="28"/>
        </w:numPr>
        <w:rPr>
          <w:rFonts w:ascii="Avenir Book" w:eastAsia="MS Mincho" w:hAnsi="Avenir Book"/>
        </w:rPr>
      </w:pPr>
      <w:r w:rsidRPr="00B06331">
        <w:rPr>
          <w:rFonts w:ascii="Avenir Book" w:eastAsia="MS Mincho" w:hAnsi="Avenir Book"/>
        </w:rPr>
        <w:t>Diet-related NCDs account for17% of total deaths</w:t>
      </w:r>
    </w:p>
    <w:bookmarkEnd w:id="129"/>
    <w:p w:rsidR="00293C9C" w:rsidRPr="00B06331" w:rsidRDefault="00293C9C" w:rsidP="00293C9C">
      <w:pPr>
        <w:rPr>
          <w:rFonts w:ascii="Avenir Book" w:eastAsia="MS Mincho" w:hAnsi="Avenir Book"/>
        </w:rPr>
      </w:pPr>
      <w:r w:rsidRPr="00B06331">
        <w:rPr>
          <w:rFonts w:ascii="Avenir Book" w:eastAsia="MS Mincho" w:hAnsi="Avenir Book"/>
        </w:rPr>
        <w:lastRenderedPageBreak/>
        <w:t xml:space="preserve">Over the plan </w:t>
      </w:r>
      <w:r w:rsidR="00DB21D8" w:rsidRPr="00B06331">
        <w:rPr>
          <w:rFonts w:ascii="Avenir Book" w:eastAsia="MS Mincho" w:hAnsi="Avenir Book"/>
        </w:rPr>
        <w:t>period,</w:t>
      </w:r>
      <w:r w:rsidRPr="00B06331">
        <w:rPr>
          <w:rFonts w:ascii="Avenir Book" w:eastAsia="MS Mincho" w:hAnsi="Avenir Book"/>
        </w:rPr>
        <w:t xml:space="preserve"> government will take measures to improve the nutritional well-being of all Gambians, paying attention to mothers and children. </w:t>
      </w:r>
    </w:p>
    <w:p w:rsidR="003A5A07" w:rsidRPr="00B06331" w:rsidRDefault="003A5A07" w:rsidP="00E31236">
      <w:pPr>
        <w:rPr>
          <w:rFonts w:ascii="Avenir Book" w:hAnsi="Avenir Book"/>
        </w:rPr>
      </w:pPr>
      <w:r w:rsidRPr="00B06331">
        <w:rPr>
          <w:rFonts w:ascii="Avenir Book" w:eastAsia="MS Mincho" w:hAnsi="Avenir Book"/>
        </w:rPr>
        <w:t xml:space="preserve">Government will </w:t>
      </w:r>
      <w:r w:rsidRPr="00B06331">
        <w:rPr>
          <w:rFonts w:ascii="Avenir Book" w:hAnsi="Avenir Book"/>
        </w:rPr>
        <w:t xml:space="preserve">strengthen Baby Friendly Community and Hospital Initiatives. This will entail efforts to increase knowledge, awareness and skills on maternal and infant nutrition, environmental sanitation </w:t>
      </w:r>
      <w:r w:rsidR="00293C9C" w:rsidRPr="00B06331">
        <w:rPr>
          <w:rFonts w:ascii="Avenir Book" w:hAnsi="Avenir Book"/>
        </w:rPr>
        <w:t>and growth monitoring.  C</w:t>
      </w:r>
      <w:r w:rsidRPr="00B06331">
        <w:rPr>
          <w:rFonts w:ascii="Avenir Book" w:hAnsi="Avenir Book"/>
        </w:rPr>
        <w:t>ommunities nee</w:t>
      </w:r>
      <w:r w:rsidR="00293C9C" w:rsidRPr="00B06331">
        <w:rPr>
          <w:rFonts w:ascii="Avenir Book" w:hAnsi="Avenir Book"/>
        </w:rPr>
        <w:t>d to be introduced, trained to</w:t>
      </w:r>
      <w:r w:rsidRPr="00B06331">
        <w:rPr>
          <w:rFonts w:ascii="Avenir Book" w:hAnsi="Avenir Book"/>
        </w:rPr>
        <w:t xml:space="preserve"> adopt the BFCI concept, while health facilities adopt the BFHI initiative. NaNA in partnership with the Ministry of Health and Social Welfare and with support from partners will expand and consolidate the baby friendly community initiative to all the Primary Health Care communities and beyond</w:t>
      </w:r>
      <w:r w:rsidR="00293C9C" w:rsidRPr="00B06331">
        <w:rPr>
          <w:rFonts w:ascii="Avenir Book" w:hAnsi="Avenir Book"/>
        </w:rPr>
        <w:t>.  T</w:t>
      </w:r>
      <w:r w:rsidRPr="00B06331">
        <w:rPr>
          <w:rFonts w:ascii="Avenir Book" w:hAnsi="Avenir Book"/>
        </w:rPr>
        <w:t xml:space="preserve">he hospital initiative </w:t>
      </w:r>
      <w:r w:rsidR="00293C9C" w:rsidRPr="00B06331">
        <w:rPr>
          <w:rFonts w:ascii="Avenir Book" w:hAnsi="Avenir Book"/>
        </w:rPr>
        <w:t xml:space="preserve">will also be expanded </w:t>
      </w:r>
      <w:r w:rsidRPr="00B06331">
        <w:rPr>
          <w:rFonts w:ascii="Avenir Book" w:hAnsi="Avenir Book"/>
        </w:rPr>
        <w:t xml:space="preserve">to all the major and minor health centres and hospitals by training and supporting Village Support Groups and building capacities of health workers through training, development of policies, information, education, and communication. </w:t>
      </w:r>
    </w:p>
    <w:p w:rsidR="003A5A07" w:rsidRPr="00B06331" w:rsidRDefault="003A5A07" w:rsidP="003A5A07">
      <w:pPr>
        <w:spacing w:after="0"/>
        <w:jc w:val="both"/>
        <w:rPr>
          <w:rFonts w:ascii="Avenir Book" w:hAnsi="Avenir Book"/>
        </w:rPr>
      </w:pPr>
      <w:r w:rsidRPr="00B06331">
        <w:rPr>
          <w:rFonts w:ascii="Avenir Book" w:hAnsi="Avenir Book"/>
        </w:rPr>
        <w:t xml:space="preserve">Childhood malnutrition is prevalent in The Gambia especially during the rainy or hungry season. </w:t>
      </w:r>
      <w:r w:rsidR="00293C9C" w:rsidRPr="00B06331">
        <w:rPr>
          <w:rFonts w:ascii="Avenir Book" w:eastAsia="MS Mincho" w:hAnsi="Avenir Book"/>
        </w:rPr>
        <w:t>T</w:t>
      </w:r>
      <w:r w:rsidR="00293C9C" w:rsidRPr="00B06331">
        <w:rPr>
          <w:rFonts w:ascii="Avenir Book" w:hAnsi="Avenir Book"/>
        </w:rPr>
        <w:t xml:space="preserve">he Integrated Management of Acute Malnutrition and childhood illness will therefore be expanded. </w:t>
      </w:r>
      <w:r w:rsidRPr="00B06331">
        <w:rPr>
          <w:rFonts w:ascii="Avenir Book" w:hAnsi="Avenir Book"/>
        </w:rPr>
        <w:t xml:space="preserve">NaNA in partnership with the Ministry of Health and Social Welfare </w:t>
      </w:r>
      <w:r w:rsidR="00293C9C" w:rsidRPr="00B06331">
        <w:rPr>
          <w:rFonts w:ascii="Avenir Book" w:hAnsi="Avenir Book"/>
        </w:rPr>
        <w:t>will improve</w:t>
      </w:r>
      <w:r w:rsidRPr="00B06331">
        <w:rPr>
          <w:rFonts w:ascii="Avenir Book" w:hAnsi="Avenir Book"/>
        </w:rPr>
        <w:t xml:space="preserve"> the management of children identified </w:t>
      </w:r>
      <w:r w:rsidR="00293C9C" w:rsidRPr="00B06331">
        <w:rPr>
          <w:rFonts w:ascii="Avenir Book" w:hAnsi="Avenir Book"/>
        </w:rPr>
        <w:t xml:space="preserve">as </w:t>
      </w:r>
      <w:r w:rsidRPr="00B06331">
        <w:rPr>
          <w:rFonts w:ascii="Avenir Book" w:hAnsi="Avenir Book"/>
        </w:rPr>
        <w:t>acutely malnourished at both the health facilities and the communities through procurement and distribution of ready to use therapeutic foods, training</w:t>
      </w:r>
      <w:r w:rsidR="00293C9C" w:rsidRPr="00B06331">
        <w:rPr>
          <w:rFonts w:ascii="Avenir Book" w:hAnsi="Avenir Book"/>
        </w:rPr>
        <w:t>,</w:t>
      </w:r>
      <w:r w:rsidRPr="00B06331">
        <w:rPr>
          <w:rFonts w:ascii="Avenir Book" w:hAnsi="Avenir Book"/>
        </w:rPr>
        <w:t xml:space="preserve"> instituting active screening and nutrition education. The two institutions will work with Nutrition Without Borders and other partners to revitalize the Centre for Rehabilitation and Nutrition Education (CREN) for effective management of malnourished children by providing financial, human and material resources.</w:t>
      </w:r>
    </w:p>
    <w:p w:rsidR="003A5A07" w:rsidRPr="00B06331" w:rsidRDefault="003A5A07" w:rsidP="003A5A07">
      <w:pPr>
        <w:pStyle w:val="ListParagraph"/>
        <w:spacing w:after="0"/>
        <w:ind w:left="360"/>
        <w:jc w:val="both"/>
        <w:rPr>
          <w:rFonts w:ascii="Avenir Book" w:hAnsi="Avenir Book"/>
        </w:rPr>
      </w:pPr>
    </w:p>
    <w:p w:rsidR="003A5A07" w:rsidRPr="00B06331" w:rsidRDefault="00293C9C" w:rsidP="003A5A07">
      <w:pPr>
        <w:spacing w:after="0" w:line="240" w:lineRule="auto"/>
        <w:jc w:val="both"/>
        <w:rPr>
          <w:rFonts w:ascii="Avenir Book" w:hAnsi="Avenir Book"/>
        </w:rPr>
      </w:pPr>
      <w:r w:rsidRPr="00B06331">
        <w:rPr>
          <w:rFonts w:ascii="Avenir Book" w:hAnsi="Avenir Book"/>
        </w:rPr>
        <w:t>Micronutrient deficiencies are common in The Gambia and have dire consequences on the nutritional status and well-being especiallywomen and children.</w:t>
      </w:r>
      <w:r w:rsidR="003A5A07" w:rsidRPr="00B06331">
        <w:rPr>
          <w:rFonts w:ascii="Avenir Book" w:eastAsia="MS Mincho" w:hAnsi="Avenir Book"/>
        </w:rPr>
        <w:t xml:space="preserve">Government will make efforts to </w:t>
      </w:r>
      <w:r w:rsidR="003A5A07" w:rsidRPr="00B06331">
        <w:rPr>
          <w:rFonts w:ascii="Avenir Book" w:hAnsi="Avenir Book"/>
        </w:rPr>
        <w:t>strengthen Micronutrient Deficiency Control (Iron supplementation, vitamin A supplementation, salt iodization, food fortification</w:t>
      </w:r>
      <w:r w:rsidR="00841038" w:rsidRPr="00B06331">
        <w:rPr>
          <w:rFonts w:ascii="Avenir Book" w:hAnsi="Avenir Book"/>
        </w:rPr>
        <w:t>.</w:t>
      </w:r>
      <w:r w:rsidR="003A5A07" w:rsidRPr="00B06331">
        <w:rPr>
          <w:rFonts w:ascii="Avenir Book" w:hAnsi="Avenir Book"/>
        </w:rPr>
        <w:t xml:space="preserve"> NaNA in partnership with the Ministry of Health and Social Welfare and with support from partners will consolidate iron supplementation of pregnant women and vitamin A supplementation of postpartum mother</w:t>
      </w:r>
      <w:r w:rsidR="00841038" w:rsidRPr="00B06331">
        <w:rPr>
          <w:rFonts w:ascii="Avenir Book" w:hAnsi="Avenir Book"/>
        </w:rPr>
        <w:t>s</w:t>
      </w:r>
      <w:r w:rsidR="003A5A07" w:rsidRPr="00B06331">
        <w:rPr>
          <w:rFonts w:ascii="Avenir Book" w:hAnsi="Avenir Book"/>
        </w:rPr>
        <w:t xml:space="preserve"> and children under five at the facility and community level. NaNA will also work with the MOHSW and the Department of Community Development to increase the production, iodization, and consumption of salt, as well as work with the Ministry of Ag</w:t>
      </w:r>
      <w:r w:rsidR="00841038" w:rsidRPr="00B06331">
        <w:rPr>
          <w:rFonts w:ascii="Avenir Book" w:hAnsi="Avenir Book"/>
        </w:rPr>
        <w:t xml:space="preserve">riculture and other partners on the </w:t>
      </w:r>
      <w:r w:rsidR="003A5A07" w:rsidRPr="00B06331">
        <w:rPr>
          <w:rFonts w:ascii="Avenir Book" w:hAnsi="Avenir Book"/>
        </w:rPr>
        <w:t>fortifi</w:t>
      </w:r>
      <w:r w:rsidR="00841038" w:rsidRPr="00B06331">
        <w:rPr>
          <w:rFonts w:ascii="Avenir Book" w:hAnsi="Avenir Book"/>
        </w:rPr>
        <w:t>cation of local food and</w:t>
      </w:r>
      <w:r w:rsidR="003A5A07" w:rsidRPr="00B06331">
        <w:rPr>
          <w:rFonts w:ascii="Avenir Book" w:hAnsi="Avenir Book"/>
        </w:rPr>
        <w:t xml:space="preserve"> increase their nutritional values.</w:t>
      </w:r>
    </w:p>
    <w:p w:rsidR="003A5A07" w:rsidRPr="00B06331" w:rsidRDefault="003A5A07" w:rsidP="003A5A07">
      <w:pPr>
        <w:pStyle w:val="ListParagraph"/>
        <w:tabs>
          <w:tab w:val="left" w:pos="993"/>
        </w:tabs>
        <w:spacing w:after="0" w:line="240" w:lineRule="auto"/>
        <w:ind w:left="360"/>
        <w:jc w:val="both"/>
        <w:rPr>
          <w:rFonts w:ascii="Avenir Book" w:eastAsia="MS Mincho" w:hAnsi="Avenir Book"/>
          <w:b/>
          <w:u w:val="single"/>
        </w:rPr>
      </w:pPr>
    </w:p>
    <w:p w:rsidR="003A5A07" w:rsidRPr="00B06331" w:rsidRDefault="003A5A07" w:rsidP="003A5A07">
      <w:pPr>
        <w:tabs>
          <w:tab w:val="left" w:pos="993"/>
        </w:tabs>
        <w:spacing w:after="0" w:line="240" w:lineRule="auto"/>
        <w:jc w:val="both"/>
        <w:rPr>
          <w:rFonts w:ascii="Avenir Book" w:hAnsi="Avenir Book"/>
        </w:rPr>
      </w:pPr>
      <w:r w:rsidRPr="00B06331">
        <w:rPr>
          <w:rFonts w:ascii="Avenir Book" w:eastAsia="MS Mincho" w:hAnsi="Avenir Book"/>
        </w:rPr>
        <w:t xml:space="preserve">Efforts to </w:t>
      </w:r>
      <w:r w:rsidRPr="00B06331">
        <w:rPr>
          <w:rFonts w:ascii="Avenir Book" w:hAnsi="Avenir Book"/>
        </w:rPr>
        <w:t>reduce wasting, underweight and micronutrient deficiencies will be intensified. The causes of malnutrition are multi-faceted a</w:t>
      </w:r>
      <w:r w:rsidR="00841038" w:rsidRPr="00B06331">
        <w:rPr>
          <w:rFonts w:ascii="Avenir Book" w:hAnsi="Avenir Book"/>
        </w:rPr>
        <w:t>nd thus their reduction requires a</w:t>
      </w:r>
      <w:r w:rsidRPr="00B06331">
        <w:rPr>
          <w:rFonts w:ascii="Avenir Book" w:hAnsi="Avenir Book"/>
        </w:rPr>
        <w:t xml:space="preserve"> multi-sectoral approach. NaNA will work with the Nutrition Technical Advisory Community (NTAC) and the Multi-Sectoral Platform to develop Common Result Framework (CRF) and coordinate the implem</w:t>
      </w:r>
      <w:r w:rsidR="00841038" w:rsidRPr="00B06331">
        <w:rPr>
          <w:rFonts w:ascii="Avenir Book" w:hAnsi="Avenir Book"/>
        </w:rPr>
        <w:t>entation of intervention to achieve</w:t>
      </w:r>
      <w:r w:rsidRPr="00B06331">
        <w:rPr>
          <w:rFonts w:ascii="Avenir Book" w:hAnsi="Avenir Book"/>
        </w:rPr>
        <w:t xml:space="preserve"> the CRF. NaNA will also </w:t>
      </w:r>
      <w:r w:rsidR="00841038" w:rsidRPr="00B06331">
        <w:rPr>
          <w:rFonts w:ascii="Avenir Book" w:hAnsi="Avenir Book"/>
        </w:rPr>
        <w:t>work with partners to improve</w:t>
      </w:r>
      <w:r w:rsidRPr="00B06331">
        <w:rPr>
          <w:rFonts w:ascii="Avenir Book" w:hAnsi="Avenir Book"/>
        </w:rPr>
        <w:t xml:space="preserve"> the assessmen</w:t>
      </w:r>
      <w:r w:rsidR="00841038" w:rsidRPr="00B06331">
        <w:rPr>
          <w:rFonts w:ascii="Avenir Book" w:hAnsi="Avenir Book"/>
        </w:rPr>
        <w:t>t, analysis and reporting on</w:t>
      </w:r>
      <w:r w:rsidRPr="00B06331">
        <w:rPr>
          <w:rFonts w:ascii="Avenir Book" w:hAnsi="Avenir Book"/>
        </w:rPr>
        <w:t xml:space="preserve"> wasting, underweight and micronutrient deficiencies.</w:t>
      </w:r>
    </w:p>
    <w:p w:rsidR="003A5A07" w:rsidRPr="00B06331" w:rsidRDefault="003A5A07" w:rsidP="003A5A07">
      <w:pPr>
        <w:pStyle w:val="ListParagraph"/>
        <w:tabs>
          <w:tab w:val="left" w:pos="993"/>
        </w:tabs>
        <w:spacing w:after="0" w:line="240" w:lineRule="auto"/>
        <w:ind w:left="360"/>
        <w:jc w:val="both"/>
        <w:rPr>
          <w:rFonts w:ascii="Avenir Book" w:eastAsia="MS Mincho" w:hAnsi="Avenir Book"/>
          <w:b/>
          <w:u w:val="single"/>
        </w:rPr>
      </w:pPr>
    </w:p>
    <w:p w:rsidR="003A5A07" w:rsidRPr="00B06331" w:rsidRDefault="00841038" w:rsidP="003A5A07">
      <w:pPr>
        <w:tabs>
          <w:tab w:val="left" w:pos="993"/>
        </w:tabs>
        <w:spacing w:after="0" w:line="240" w:lineRule="auto"/>
        <w:jc w:val="both"/>
        <w:rPr>
          <w:rFonts w:ascii="Avenir Book" w:hAnsi="Avenir Book"/>
        </w:rPr>
      </w:pPr>
      <w:r w:rsidRPr="00B06331">
        <w:rPr>
          <w:rFonts w:ascii="Avenir Book" w:hAnsi="Avenir Book"/>
        </w:rPr>
        <w:t>To build a strong foundation, every child should be fed optimally</w:t>
      </w:r>
      <w:r w:rsidRPr="00B06331">
        <w:rPr>
          <w:rFonts w:ascii="Avenir Book" w:eastAsia="MS Mincho" w:hAnsi="Avenir Book"/>
        </w:rPr>
        <w:t xml:space="preserve">. </w:t>
      </w:r>
      <w:r w:rsidR="003A5A07" w:rsidRPr="00B06331">
        <w:rPr>
          <w:rFonts w:ascii="Avenir Book" w:eastAsia="MS Mincho" w:hAnsi="Avenir Book"/>
        </w:rPr>
        <w:t xml:space="preserve">Government will endeavor to </w:t>
      </w:r>
      <w:r w:rsidR="003A5A07" w:rsidRPr="00B06331">
        <w:rPr>
          <w:rFonts w:ascii="Avenir Book" w:hAnsi="Avenir Book"/>
        </w:rPr>
        <w:t>improve optimal infant and young child feeding in accordance with all IYCF practices</w:t>
      </w:r>
      <w:r w:rsidR="006D1010" w:rsidRPr="00B06331">
        <w:rPr>
          <w:rFonts w:ascii="Avenir Book" w:hAnsi="Avenir Book"/>
        </w:rPr>
        <w:t>.</w:t>
      </w:r>
      <w:r w:rsidR="003A5A07" w:rsidRPr="00B06331">
        <w:rPr>
          <w:rFonts w:ascii="Avenir Book" w:hAnsi="Avenir Book"/>
        </w:rPr>
        <w:t xml:space="preserve"> NaNA in partnership with the Ministry of Health and Social Welfare and with support from partners will expand and consolidate the promotion of IYCF at all levels by building the capacities of service providers, policy makers and law enforcement officers.</w:t>
      </w:r>
    </w:p>
    <w:p w:rsidR="003A5A07" w:rsidRPr="00B06331" w:rsidRDefault="003A5A07" w:rsidP="003A5A07">
      <w:pPr>
        <w:pStyle w:val="ListParagraph"/>
        <w:tabs>
          <w:tab w:val="left" w:pos="993"/>
        </w:tabs>
        <w:spacing w:after="0" w:line="240" w:lineRule="auto"/>
        <w:ind w:left="360"/>
        <w:jc w:val="both"/>
        <w:rPr>
          <w:rFonts w:ascii="Avenir Book" w:hAnsi="Avenir Book"/>
        </w:rPr>
      </w:pPr>
    </w:p>
    <w:p w:rsidR="003A5A07" w:rsidRPr="00B06331" w:rsidRDefault="00841038" w:rsidP="003A5A07">
      <w:pPr>
        <w:tabs>
          <w:tab w:val="left" w:pos="993"/>
        </w:tabs>
        <w:spacing w:after="0" w:line="240" w:lineRule="auto"/>
        <w:jc w:val="both"/>
        <w:rPr>
          <w:rFonts w:ascii="Avenir Book" w:hAnsi="Avenir Book"/>
        </w:rPr>
      </w:pPr>
      <w:r w:rsidRPr="00B06331">
        <w:rPr>
          <w:rFonts w:ascii="Avenir Book" w:eastAsia="MS Mincho" w:hAnsi="Avenir Book"/>
        </w:rPr>
        <w:lastRenderedPageBreak/>
        <w:t>R</w:t>
      </w:r>
      <w:r w:rsidRPr="00B06331">
        <w:rPr>
          <w:rFonts w:ascii="Avenir Book" w:hAnsi="Avenir Book"/>
        </w:rPr>
        <w:t>educing</w:t>
      </w:r>
      <w:r w:rsidR="003A5A07" w:rsidRPr="00B06331">
        <w:rPr>
          <w:rFonts w:ascii="Avenir Book" w:hAnsi="Avenir Book"/>
        </w:rPr>
        <w:t xml:space="preserve"> obesity and non-communicable diseases</w:t>
      </w:r>
      <w:r w:rsidRPr="00B06331">
        <w:rPr>
          <w:rFonts w:ascii="Avenir Book" w:hAnsi="Avenir Book"/>
        </w:rPr>
        <w:t xml:space="preserve"> is an urgent priority</w:t>
      </w:r>
      <w:r w:rsidR="003A5A07" w:rsidRPr="00B06331">
        <w:rPr>
          <w:rFonts w:ascii="Avenir Book" w:hAnsi="Avenir Book"/>
        </w:rPr>
        <w:t>. Non-communicable diseases such as diabetes and h</w:t>
      </w:r>
      <w:r w:rsidRPr="00B06331">
        <w:rPr>
          <w:rFonts w:ascii="Avenir Book" w:hAnsi="Avenir Book"/>
        </w:rPr>
        <w:t xml:space="preserve">ypertension are increasing </w:t>
      </w:r>
      <w:r w:rsidR="003A5A07" w:rsidRPr="00B06331">
        <w:rPr>
          <w:rFonts w:ascii="Avenir Book" w:hAnsi="Avenir Book"/>
        </w:rPr>
        <w:t>due to changes in lifestyle and diet. NaNA in partnership with the Ministry of Health and Social Welfare and with support from partners will expand and cons</w:t>
      </w:r>
      <w:r w:rsidRPr="00B06331">
        <w:rPr>
          <w:rFonts w:ascii="Avenir Book" w:hAnsi="Avenir Book"/>
        </w:rPr>
        <w:t xml:space="preserve">olidate </w:t>
      </w:r>
      <w:r w:rsidR="003A5A07" w:rsidRPr="00B06331">
        <w:rPr>
          <w:rFonts w:ascii="Avenir Book" w:hAnsi="Avenir Book"/>
        </w:rPr>
        <w:t>counseling, advocacy and communication on the prevention and management obesity and non-comm</w:t>
      </w:r>
      <w:r w:rsidRPr="00B06331">
        <w:rPr>
          <w:rFonts w:ascii="Avenir Book" w:hAnsi="Avenir Book"/>
        </w:rPr>
        <w:t xml:space="preserve">unicable diseases. NaNA and </w:t>
      </w:r>
      <w:r w:rsidR="003A5A07" w:rsidRPr="00B06331">
        <w:rPr>
          <w:rFonts w:ascii="Avenir Book" w:hAnsi="Avenir Book"/>
        </w:rPr>
        <w:t xml:space="preserve">MOHSW will work with the Ministry of Basic and Secondary Education to increase nutrition education, sport, and other extra curricula </w:t>
      </w:r>
      <w:r w:rsidRPr="00B06331">
        <w:rPr>
          <w:rFonts w:ascii="Avenir Book" w:hAnsi="Avenir Book"/>
        </w:rPr>
        <w:t>activities in the school system</w:t>
      </w:r>
      <w:r w:rsidR="003A5A07" w:rsidRPr="00B06331">
        <w:rPr>
          <w:rFonts w:ascii="Avenir Book" w:hAnsi="Avenir Book"/>
        </w:rPr>
        <w:t>.</w:t>
      </w:r>
    </w:p>
    <w:p w:rsidR="003A5A07" w:rsidRPr="00B06331" w:rsidRDefault="003A5A07" w:rsidP="003A5A07">
      <w:pPr>
        <w:tabs>
          <w:tab w:val="left" w:pos="993"/>
        </w:tabs>
        <w:spacing w:after="0" w:line="240" w:lineRule="auto"/>
        <w:jc w:val="both"/>
        <w:rPr>
          <w:rFonts w:ascii="Avenir Book" w:hAnsi="Avenir Book"/>
        </w:rPr>
      </w:pPr>
    </w:p>
    <w:p w:rsidR="003A5A07" w:rsidRPr="00B06331" w:rsidRDefault="003A5A07" w:rsidP="003A5A07">
      <w:pPr>
        <w:spacing w:after="0" w:line="240" w:lineRule="auto"/>
        <w:jc w:val="both"/>
        <w:rPr>
          <w:rFonts w:ascii="Avenir Book" w:hAnsi="Avenir Book"/>
        </w:rPr>
      </w:pPr>
      <w:r w:rsidRPr="00B06331">
        <w:rPr>
          <w:rFonts w:ascii="Avenir Book" w:eastAsia="MS Mincho" w:hAnsi="Avenir Book"/>
        </w:rPr>
        <w:t xml:space="preserve">Finally, </w:t>
      </w:r>
      <w:r w:rsidRPr="00B06331">
        <w:rPr>
          <w:rFonts w:ascii="Avenir Book" w:hAnsi="Avenir Book"/>
        </w:rPr>
        <w:t>Social and Behavioral Change Communication will be strengthened</w:t>
      </w:r>
      <w:r w:rsidRPr="00B06331">
        <w:rPr>
          <w:rFonts w:ascii="Avenir Book" w:hAnsi="Avenir Book"/>
          <w:b/>
        </w:rPr>
        <w:t>.</w:t>
      </w:r>
      <w:r w:rsidRPr="00B06331">
        <w:rPr>
          <w:rFonts w:ascii="Avenir Book" w:hAnsi="Avenir Book"/>
        </w:rPr>
        <w:t xml:space="preserve">Social and cultural factors affect the adoption of desirable health and nutrition behaviors. NaNA in partnership with the Ministry of Health and Social Welfare and with support from partners will expand and consolidate social and behavioral change using all the available channels. </w:t>
      </w:r>
    </w:p>
    <w:p w:rsidR="003A5A07" w:rsidRPr="00B06331" w:rsidRDefault="003A5A07" w:rsidP="00F51AF8">
      <w:pPr>
        <w:pStyle w:val="Heading3"/>
        <w:rPr>
          <w:rFonts w:ascii="Calibri" w:hAnsi="Calibri" w:cs="Calibri"/>
          <w:b/>
          <w:caps/>
          <w:sz w:val="22"/>
          <w:szCs w:val="22"/>
        </w:rPr>
      </w:pPr>
      <w:bookmarkStart w:id="130" w:name="_Toc488689338"/>
      <w:bookmarkStart w:id="131" w:name="_Toc492364782"/>
      <w:r w:rsidRPr="00B06331">
        <w:rPr>
          <w:rFonts w:ascii="Calibri" w:hAnsi="Calibri" w:cs="Calibri"/>
          <w:b/>
          <w:caps/>
          <w:sz w:val="22"/>
          <w:szCs w:val="22"/>
        </w:rPr>
        <w:t>7</w:t>
      </w:r>
      <w:r w:rsidR="001929BE" w:rsidRPr="00B06331">
        <w:rPr>
          <w:rFonts w:ascii="Calibri" w:hAnsi="Calibri" w:cs="Calibri"/>
          <w:b/>
          <w:caps/>
          <w:sz w:val="22"/>
          <w:szCs w:val="22"/>
        </w:rPr>
        <w:t>.5.</w:t>
      </w:r>
      <w:r w:rsidR="00BA5F5B" w:rsidRPr="00B06331">
        <w:rPr>
          <w:rFonts w:ascii="Calibri" w:hAnsi="Calibri" w:cs="Calibri"/>
          <w:b/>
          <w:caps/>
          <w:sz w:val="22"/>
          <w:szCs w:val="22"/>
        </w:rPr>
        <w:t>3</w:t>
      </w:r>
      <w:r w:rsidRPr="00B06331">
        <w:rPr>
          <w:rFonts w:ascii="Calibri" w:hAnsi="Calibri" w:cs="Calibri"/>
          <w:b/>
          <w:caps/>
          <w:sz w:val="22"/>
          <w:szCs w:val="22"/>
        </w:rPr>
        <w:t>. S</w:t>
      </w:r>
      <w:r w:rsidRPr="00B06331">
        <w:rPr>
          <w:rFonts w:ascii="Calibri" w:hAnsi="Calibri" w:cs="Calibri"/>
          <w:b/>
          <w:sz w:val="22"/>
          <w:szCs w:val="22"/>
        </w:rPr>
        <w:t>ocialprotection</w:t>
      </w:r>
      <w:bookmarkEnd w:id="130"/>
      <w:bookmarkEnd w:id="131"/>
    </w:p>
    <w:p w:rsidR="003A5A07" w:rsidRPr="00B06331" w:rsidRDefault="003A5A07" w:rsidP="003A5A07">
      <w:pPr>
        <w:tabs>
          <w:tab w:val="left" w:pos="1770"/>
        </w:tabs>
        <w:spacing w:before="240"/>
        <w:jc w:val="both"/>
        <w:rPr>
          <w:rFonts w:ascii="Avenir Book" w:eastAsia="MS Mincho" w:hAnsi="Avenir Book"/>
        </w:rPr>
      </w:pPr>
      <w:r w:rsidRPr="00B06331">
        <w:rPr>
          <w:rFonts w:ascii="Avenir Book" w:hAnsi="Avenir Book"/>
          <w:lang w:val="en-GB"/>
        </w:rPr>
        <w:t xml:space="preserve">The long term vision (2015-2025)  for social protection in the Gambia seeks to establish an inclusive integrated and comprehensive social protection system that will effectively provide, preventive, protective, promotive and transformative measures to safeguard the lives of all poor and </w:t>
      </w:r>
      <w:r w:rsidR="00841038" w:rsidRPr="00B06331">
        <w:rPr>
          <w:rFonts w:ascii="Avenir Book" w:hAnsi="Avenir Book"/>
          <w:lang w:val="en-GB"/>
        </w:rPr>
        <w:t xml:space="preserve">vulnerable groups </w:t>
      </w:r>
      <w:r w:rsidRPr="00B06331">
        <w:rPr>
          <w:rFonts w:ascii="Avenir Book" w:hAnsi="Avenir Book"/>
          <w:lang w:val="en-GB"/>
        </w:rPr>
        <w:t>and contribute to broader human development, greater economic productivity, and inclusive growth.</w:t>
      </w:r>
    </w:p>
    <w:p w:rsidR="003A5A07" w:rsidRPr="00B06331" w:rsidRDefault="00F51AF8" w:rsidP="003A5A07">
      <w:pPr>
        <w:tabs>
          <w:tab w:val="left" w:pos="1770"/>
        </w:tabs>
        <w:spacing w:before="240"/>
        <w:jc w:val="both"/>
        <w:rPr>
          <w:rFonts w:ascii="Avenir Book" w:eastAsia="MS Mincho" w:hAnsi="Avenir Book"/>
          <w:b/>
        </w:rPr>
      </w:pPr>
      <w:r w:rsidRPr="00B06331">
        <w:rPr>
          <w:rFonts w:ascii="Avenir Book" w:eastAsia="MS Mincho" w:hAnsi="Avenir Book"/>
          <w:b/>
        </w:rPr>
        <w:t>Table 7.7</w:t>
      </w:r>
      <w:r w:rsidR="003A5A07" w:rsidRPr="00B06331">
        <w:rPr>
          <w:rFonts w:ascii="Avenir Book" w:eastAsia="MS Mincho" w:hAnsi="Avenir Book"/>
          <w:b/>
        </w:rPr>
        <w:t xml:space="preserve">: Key Expected Results for </w:t>
      </w:r>
      <w:r w:rsidR="00772C6A" w:rsidRPr="00B06331">
        <w:rPr>
          <w:rFonts w:ascii="Avenir Book" w:eastAsia="MS Mincho" w:hAnsi="Avenir Book"/>
          <w:b/>
        </w:rPr>
        <w:t xml:space="preserve">Social Protection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5"/>
      </w:tblGrid>
      <w:tr w:rsidR="003A5A07" w:rsidRPr="00B06331" w:rsidTr="00E31236">
        <w:tc>
          <w:tcPr>
            <w:tcW w:w="6475" w:type="dxa"/>
            <w:shd w:val="clear" w:color="auto" w:fill="D9E2F3" w:themeFill="accent1" w:themeFillTint="33"/>
          </w:tcPr>
          <w:p w:rsidR="003A5A07" w:rsidRPr="00B06331" w:rsidRDefault="003A5A07" w:rsidP="004143E3">
            <w:pPr>
              <w:pStyle w:val="ListParagraph"/>
              <w:numPr>
                <w:ilvl w:val="0"/>
                <w:numId w:val="48"/>
              </w:numPr>
              <w:spacing w:after="0" w:line="240" w:lineRule="auto"/>
              <w:rPr>
                <w:rFonts w:ascii="Avenir Book" w:eastAsia="MS Mincho" w:hAnsi="Avenir Book"/>
                <w:sz w:val="20"/>
              </w:rPr>
            </w:pPr>
            <w:r w:rsidRPr="00B06331">
              <w:rPr>
                <w:rFonts w:ascii="Avenir Book" w:eastAsia="MS Mincho" w:hAnsi="Avenir Book"/>
                <w:sz w:val="20"/>
              </w:rPr>
              <w:t>Increase proportion of children whose births are registered in the first year from 35.3% (MICS 2010)</w:t>
            </w:r>
          </w:p>
          <w:p w:rsidR="003A5A07" w:rsidRPr="00B06331" w:rsidRDefault="003A5A07" w:rsidP="003604CF">
            <w:pPr>
              <w:pStyle w:val="ListParagraph"/>
              <w:spacing w:after="0" w:line="240" w:lineRule="auto"/>
              <w:rPr>
                <w:rFonts w:ascii="Avenir Book" w:eastAsia="MS Mincho" w:hAnsi="Avenir Book"/>
                <w:sz w:val="20"/>
              </w:rPr>
            </w:pPr>
            <w:r w:rsidRPr="00B06331">
              <w:rPr>
                <w:rFonts w:ascii="Avenir Book" w:eastAsia="MS Mincho" w:hAnsi="Avenir Book"/>
                <w:sz w:val="20"/>
              </w:rPr>
              <w:t>to 50%</w:t>
            </w:r>
          </w:p>
          <w:p w:rsidR="003A5A07" w:rsidRPr="00B06331" w:rsidRDefault="003A5A07" w:rsidP="004143E3">
            <w:pPr>
              <w:pStyle w:val="ListParagraph"/>
              <w:numPr>
                <w:ilvl w:val="0"/>
                <w:numId w:val="48"/>
              </w:numPr>
              <w:spacing w:after="0" w:line="240" w:lineRule="auto"/>
              <w:rPr>
                <w:rFonts w:ascii="Avenir Book" w:eastAsia="MS Mincho" w:hAnsi="Avenir Book"/>
                <w:sz w:val="20"/>
              </w:rPr>
            </w:pPr>
            <w:r w:rsidRPr="00B06331">
              <w:rPr>
                <w:rFonts w:ascii="Avenir Book" w:eastAsia="MS Mincho" w:hAnsi="Avenir Book"/>
                <w:sz w:val="20"/>
              </w:rPr>
              <w:t>Increase proportion of children under 5 whose births are registered from 75% (DHS 2013) to 90%</w:t>
            </w:r>
          </w:p>
          <w:p w:rsidR="003A5A07" w:rsidRPr="00B06331" w:rsidRDefault="003A5A07" w:rsidP="004143E3">
            <w:pPr>
              <w:pStyle w:val="ListParagraph"/>
              <w:numPr>
                <w:ilvl w:val="0"/>
                <w:numId w:val="48"/>
              </w:numPr>
              <w:spacing w:after="0" w:line="240" w:lineRule="auto"/>
              <w:rPr>
                <w:rFonts w:ascii="Avenir Book" w:eastAsia="MS Mincho" w:hAnsi="Avenir Book"/>
                <w:sz w:val="20"/>
              </w:rPr>
            </w:pPr>
            <w:r w:rsidRPr="00B06331">
              <w:rPr>
                <w:rFonts w:ascii="Avenir Book" w:eastAsia="MS Mincho" w:hAnsi="Avenir Book"/>
                <w:sz w:val="20"/>
              </w:rPr>
              <w:t>Increase proportion of beneficiaries under the safety nets programme from 25% to 80%</w:t>
            </w:r>
          </w:p>
          <w:p w:rsidR="003A5A07" w:rsidRPr="00B06331" w:rsidRDefault="003A5A07" w:rsidP="004143E3">
            <w:pPr>
              <w:pStyle w:val="ListParagraph"/>
              <w:numPr>
                <w:ilvl w:val="0"/>
                <w:numId w:val="48"/>
              </w:numPr>
              <w:spacing w:after="0" w:line="240" w:lineRule="auto"/>
              <w:rPr>
                <w:rFonts w:ascii="Avenir Book" w:eastAsia="MS Mincho" w:hAnsi="Avenir Book"/>
                <w:sz w:val="20"/>
              </w:rPr>
            </w:pPr>
            <w:r w:rsidRPr="00B06331">
              <w:rPr>
                <w:rFonts w:ascii="Avenir Book" w:eastAsia="MS Mincho" w:hAnsi="Avenir Book"/>
                <w:sz w:val="20"/>
              </w:rPr>
              <w:t xml:space="preserve">Existence of a social health insurance scheme </w:t>
            </w:r>
            <w:r w:rsidRPr="00B06331">
              <w:rPr>
                <w:rFonts w:ascii="Avenir Book" w:eastAsia="MS Mincho" w:hAnsi="Avenir Book"/>
                <w:sz w:val="20"/>
              </w:rPr>
              <w:tab/>
            </w:r>
          </w:p>
          <w:p w:rsidR="003A5A07" w:rsidRPr="00B06331" w:rsidRDefault="003A5A07" w:rsidP="004143E3">
            <w:pPr>
              <w:pStyle w:val="ListParagraph"/>
              <w:numPr>
                <w:ilvl w:val="0"/>
                <w:numId w:val="48"/>
              </w:numPr>
              <w:spacing w:after="0" w:line="240" w:lineRule="auto"/>
              <w:rPr>
                <w:rFonts w:ascii="Avenir Book" w:eastAsia="MS Mincho" w:hAnsi="Avenir Book"/>
                <w:sz w:val="20"/>
              </w:rPr>
            </w:pPr>
            <w:r w:rsidRPr="00B06331">
              <w:rPr>
                <w:rFonts w:ascii="Avenir Book" w:eastAsia="MS Mincho" w:hAnsi="Avenir Book"/>
                <w:sz w:val="20"/>
              </w:rPr>
              <w:t xml:space="preserve">Increase the proportion of social welfare officers per capita from 3/30,000 to 5/20,000 </w:t>
            </w:r>
          </w:p>
        </w:tc>
      </w:tr>
    </w:tbl>
    <w:p w:rsidR="003A5A07" w:rsidRPr="00B06331" w:rsidRDefault="00E31236" w:rsidP="003A5A07">
      <w:pPr>
        <w:tabs>
          <w:tab w:val="left" w:pos="1770"/>
        </w:tabs>
        <w:spacing w:before="240"/>
        <w:jc w:val="both"/>
        <w:rPr>
          <w:rFonts w:ascii="Avenir Book" w:hAnsi="Avenir Book"/>
          <w:b/>
          <w:i/>
          <w:color w:val="4472C4" w:themeColor="accent1"/>
          <w:lang w:val="en-GB"/>
        </w:rPr>
      </w:pPr>
      <w:r w:rsidRPr="00B06331">
        <w:rPr>
          <w:rFonts w:ascii="Avenir Book" w:hAnsi="Avenir Book"/>
          <w:b/>
          <w:i/>
          <w:color w:val="4472C4" w:themeColor="accent1"/>
          <w:lang w:val="en-GB"/>
        </w:rPr>
        <w:t xml:space="preserve">Outcome 4.8: The Poor and most </w:t>
      </w:r>
      <w:r w:rsidR="009777F1" w:rsidRPr="00B06331">
        <w:rPr>
          <w:rFonts w:ascii="Avenir Book" w:hAnsi="Avenir Book"/>
          <w:b/>
          <w:i/>
          <w:color w:val="4472C4" w:themeColor="accent1"/>
          <w:lang w:val="en-GB"/>
        </w:rPr>
        <w:t>vulnerable</w:t>
      </w:r>
      <w:r w:rsidRPr="00B06331">
        <w:rPr>
          <w:rFonts w:ascii="Avenir Book" w:hAnsi="Avenir Book"/>
          <w:b/>
          <w:i/>
          <w:color w:val="4472C4" w:themeColor="accent1"/>
          <w:lang w:val="en-GB"/>
        </w:rPr>
        <w:t xml:space="preserve"> benefit from Social Safety Nets and Social Security as an integral part of a Sustainable, Affordable, and Effective Social and Child Protection Systems</w:t>
      </w:r>
    </w:p>
    <w:p w:rsidR="003A5A07" w:rsidRPr="00B06331" w:rsidRDefault="003A5A07" w:rsidP="00841038">
      <w:pPr>
        <w:tabs>
          <w:tab w:val="left" w:pos="1770"/>
        </w:tabs>
        <w:spacing w:before="240"/>
        <w:jc w:val="both"/>
        <w:rPr>
          <w:rFonts w:ascii="Avenir Book" w:hAnsi="Avenir Book"/>
          <w:lang w:val="en-GB"/>
        </w:rPr>
      </w:pPr>
      <w:r w:rsidRPr="00B06331">
        <w:rPr>
          <w:rFonts w:ascii="Avenir Book" w:hAnsi="Avenir Book"/>
          <w:lang w:val="en-GB"/>
        </w:rPr>
        <w:t>Government will leverage on the inherent complementarities that exists between the various flagship programmes and strategic so</w:t>
      </w:r>
      <w:r w:rsidR="00841038" w:rsidRPr="00B06331">
        <w:rPr>
          <w:rFonts w:ascii="Avenir Book" w:hAnsi="Avenir Book"/>
          <w:lang w:val="en-GB"/>
        </w:rPr>
        <w:t xml:space="preserve">cial protection interventions. </w:t>
      </w:r>
      <w:r w:rsidRPr="00B06331">
        <w:rPr>
          <w:rFonts w:ascii="Avenir Book" w:hAnsi="Avenir Book"/>
          <w:lang w:val="en-GB"/>
        </w:rPr>
        <w:t>Through the Social Protection family stre</w:t>
      </w:r>
      <w:r w:rsidR="00841038" w:rsidRPr="00B06331">
        <w:rPr>
          <w:rFonts w:ascii="Avenir Book" w:hAnsi="Avenir Book"/>
          <w:lang w:val="en-GB"/>
        </w:rPr>
        <w:t>ngthening programmes, government</w:t>
      </w:r>
      <w:r w:rsidRPr="00B06331">
        <w:rPr>
          <w:rFonts w:ascii="Avenir Book" w:hAnsi="Avenir Book"/>
          <w:lang w:val="en-GB"/>
        </w:rPr>
        <w:t xml:space="preserve"> will build resilience and provide safety nets to address vulnerabilities within societies through:</w:t>
      </w:r>
    </w:p>
    <w:p w:rsidR="003A5A07" w:rsidRPr="00B06331" w:rsidRDefault="003A5A07" w:rsidP="004143E3">
      <w:pPr>
        <w:pStyle w:val="ListParagraph"/>
        <w:numPr>
          <w:ilvl w:val="0"/>
          <w:numId w:val="25"/>
        </w:numPr>
        <w:jc w:val="both"/>
        <w:rPr>
          <w:rFonts w:ascii="Avenir Book" w:hAnsi="Avenir Book"/>
          <w:lang w:val="en-GB"/>
        </w:rPr>
      </w:pPr>
      <w:r w:rsidRPr="00B06331">
        <w:rPr>
          <w:rFonts w:ascii="Avenir Book" w:hAnsi="Avenir Book"/>
          <w:lang w:val="en-GB"/>
        </w:rPr>
        <w:t>Building Resilience through Social Transfer (BReST), to enhance resilience and improving women nutrition status of lactating women and children aged less than 24 months. This seeks to address malnutrition and stunting amongst children less than 24 months.</w:t>
      </w:r>
    </w:p>
    <w:p w:rsidR="003A5A07" w:rsidRPr="00B06331" w:rsidRDefault="003A5A07" w:rsidP="004143E3">
      <w:pPr>
        <w:pStyle w:val="ListParagraph"/>
        <w:numPr>
          <w:ilvl w:val="0"/>
          <w:numId w:val="25"/>
        </w:numPr>
        <w:jc w:val="both"/>
        <w:rPr>
          <w:rFonts w:ascii="Avenir Book" w:hAnsi="Avenir Book"/>
          <w:lang w:val="en-GB"/>
        </w:rPr>
      </w:pPr>
      <w:r w:rsidRPr="00B06331">
        <w:rPr>
          <w:rFonts w:ascii="Avenir Book" w:hAnsi="Avenir Book"/>
          <w:lang w:val="en-GB"/>
        </w:rPr>
        <w:t xml:space="preserve">Provision of Life and livelihood support on income generating activities to strengthen the family’s basic needs through cash transfers among other safety nets programmes;  </w:t>
      </w:r>
    </w:p>
    <w:p w:rsidR="003A5A07" w:rsidRPr="00B06331" w:rsidRDefault="003A5A07" w:rsidP="003A5A07">
      <w:pPr>
        <w:pStyle w:val="ListParagraph"/>
        <w:spacing w:after="0"/>
        <w:ind w:left="0"/>
        <w:jc w:val="both"/>
        <w:rPr>
          <w:rFonts w:ascii="Avenir Book" w:hAnsi="Avenir Book"/>
          <w:lang w:val="en-GB"/>
        </w:rPr>
      </w:pPr>
    </w:p>
    <w:p w:rsidR="003A5A07" w:rsidRPr="00B06331" w:rsidRDefault="003A5A07" w:rsidP="003A5A07">
      <w:pPr>
        <w:pStyle w:val="ListParagraph"/>
        <w:spacing w:after="0"/>
        <w:ind w:left="0"/>
        <w:jc w:val="both"/>
        <w:rPr>
          <w:rFonts w:ascii="Avenir Book" w:hAnsi="Avenir Book"/>
          <w:b/>
          <w:lang w:val="en-GB"/>
        </w:rPr>
      </w:pPr>
      <w:r w:rsidRPr="00B06331">
        <w:rPr>
          <w:rFonts w:ascii="Avenir Book" w:hAnsi="Avenir Book"/>
          <w:b/>
          <w:lang w:val="en-GB"/>
        </w:rPr>
        <w:t xml:space="preserve">Establish and strengthen a social protection secretariat for leadership and coordination and develop an integrated Management Information System. </w:t>
      </w:r>
    </w:p>
    <w:p w:rsidR="003A5A07" w:rsidRPr="00B06331" w:rsidRDefault="003A5A07" w:rsidP="003A5A07">
      <w:pPr>
        <w:pStyle w:val="ListParagraph"/>
        <w:tabs>
          <w:tab w:val="left" w:pos="993"/>
        </w:tabs>
        <w:spacing w:after="120" w:line="240" w:lineRule="auto"/>
        <w:ind w:left="0"/>
        <w:jc w:val="both"/>
        <w:rPr>
          <w:rFonts w:ascii="Avenir Book" w:hAnsi="Avenir Book"/>
          <w:lang w:val="en-GB"/>
        </w:rPr>
      </w:pPr>
    </w:p>
    <w:p w:rsidR="003A5A07" w:rsidRPr="00B06331" w:rsidRDefault="003A5A07" w:rsidP="003A5A07">
      <w:pPr>
        <w:pStyle w:val="ListParagraph"/>
        <w:ind w:left="0"/>
        <w:jc w:val="both"/>
        <w:rPr>
          <w:rFonts w:ascii="Avenir Book" w:hAnsi="Avenir Book"/>
          <w:lang w:val="en-GB"/>
        </w:rPr>
      </w:pPr>
      <w:r w:rsidRPr="00B06331">
        <w:rPr>
          <w:rFonts w:ascii="Avenir Book" w:hAnsi="Avenir Book"/>
          <w:lang w:val="en-GB"/>
        </w:rPr>
        <w:t>Government plans to establish a social protection secretariat to strengthen coordination of so</w:t>
      </w:r>
      <w:r w:rsidR="00841038" w:rsidRPr="00B06331">
        <w:rPr>
          <w:rFonts w:ascii="Avenir Book" w:hAnsi="Avenir Book"/>
          <w:lang w:val="en-GB"/>
        </w:rPr>
        <w:t>cial protection activities in the country</w:t>
      </w:r>
      <w:r w:rsidRPr="00B06331">
        <w:rPr>
          <w:rFonts w:ascii="Avenir Book" w:hAnsi="Avenir Book"/>
          <w:lang w:val="en-GB"/>
        </w:rPr>
        <w:t xml:space="preserve">. There are also plans to establish a national single registry system to provide credible information/data for effective targeting, planning, implementation and monitoring of programme activities. </w:t>
      </w:r>
    </w:p>
    <w:p w:rsidR="003A5A07" w:rsidRPr="00B06331" w:rsidRDefault="003A5A07" w:rsidP="003A5A07">
      <w:pPr>
        <w:pStyle w:val="ListParagraph"/>
        <w:ind w:left="0"/>
        <w:jc w:val="both"/>
        <w:rPr>
          <w:rFonts w:ascii="Avenir Book" w:hAnsi="Avenir Book"/>
          <w:lang w:val="en-GB"/>
        </w:rPr>
      </w:pPr>
    </w:p>
    <w:p w:rsidR="003A5A07" w:rsidRPr="00B06331" w:rsidRDefault="003A5A07" w:rsidP="003A5A07">
      <w:pPr>
        <w:pStyle w:val="ListParagraph"/>
        <w:spacing w:after="0"/>
        <w:ind w:left="0"/>
        <w:jc w:val="both"/>
        <w:rPr>
          <w:rFonts w:ascii="Avenir Book" w:hAnsi="Avenir Book"/>
          <w:b/>
          <w:lang w:val="en-GB"/>
        </w:rPr>
      </w:pPr>
      <w:r w:rsidRPr="00B06331">
        <w:rPr>
          <w:rFonts w:ascii="Avenir Book" w:hAnsi="Avenir Book"/>
          <w:b/>
          <w:lang w:val="en-GB"/>
        </w:rPr>
        <w:t xml:space="preserve">Design, implement and expand social safety nets i.e. cash and in-kind transfers, public works, minimum wage, with effective and efficient targeting including during disaster emergencies and food price shocks </w:t>
      </w:r>
    </w:p>
    <w:p w:rsidR="003A5A07" w:rsidRPr="00B06331" w:rsidRDefault="003A5A07" w:rsidP="003A5A07">
      <w:pPr>
        <w:pStyle w:val="ListParagraph"/>
        <w:spacing w:after="0"/>
        <w:ind w:left="0"/>
        <w:jc w:val="both"/>
        <w:rPr>
          <w:rFonts w:ascii="Avenir Book" w:hAnsi="Avenir Book"/>
          <w:lang w:val="en-GB"/>
        </w:rPr>
      </w:pPr>
    </w:p>
    <w:p w:rsidR="003A5A07" w:rsidRPr="00B06331" w:rsidRDefault="003A5A07" w:rsidP="003A5A07">
      <w:pPr>
        <w:pStyle w:val="ListParagraph"/>
        <w:spacing w:after="0"/>
        <w:ind w:left="0"/>
        <w:jc w:val="both"/>
        <w:rPr>
          <w:rFonts w:ascii="Avenir Book" w:hAnsi="Avenir Book"/>
          <w:lang w:val="en-GB"/>
        </w:rPr>
      </w:pPr>
      <w:r w:rsidRPr="00B06331">
        <w:rPr>
          <w:rFonts w:ascii="Avenir Book" w:hAnsi="Avenir Book"/>
          <w:lang w:val="en-GB"/>
        </w:rPr>
        <w:t>Government will develop and implement a number of interrelated policies and strategies to address social protection challenges. These include disability policies and programmes designed for the empowerment of Pe</w:t>
      </w:r>
      <w:r w:rsidR="00841038" w:rsidRPr="00B06331">
        <w:rPr>
          <w:rFonts w:ascii="Avenir Book" w:hAnsi="Avenir Book"/>
          <w:lang w:val="en-GB"/>
        </w:rPr>
        <w:t>rsons With Disabilities (PWDs);</w:t>
      </w:r>
      <w:r w:rsidR="009777F1" w:rsidRPr="00B06331">
        <w:rPr>
          <w:rFonts w:ascii="Avenir Book" w:hAnsi="Avenir Book"/>
          <w:lang w:val="en-GB"/>
        </w:rPr>
        <w:t>labour</w:t>
      </w:r>
      <w:r w:rsidRPr="00B06331">
        <w:rPr>
          <w:rFonts w:ascii="Avenir Book" w:hAnsi="Avenir Book"/>
          <w:lang w:val="en-GB"/>
        </w:rPr>
        <w:t xml:space="preserve"> market policies and programs designed to promote employment, the efficient operation of the labour ma</w:t>
      </w:r>
      <w:r w:rsidR="00841038" w:rsidRPr="00B06331">
        <w:rPr>
          <w:rFonts w:ascii="Avenir Book" w:hAnsi="Avenir Book"/>
          <w:lang w:val="en-GB"/>
        </w:rPr>
        <w:t xml:space="preserve">rkets and the protection of </w:t>
      </w:r>
      <w:r w:rsidRPr="00B06331">
        <w:rPr>
          <w:rFonts w:ascii="Avenir Book" w:hAnsi="Avenir Book"/>
          <w:lang w:val="en-GB"/>
        </w:rPr>
        <w:t xml:space="preserve"> workers; social insurance programs to cushion the risks associated with unemployment, ill health, disability, work related injury and old age; social assistance and welfare service programs for the most vulnerable groups with no other means of adequate support, including individuals and families in difficult circumstances, the elderly, persons with di</w:t>
      </w:r>
      <w:r w:rsidR="00841038" w:rsidRPr="00B06331">
        <w:rPr>
          <w:rFonts w:ascii="Avenir Book" w:hAnsi="Avenir Book"/>
          <w:lang w:val="en-GB"/>
        </w:rPr>
        <w:t xml:space="preserve">sabilities, women and children; </w:t>
      </w:r>
      <w:r w:rsidR="002403CC" w:rsidRPr="00B06331">
        <w:rPr>
          <w:rFonts w:ascii="Avenir Book" w:hAnsi="Avenir Book"/>
          <w:lang w:val="en-GB"/>
        </w:rPr>
        <w:t>and m</w:t>
      </w:r>
      <w:r w:rsidRPr="00B06331">
        <w:rPr>
          <w:rFonts w:ascii="Avenir Book" w:hAnsi="Avenir Book"/>
          <w:lang w:val="en-GB"/>
        </w:rPr>
        <w:t>icro-and area –based schemes to address vulnerability at the community level including micro-insurance, agricultural insurance, social assistance and transfer progr</w:t>
      </w:r>
      <w:r w:rsidR="002403CC" w:rsidRPr="00B06331">
        <w:rPr>
          <w:rFonts w:ascii="Avenir Book" w:hAnsi="Avenir Book"/>
          <w:lang w:val="en-GB"/>
        </w:rPr>
        <w:t>ams to manage natural disasters.</w:t>
      </w:r>
    </w:p>
    <w:p w:rsidR="003A5A07" w:rsidRPr="00B06331" w:rsidRDefault="003A5A07" w:rsidP="003A5A07">
      <w:pPr>
        <w:pStyle w:val="ListParagraph"/>
        <w:tabs>
          <w:tab w:val="left" w:pos="993"/>
        </w:tabs>
        <w:spacing w:line="240" w:lineRule="auto"/>
        <w:ind w:left="0"/>
        <w:jc w:val="both"/>
        <w:rPr>
          <w:rFonts w:ascii="Avenir Book" w:hAnsi="Avenir Book"/>
          <w:lang w:val="en-GB"/>
        </w:rPr>
      </w:pPr>
    </w:p>
    <w:p w:rsidR="003A5A07" w:rsidRPr="00B06331" w:rsidRDefault="003A5A07" w:rsidP="003A5A07">
      <w:pPr>
        <w:pStyle w:val="ListParagraph"/>
        <w:tabs>
          <w:tab w:val="left" w:pos="993"/>
        </w:tabs>
        <w:ind w:left="0"/>
        <w:jc w:val="both"/>
        <w:rPr>
          <w:rFonts w:ascii="Avenir Book" w:hAnsi="Avenir Book"/>
          <w:lang w:val="en-GB"/>
        </w:rPr>
      </w:pPr>
      <w:r w:rsidRPr="00B06331">
        <w:rPr>
          <w:rFonts w:ascii="Avenir Book" w:hAnsi="Avenir Book"/>
          <w:lang w:val="en-GB"/>
        </w:rPr>
        <w:t xml:space="preserve">This </w:t>
      </w:r>
      <w:r w:rsidR="002403CC" w:rsidRPr="00B06331">
        <w:rPr>
          <w:rFonts w:ascii="Avenir Book" w:hAnsi="Avenir Book"/>
          <w:lang w:val="en-GB"/>
        </w:rPr>
        <w:t>will entail</w:t>
      </w:r>
      <w:r w:rsidRPr="00B06331">
        <w:rPr>
          <w:rFonts w:ascii="Avenir Book" w:hAnsi="Avenir Book"/>
          <w:lang w:val="en-GB"/>
        </w:rPr>
        <w:t xml:space="preserve"> the strengthening of cash transfer scheme policies, procedures and systems to be able to </w:t>
      </w:r>
      <w:r w:rsidR="002403CC" w:rsidRPr="00B06331">
        <w:rPr>
          <w:rFonts w:ascii="Avenir Book" w:hAnsi="Avenir Book"/>
          <w:lang w:val="en-GB"/>
        </w:rPr>
        <w:t>respond effectively to emergencies</w:t>
      </w:r>
      <w:r w:rsidRPr="00B06331">
        <w:rPr>
          <w:rFonts w:ascii="Avenir Book" w:hAnsi="Avenir Book"/>
          <w:lang w:val="en-GB"/>
        </w:rPr>
        <w:t xml:space="preserve"> and shock</w:t>
      </w:r>
      <w:r w:rsidR="002403CC" w:rsidRPr="00B06331">
        <w:rPr>
          <w:rFonts w:ascii="Avenir Book" w:hAnsi="Avenir Book"/>
          <w:lang w:val="en-GB"/>
        </w:rPr>
        <w:t xml:space="preserve">s during crisis. </w:t>
      </w:r>
      <w:r w:rsidRPr="00B06331">
        <w:rPr>
          <w:rFonts w:ascii="Avenir Book" w:hAnsi="Avenir Book"/>
          <w:lang w:val="en-GB"/>
        </w:rPr>
        <w:t xml:space="preserve">Government will undertake scoping studies for institutionalizing faith-based social protection instruments for example “Zakar” and also undertake a feasibility study to establish health insurance schemes. There are also plans to formalize and regulate the informal and traditional micro-credit programmes (such as the “OSUSU) which have long standing credentials of fostering social cohesion and strengthening the economic base of families especially the women. </w:t>
      </w:r>
    </w:p>
    <w:p w:rsidR="003A5A07" w:rsidRPr="00B06331" w:rsidRDefault="003A5A07" w:rsidP="003A5A07">
      <w:pPr>
        <w:pStyle w:val="ListParagraph"/>
        <w:spacing w:after="0" w:line="360" w:lineRule="auto"/>
        <w:ind w:left="0"/>
        <w:jc w:val="both"/>
        <w:rPr>
          <w:rFonts w:ascii="Avenir Book" w:hAnsi="Avenir Book"/>
          <w:lang w:val="en-GB"/>
        </w:rPr>
      </w:pPr>
    </w:p>
    <w:p w:rsidR="003A5A07" w:rsidRPr="00B06331" w:rsidRDefault="003A5A07" w:rsidP="003A5A07">
      <w:pPr>
        <w:pStyle w:val="ListParagraph"/>
        <w:spacing w:after="0"/>
        <w:ind w:left="0"/>
        <w:jc w:val="both"/>
        <w:rPr>
          <w:rFonts w:ascii="Avenir Book" w:hAnsi="Avenir Book"/>
          <w:b/>
          <w:lang w:val="en-GB"/>
        </w:rPr>
      </w:pPr>
      <w:r w:rsidRPr="00B06331">
        <w:rPr>
          <w:rFonts w:ascii="Avenir Book" w:hAnsi="Avenir Book"/>
          <w:b/>
          <w:lang w:val="en-GB"/>
        </w:rPr>
        <w:t xml:space="preserve">Increase and strengthen the child protection system including legal provisions and administrative structures and personnel </w:t>
      </w:r>
    </w:p>
    <w:p w:rsidR="003A5A07" w:rsidRPr="00B06331" w:rsidRDefault="003A5A07" w:rsidP="003A5A07">
      <w:pPr>
        <w:pStyle w:val="ListParagraph"/>
        <w:ind w:left="0"/>
        <w:jc w:val="both"/>
        <w:rPr>
          <w:rFonts w:ascii="Avenir Book" w:hAnsi="Avenir Book"/>
          <w:lang w:val="en-GB"/>
        </w:rPr>
      </w:pPr>
    </w:p>
    <w:p w:rsidR="003A5A07" w:rsidRPr="00B06331" w:rsidRDefault="003A5A07" w:rsidP="005D5E1C">
      <w:pPr>
        <w:pStyle w:val="ListParagraph"/>
        <w:ind w:left="0"/>
        <w:jc w:val="both"/>
        <w:rPr>
          <w:rFonts w:ascii="Avenir Book" w:hAnsi="Avenir Book"/>
          <w:lang w:val="en-GB"/>
        </w:rPr>
      </w:pPr>
      <w:r w:rsidRPr="00B06331">
        <w:rPr>
          <w:rFonts w:ascii="Avenir Book" w:hAnsi="Avenir Book"/>
          <w:lang w:val="en-GB"/>
        </w:rPr>
        <w:t>This will entail collaboration and coordination with child protection stakeholders to strengthen and review existing laws and legislations on child protection. Government will also advocate for harmonization of legal instruments to include comprehensive Child protection issues/violations (FGM/C, Child marriage, Child Trafficking, Children on the move, Child exploitation and chi</w:t>
      </w:r>
      <w:r w:rsidR="005D5E1C" w:rsidRPr="00B06331">
        <w:rPr>
          <w:rFonts w:ascii="Avenir Book" w:hAnsi="Avenir Book"/>
          <w:lang w:val="en-GB"/>
        </w:rPr>
        <w:t>ld labour) for law enforcement.</w:t>
      </w:r>
    </w:p>
    <w:p w:rsidR="005D5E1C" w:rsidRPr="00B06331" w:rsidRDefault="005D5E1C" w:rsidP="005D5E1C">
      <w:pPr>
        <w:pStyle w:val="ListParagraph"/>
        <w:ind w:left="0"/>
        <w:jc w:val="both"/>
        <w:rPr>
          <w:rFonts w:ascii="Avenir Book" w:hAnsi="Avenir Book"/>
          <w:lang w:val="en-GB"/>
        </w:rPr>
      </w:pPr>
    </w:p>
    <w:p w:rsidR="003A5A07" w:rsidRPr="00B06331" w:rsidRDefault="003A5A07" w:rsidP="003A5A07">
      <w:pPr>
        <w:pStyle w:val="ListParagraph"/>
        <w:spacing w:after="0"/>
        <w:ind w:left="0"/>
        <w:jc w:val="both"/>
        <w:rPr>
          <w:rFonts w:ascii="Avenir Book" w:hAnsi="Avenir Book"/>
          <w:b/>
          <w:lang w:val="en-GB"/>
        </w:rPr>
      </w:pPr>
      <w:r w:rsidRPr="00B06331">
        <w:rPr>
          <w:rFonts w:ascii="Avenir Book" w:hAnsi="Avenir Book"/>
          <w:b/>
          <w:lang w:val="en-GB"/>
        </w:rPr>
        <w:lastRenderedPageBreak/>
        <w:t>Expand preventive and protective services for all children</w:t>
      </w:r>
    </w:p>
    <w:p w:rsidR="003A5A07" w:rsidRPr="00B06331" w:rsidRDefault="003A5A07" w:rsidP="003A5A07">
      <w:pPr>
        <w:pStyle w:val="ListParagraph"/>
        <w:ind w:left="0"/>
        <w:jc w:val="both"/>
        <w:rPr>
          <w:rFonts w:ascii="Avenir Book" w:hAnsi="Avenir Book"/>
          <w:lang w:val="en-GB"/>
        </w:rPr>
      </w:pPr>
    </w:p>
    <w:p w:rsidR="003A5A07" w:rsidRPr="00B06331" w:rsidRDefault="002403CC" w:rsidP="003A5A07">
      <w:pPr>
        <w:pStyle w:val="ListParagraph"/>
        <w:ind w:left="0"/>
        <w:jc w:val="both"/>
        <w:rPr>
          <w:rFonts w:ascii="Avenir Book" w:hAnsi="Avenir Book"/>
          <w:lang w:val="en-GB"/>
        </w:rPr>
      </w:pPr>
      <w:r w:rsidRPr="00B06331">
        <w:rPr>
          <w:rFonts w:ascii="Avenir Book" w:hAnsi="Avenir Book"/>
          <w:lang w:val="en-GB"/>
        </w:rPr>
        <w:t xml:space="preserve">Social protection measures </w:t>
      </w:r>
      <w:r w:rsidR="003A5A07" w:rsidRPr="00B06331">
        <w:rPr>
          <w:rFonts w:ascii="Avenir Book" w:hAnsi="Avenir Book"/>
          <w:lang w:val="en-GB"/>
        </w:rPr>
        <w:t>for children, youth and children with disability will include early child development and</w:t>
      </w:r>
      <w:r w:rsidR="009777F1" w:rsidRPr="00B06331">
        <w:rPr>
          <w:rFonts w:ascii="Avenir Book" w:hAnsi="Avenir Book"/>
          <w:lang w:val="en-GB"/>
        </w:rPr>
        <w:t xml:space="preserve">  to ensure the balanced psychomotor</w:t>
      </w:r>
      <w:r w:rsidR="003A5A07" w:rsidRPr="00B06331">
        <w:rPr>
          <w:rFonts w:ascii="Avenir Book" w:hAnsi="Avenir Book"/>
          <w:lang w:val="en-GB"/>
        </w:rPr>
        <w:t xml:space="preserve"> development of the child through basic nutrition, prevention of illnesses, health and educational programmes such as school meals programmes; scholarship schemes; school bill waivers such as waiving fees for mother and children in health services. Other programmes under this theme will focus on Child rights advocacy/ awareness programmes against child abuse, child labour, as well as youth programmes to mitigate against irregular migration, unemployment, criminality, and drug and alcohol addiction. </w:t>
      </w:r>
    </w:p>
    <w:p w:rsidR="003A5A07" w:rsidRPr="00B06331" w:rsidRDefault="003A5A07" w:rsidP="003A5A07">
      <w:pPr>
        <w:pStyle w:val="ListParagraph"/>
        <w:ind w:left="0"/>
        <w:jc w:val="both"/>
        <w:rPr>
          <w:rFonts w:ascii="Avenir Book" w:hAnsi="Avenir Book"/>
          <w:lang w:val="en-GB"/>
        </w:rPr>
      </w:pPr>
    </w:p>
    <w:p w:rsidR="003A5A07" w:rsidRPr="00B06331" w:rsidRDefault="003A5A07" w:rsidP="003A5A07">
      <w:pPr>
        <w:pStyle w:val="ListParagraph"/>
        <w:ind w:left="0"/>
        <w:jc w:val="both"/>
        <w:rPr>
          <w:rFonts w:ascii="Avenir Book" w:hAnsi="Avenir Book"/>
          <w:lang w:val="en-GB"/>
        </w:rPr>
      </w:pPr>
      <w:r w:rsidRPr="00B06331">
        <w:rPr>
          <w:rFonts w:ascii="Avenir Book" w:hAnsi="Avenir Book"/>
          <w:lang w:val="en-GB"/>
        </w:rPr>
        <w:t>Government will also provide access to sexual and reproductive health services including family planning programs and prevention of sexually transmitted infections including HIV/AIDS. Vulnerabilities to early pregnancies and other impediments to girls’ development wil</w:t>
      </w:r>
      <w:r w:rsidR="002403CC" w:rsidRPr="00B06331">
        <w:rPr>
          <w:rFonts w:ascii="Avenir Book" w:hAnsi="Avenir Book"/>
          <w:lang w:val="en-GB"/>
        </w:rPr>
        <w:t>l also be addressed. S</w:t>
      </w:r>
      <w:r w:rsidRPr="00B06331">
        <w:rPr>
          <w:rFonts w:ascii="Avenir Book" w:hAnsi="Avenir Book"/>
          <w:lang w:val="en-GB"/>
        </w:rPr>
        <w:t xml:space="preserve">pecial emphasis would </w:t>
      </w:r>
      <w:r w:rsidR="002403CC" w:rsidRPr="00B06331">
        <w:rPr>
          <w:rFonts w:ascii="Avenir Book" w:hAnsi="Avenir Book"/>
          <w:lang w:val="en-GB"/>
        </w:rPr>
        <w:t>be placed on attracting youth to</w:t>
      </w:r>
      <w:r w:rsidRPr="00B06331">
        <w:rPr>
          <w:rFonts w:ascii="Avenir Book" w:hAnsi="Avenir Book"/>
          <w:lang w:val="en-GB"/>
        </w:rPr>
        <w:t xml:space="preserve"> agriculture, by developing adequate social protection measures (such as input subsidy schemes, and support for value chains development involving youth participation and leadership). </w:t>
      </w:r>
    </w:p>
    <w:p w:rsidR="003A5A07" w:rsidRPr="00B06331" w:rsidRDefault="003A5A07" w:rsidP="003A5A07">
      <w:pPr>
        <w:pStyle w:val="ListParagraph"/>
        <w:ind w:left="0"/>
        <w:jc w:val="both"/>
        <w:rPr>
          <w:rFonts w:ascii="Avenir Book" w:hAnsi="Avenir Book"/>
          <w:lang w:val="en-GB"/>
        </w:rPr>
      </w:pPr>
    </w:p>
    <w:p w:rsidR="003A5A07" w:rsidRPr="00B06331" w:rsidRDefault="003A5A07" w:rsidP="003A5A07">
      <w:pPr>
        <w:pStyle w:val="ListParagraph"/>
        <w:ind w:left="0"/>
        <w:jc w:val="both"/>
        <w:rPr>
          <w:rFonts w:ascii="Avenir Book" w:hAnsi="Avenir Book"/>
          <w:lang w:val="en-GB"/>
        </w:rPr>
      </w:pPr>
      <w:r w:rsidRPr="00B06331">
        <w:rPr>
          <w:rFonts w:ascii="Avenir Book" w:hAnsi="Avenir Book"/>
          <w:lang w:val="en-GB"/>
        </w:rPr>
        <w:t>The Promotion of an environment friendly majali</w:t>
      </w:r>
      <w:r w:rsidR="002403CC" w:rsidRPr="00B06331">
        <w:rPr>
          <w:rFonts w:ascii="Avenir Book" w:hAnsi="Avenir Book"/>
          <w:lang w:val="en-GB"/>
        </w:rPr>
        <w:t>s education system in the country</w:t>
      </w:r>
      <w:r w:rsidRPr="00B06331">
        <w:rPr>
          <w:rFonts w:ascii="Avenir Book" w:hAnsi="Avenir Book"/>
          <w:lang w:val="en-GB"/>
        </w:rPr>
        <w:t xml:space="preserve"> is also a core i</w:t>
      </w:r>
      <w:r w:rsidR="002403CC" w:rsidRPr="00B06331">
        <w:rPr>
          <w:rFonts w:ascii="Avenir Book" w:hAnsi="Avenir Book"/>
          <w:lang w:val="en-GB"/>
        </w:rPr>
        <w:t>ntervention</w:t>
      </w:r>
      <w:r w:rsidRPr="00B06331">
        <w:rPr>
          <w:rFonts w:ascii="Avenir Book" w:hAnsi="Avenir Book"/>
          <w:lang w:val="en-GB"/>
        </w:rPr>
        <w:t xml:space="preserve"> for Government durin</w:t>
      </w:r>
      <w:r w:rsidR="002403CC" w:rsidRPr="00B06331">
        <w:rPr>
          <w:rFonts w:ascii="Avenir Book" w:hAnsi="Avenir Book"/>
          <w:lang w:val="en-GB"/>
        </w:rPr>
        <w:t xml:space="preserve">g the plan period. </w:t>
      </w:r>
      <w:r w:rsidRPr="00B06331">
        <w:rPr>
          <w:rFonts w:ascii="Avenir Book" w:hAnsi="Avenir Book"/>
          <w:lang w:val="en-GB"/>
        </w:rPr>
        <w:t xml:space="preserve">Government will </w:t>
      </w:r>
      <w:r w:rsidR="002403CC" w:rsidRPr="00B06331">
        <w:rPr>
          <w:rFonts w:ascii="Avenir Book" w:hAnsi="Avenir Book"/>
          <w:lang w:val="en-GB"/>
        </w:rPr>
        <w:t xml:space="preserve">therefore </w:t>
      </w:r>
      <w:r w:rsidRPr="00B06331">
        <w:rPr>
          <w:rFonts w:ascii="Avenir Book" w:hAnsi="Avenir Book"/>
          <w:lang w:val="en-GB"/>
        </w:rPr>
        <w:t>provide t</w:t>
      </w:r>
      <w:r w:rsidR="002403CC" w:rsidRPr="00B06331">
        <w:rPr>
          <w:rFonts w:ascii="Avenir Book" w:hAnsi="Avenir Book"/>
          <w:lang w:val="en-GB"/>
        </w:rPr>
        <w:t>echnical and financial assistance to majalis to address</w:t>
      </w:r>
      <w:r w:rsidRPr="00B06331">
        <w:rPr>
          <w:rFonts w:ascii="Avenir Book" w:hAnsi="Avenir Book"/>
          <w:lang w:val="en-GB"/>
        </w:rPr>
        <w:t xml:space="preserve"> poverty for sustainable livelihood through Argo-forestry, bee-</w:t>
      </w:r>
      <w:r w:rsidR="00E31236" w:rsidRPr="00B06331">
        <w:rPr>
          <w:rFonts w:ascii="Avenir Book" w:hAnsi="Avenir Book"/>
          <w:lang w:val="en-GB"/>
        </w:rPr>
        <w:t>keeping,</w:t>
      </w:r>
      <w:r w:rsidRPr="00B06331">
        <w:rPr>
          <w:rFonts w:ascii="Avenir Book" w:hAnsi="Avenir Book"/>
          <w:lang w:val="en-GB"/>
        </w:rPr>
        <w:t xml:space="preserve"> and provision of clean water. Scoping studies hav</w:t>
      </w:r>
      <w:r w:rsidR="002403CC" w:rsidRPr="00B06331">
        <w:rPr>
          <w:rFonts w:ascii="Avenir Book" w:hAnsi="Avenir Book"/>
          <w:lang w:val="en-GB"/>
        </w:rPr>
        <w:t>e shown that some “talibehs” still feed</w:t>
      </w:r>
      <w:r w:rsidRPr="00B06331">
        <w:rPr>
          <w:rFonts w:ascii="Avenir Book" w:hAnsi="Avenir Book"/>
          <w:lang w:val="en-GB"/>
        </w:rPr>
        <w:t xml:space="preserve"> from begging, charity food or wild fruit. </w:t>
      </w:r>
      <w:r w:rsidR="002403CC" w:rsidRPr="00B06331">
        <w:rPr>
          <w:rFonts w:ascii="Avenir Book" w:hAnsi="Avenir Book"/>
          <w:lang w:val="en-GB"/>
        </w:rPr>
        <w:t>T</w:t>
      </w:r>
      <w:r w:rsidRPr="00B06331">
        <w:rPr>
          <w:rFonts w:ascii="Avenir Book" w:hAnsi="Avenir Book"/>
          <w:lang w:val="en-GB"/>
        </w:rPr>
        <w:t>o avoid illness due to poor food intake of “talibehs”, marabouts</w:t>
      </w:r>
      <w:r w:rsidR="002403CC" w:rsidRPr="00B06331">
        <w:rPr>
          <w:rFonts w:ascii="Avenir Book" w:hAnsi="Avenir Book"/>
          <w:lang w:val="en-GB"/>
        </w:rPr>
        <w:t xml:space="preserve"> would be </w:t>
      </w:r>
      <w:r w:rsidRPr="00B06331">
        <w:rPr>
          <w:rFonts w:ascii="Avenir Book" w:hAnsi="Avenir Book"/>
          <w:lang w:val="en-GB"/>
        </w:rPr>
        <w:t>encouraged to develop farms and gardens for the feeding of the children and also for skills transfers</w:t>
      </w:r>
      <w:r w:rsidR="002403CC" w:rsidRPr="00B06331">
        <w:rPr>
          <w:rFonts w:ascii="Avenir Book" w:hAnsi="Avenir Book"/>
          <w:lang w:val="en-GB"/>
        </w:rPr>
        <w:t>; the m</w:t>
      </w:r>
      <w:r w:rsidRPr="00B06331">
        <w:rPr>
          <w:rFonts w:ascii="Avenir Book" w:hAnsi="Avenir Book"/>
          <w:lang w:val="en-GB"/>
        </w:rPr>
        <w:t xml:space="preserve">ajority of “Talibes” are orphans or from vulnerable families.  </w:t>
      </w:r>
    </w:p>
    <w:p w:rsidR="003A5A07" w:rsidRPr="00B06331" w:rsidRDefault="003A5A07" w:rsidP="003A5A07">
      <w:pPr>
        <w:pStyle w:val="ListParagraph"/>
        <w:ind w:left="0"/>
        <w:jc w:val="both"/>
        <w:rPr>
          <w:rFonts w:ascii="Avenir Book" w:hAnsi="Avenir Book"/>
          <w:lang w:val="en-GB"/>
        </w:rPr>
      </w:pPr>
    </w:p>
    <w:p w:rsidR="00E31236" w:rsidRPr="00B06331" w:rsidRDefault="00E31236" w:rsidP="003A5A07">
      <w:pPr>
        <w:pStyle w:val="ListParagraph"/>
        <w:ind w:left="0"/>
        <w:jc w:val="both"/>
        <w:rPr>
          <w:rFonts w:ascii="Avenir Book" w:hAnsi="Avenir Book"/>
          <w:b/>
          <w:i/>
          <w:color w:val="4472C4" w:themeColor="accent1"/>
          <w:lang w:val="en-GB"/>
        </w:rPr>
      </w:pPr>
      <w:r w:rsidRPr="00B06331">
        <w:rPr>
          <w:rFonts w:ascii="Avenir Book" w:hAnsi="Avenir Book"/>
          <w:b/>
          <w:i/>
          <w:color w:val="4472C4" w:themeColor="accent1"/>
          <w:lang w:val="en-GB"/>
        </w:rPr>
        <w:t>Outcome 4.9: Enhance Inclusiveness and Participation of Persons with Disabilities in the National Development Agenda</w:t>
      </w:r>
    </w:p>
    <w:p w:rsidR="003A5A07" w:rsidRPr="00B06331" w:rsidRDefault="003A5A07" w:rsidP="003A5A07">
      <w:pPr>
        <w:pStyle w:val="ListParagraph"/>
        <w:ind w:left="0"/>
        <w:jc w:val="both"/>
        <w:rPr>
          <w:rFonts w:ascii="Avenir Book" w:hAnsi="Avenir Book"/>
          <w:lang w:val="en-GB"/>
        </w:rPr>
      </w:pPr>
    </w:p>
    <w:p w:rsidR="00BA5F5B" w:rsidRPr="00B06331" w:rsidRDefault="003A5A07" w:rsidP="002403CC">
      <w:pPr>
        <w:pStyle w:val="ListParagraph"/>
        <w:ind w:left="0"/>
        <w:jc w:val="both"/>
        <w:rPr>
          <w:rFonts w:ascii="Avenir Book" w:hAnsi="Avenir Book"/>
          <w:lang w:val="en-GB"/>
        </w:rPr>
      </w:pPr>
      <w:r w:rsidRPr="00B06331">
        <w:rPr>
          <w:rFonts w:ascii="Avenir Book" w:hAnsi="Avenir Book"/>
          <w:lang w:val="en-GB"/>
        </w:rPr>
        <w:t>The constitution of the Gambia Section (31) provides for the protection and rights of persons with disabilities. Furthermore, The Government of the Gambia has ratified the Convention on the Rights of Persons with Disabilities and its Optional Protocol and plans are advanced to domesticate them into</w:t>
      </w:r>
      <w:r w:rsidR="002403CC" w:rsidRPr="00B06331">
        <w:rPr>
          <w:rFonts w:ascii="Avenir Book" w:hAnsi="Avenir Book"/>
          <w:lang w:val="en-GB"/>
        </w:rPr>
        <w:t xml:space="preserve"> a law (disability bill). Government commits</w:t>
      </w:r>
      <w:r w:rsidRPr="00B06331">
        <w:rPr>
          <w:rFonts w:ascii="Avenir Book" w:hAnsi="Avenir Book"/>
          <w:lang w:val="en-GB"/>
        </w:rPr>
        <w:t xml:space="preserve"> itself to promote, protect and ensure the full and equal enjoyment of all Human Rights and Fundamental Freedom by all persons with Disabilities, and to promote resp</w:t>
      </w:r>
      <w:r w:rsidR="002403CC" w:rsidRPr="00B06331">
        <w:rPr>
          <w:rFonts w:ascii="Avenir Book" w:hAnsi="Avenir Book"/>
          <w:lang w:val="en-GB"/>
        </w:rPr>
        <w:t xml:space="preserve">ect for their inherent dignity. </w:t>
      </w:r>
      <w:r w:rsidRPr="00B06331">
        <w:rPr>
          <w:rFonts w:ascii="Avenir Book" w:hAnsi="Avenir Book"/>
          <w:lang w:val="en-GB"/>
        </w:rPr>
        <w:t>There are plans to continue to create an enabling environment for People with Disabilities to continue to actively participate in national development through the below interventions.</w:t>
      </w:r>
    </w:p>
    <w:p w:rsidR="003A5A07" w:rsidRPr="00B06331" w:rsidRDefault="003A5A07" w:rsidP="003A5A07">
      <w:pPr>
        <w:jc w:val="both"/>
        <w:rPr>
          <w:rFonts w:ascii="Avenir Book" w:hAnsi="Avenir Book"/>
          <w:b/>
          <w:lang w:val="en-GB"/>
        </w:rPr>
      </w:pPr>
      <w:r w:rsidRPr="00B06331">
        <w:rPr>
          <w:rFonts w:ascii="Avenir Book" w:hAnsi="Avenir Book"/>
          <w:b/>
          <w:lang w:val="en-GB"/>
        </w:rPr>
        <w:t xml:space="preserve">Strengthen policy and legal framework on Disability matters </w:t>
      </w:r>
    </w:p>
    <w:p w:rsidR="00E31236" w:rsidRPr="00B06331" w:rsidRDefault="002403CC" w:rsidP="003A5A07">
      <w:pPr>
        <w:jc w:val="both"/>
        <w:rPr>
          <w:rFonts w:ascii="Avenir Book" w:hAnsi="Avenir Book"/>
          <w:lang w:val="en-GB"/>
        </w:rPr>
      </w:pPr>
      <w:r w:rsidRPr="00B06331">
        <w:rPr>
          <w:rFonts w:ascii="Avenir Book" w:hAnsi="Avenir Book"/>
          <w:lang w:val="en-GB"/>
        </w:rPr>
        <w:t>It is vital to have existing instruments to protect and advocate for the rights and welfare of persons with disabilities Government plans</w:t>
      </w:r>
      <w:r w:rsidR="003A5A07" w:rsidRPr="00B06331">
        <w:rPr>
          <w:rFonts w:ascii="Avenir Book" w:hAnsi="Avenir Book"/>
          <w:lang w:val="en-GB"/>
        </w:rPr>
        <w:t xml:space="preserve"> to review and adopt the draft National Integrated Disability Policy and the enactment of the Persons with Disabilities Bill</w:t>
      </w:r>
      <w:r w:rsidR="009777F1" w:rsidRPr="00B06331">
        <w:rPr>
          <w:rFonts w:ascii="Avenir Book" w:hAnsi="Avenir Book"/>
          <w:lang w:val="en-GB"/>
        </w:rPr>
        <w:t>.</w:t>
      </w:r>
      <w:r w:rsidR="003A5A07" w:rsidRPr="00B06331">
        <w:rPr>
          <w:rFonts w:ascii="Avenir Book" w:hAnsi="Avenir Book"/>
          <w:lang w:val="en-GB"/>
        </w:rPr>
        <w:t xml:space="preserve">The policy will be anchored on (i) economic </w:t>
      </w:r>
      <w:r w:rsidR="003A5A07" w:rsidRPr="00B06331">
        <w:rPr>
          <w:rFonts w:ascii="Avenir Book" w:hAnsi="Avenir Book"/>
          <w:lang w:val="en-GB"/>
        </w:rPr>
        <w:lastRenderedPageBreak/>
        <w:t xml:space="preserve">empowerment and financial independence of PWDs; (ii) dignity and rights of PWDs; and (iii) strengthening the institutions, agencies, organisations engaged on disability. </w:t>
      </w:r>
    </w:p>
    <w:p w:rsidR="003A5A07" w:rsidRPr="00B06331" w:rsidRDefault="003A5A07" w:rsidP="003A5A07">
      <w:pPr>
        <w:jc w:val="both"/>
        <w:rPr>
          <w:rFonts w:ascii="Avenir Book" w:hAnsi="Avenir Book"/>
          <w:b/>
          <w:lang w:val="en-GB"/>
        </w:rPr>
      </w:pPr>
      <w:r w:rsidRPr="00B06331">
        <w:rPr>
          <w:rFonts w:ascii="Avenir Book" w:hAnsi="Avenir Book"/>
          <w:b/>
          <w:lang w:val="en-GB"/>
        </w:rPr>
        <w:t xml:space="preserve">Social and economic empowerment of Persons with disabilities </w:t>
      </w:r>
    </w:p>
    <w:p w:rsidR="003A5A07" w:rsidRPr="00B06331" w:rsidRDefault="003A5A07" w:rsidP="003A5A07">
      <w:pPr>
        <w:ind w:right="112"/>
        <w:jc w:val="both"/>
        <w:rPr>
          <w:rFonts w:ascii="Avenir Book" w:hAnsi="Avenir Book"/>
          <w:color w:val="000000"/>
          <w:szCs w:val="20"/>
        </w:rPr>
      </w:pPr>
      <w:r w:rsidRPr="00B06331">
        <w:rPr>
          <w:rFonts w:ascii="Avenir Book" w:hAnsi="Avenir Book"/>
          <w:color w:val="000000"/>
          <w:szCs w:val="20"/>
        </w:rPr>
        <w:t xml:space="preserve">Government will integrate and mainstream people with disabilities as appropriate in all programmes and projects. It is envisaged that this will lead to economic empowerment </w:t>
      </w:r>
      <w:r w:rsidR="00E32776" w:rsidRPr="00B06331">
        <w:rPr>
          <w:rFonts w:ascii="Avenir Book" w:hAnsi="Avenir Book"/>
          <w:color w:val="000000"/>
          <w:szCs w:val="20"/>
        </w:rPr>
        <w:t xml:space="preserve">and financial independence. </w:t>
      </w:r>
      <w:r w:rsidRPr="00B06331">
        <w:rPr>
          <w:rFonts w:ascii="Avenir Book" w:hAnsi="Avenir Book"/>
          <w:color w:val="000000"/>
          <w:szCs w:val="20"/>
        </w:rPr>
        <w:t xml:space="preserve">PWD will have their contributions </w:t>
      </w:r>
      <w:r w:rsidR="009777F1" w:rsidRPr="00B06331">
        <w:rPr>
          <w:rFonts w:ascii="Avenir Book" w:hAnsi="Avenir Book"/>
          <w:color w:val="000000"/>
          <w:szCs w:val="20"/>
        </w:rPr>
        <w:t>valued;</w:t>
      </w:r>
      <w:r w:rsidRPr="00B06331">
        <w:rPr>
          <w:rFonts w:ascii="Avenir Book" w:hAnsi="Avenir Book"/>
          <w:color w:val="000000"/>
          <w:szCs w:val="20"/>
        </w:rPr>
        <w:t xml:space="preserve"> their dignity respected and receive a fair share of the economic growth. </w:t>
      </w:r>
      <w:r w:rsidR="00E32776" w:rsidRPr="00B06331">
        <w:rPr>
          <w:rFonts w:ascii="Avenir Book" w:hAnsi="Avenir Book"/>
          <w:color w:val="000000"/>
          <w:szCs w:val="20"/>
        </w:rPr>
        <w:t>R</w:t>
      </w:r>
      <w:r w:rsidRPr="00B06331">
        <w:rPr>
          <w:rFonts w:ascii="Avenir Book" w:hAnsi="Avenir Book"/>
          <w:color w:val="000000"/>
          <w:szCs w:val="20"/>
        </w:rPr>
        <w:t xml:space="preserve">epresentative bodies for people with disabilities will be continually engaged in programme formulation, implementation, and monitoring. </w:t>
      </w:r>
    </w:p>
    <w:p w:rsidR="003A5A07" w:rsidRPr="00B06331" w:rsidRDefault="003A5A07" w:rsidP="003A5A07">
      <w:pPr>
        <w:ind w:right="112"/>
        <w:jc w:val="both"/>
        <w:rPr>
          <w:rFonts w:ascii="Avenir Book" w:hAnsi="Avenir Book"/>
          <w:color w:val="000000"/>
          <w:szCs w:val="20"/>
        </w:rPr>
      </w:pPr>
      <w:r w:rsidRPr="00B06331">
        <w:rPr>
          <w:rFonts w:ascii="Avenir Book" w:hAnsi="Avenir Book"/>
          <w:color w:val="000000"/>
          <w:szCs w:val="20"/>
        </w:rPr>
        <w:t>Government will adopt a two prong approach that (i) facilitate the inclusion of youth with disabilities in mainstream economic empowerme</w:t>
      </w:r>
      <w:r w:rsidR="00E32776" w:rsidRPr="00B06331">
        <w:rPr>
          <w:rFonts w:ascii="Avenir Book" w:hAnsi="Avenir Book"/>
          <w:color w:val="000000"/>
          <w:szCs w:val="20"/>
        </w:rPr>
        <w:t>nt initiatives; and (ii)</w:t>
      </w:r>
      <w:r w:rsidRPr="00B06331">
        <w:rPr>
          <w:rFonts w:ascii="Avenir Book" w:hAnsi="Avenir Book"/>
          <w:color w:val="000000"/>
          <w:szCs w:val="20"/>
        </w:rPr>
        <w:t xml:space="preserve"> provide targeted support where required to address their</w:t>
      </w:r>
      <w:r w:rsidR="00E32776" w:rsidRPr="00B06331">
        <w:rPr>
          <w:rFonts w:ascii="Avenir Book" w:hAnsi="Avenir Book"/>
          <w:color w:val="000000"/>
          <w:szCs w:val="20"/>
        </w:rPr>
        <w:t xml:space="preserve"> specific needs and interests. </w:t>
      </w:r>
      <w:r w:rsidRPr="00B06331">
        <w:rPr>
          <w:rFonts w:ascii="Avenir Book" w:hAnsi="Avenir Book"/>
          <w:color w:val="000000"/>
          <w:szCs w:val="20"/>
        </w:rPr>
        <w:t xml:space="preserve">In partnership with Civil Society Organizations, Government’s theory of change for empowering youth with disability will be anchored on vocational training, combating stigma and discrimination, financial inclusion and strengthening organizations working with PWDs (organizational development for disability support institutions). </w:t>
      </w:r>
    </w:p>
    <w:p w:rsidR="003A5A07" w:rsidRPr="00B06331" w:rsidRDefault="003A5A07" w:rsidP="003A5A07">
      <w:pPr>
        <w:jc w:val="both"/>
        <w:rPr>
          <w:rFonts w:ascii="Avenir Book" w:hAnsi="Avenir Book"/>
          <w:b/>
          <w:lang w:val="en-GB"/>
        </w:rPr>
      </w:pPr>
      <w:r w:rsidRPr="00B06331">
        <w:rPr>
          <w:rFonts w:ascii="Avenir Book" w:hAnsi="Avenir Book"/>
          <w:b/>
          <w:lang w:val="en-GB"/>
        </w:rPr>
        <w:t xml:space="preserve">Provision of inclusive rehabilitation and </w:t>
      </w:r>
      <w:r w:rsidR="00E31236" w:rsidRPr="00B06331">
        <w:rPr>
          <w:rFonts w:ascii="Avenir Book" w:hAnsi="Avenir Book"/>
          <w:b/>
          <w:lang w:val="en-GB"/>
        </w:rPr>
        <w:t>habitation</w:t>
      </w:r>
      <w:r w:rsidRPr="00B06331">
        <w:rPr>
          <w:rFonts w:ascii="Avenir Book" w:hAnsi="Avenir Book"/>
          <w:b/>
          <w:lang w:val="en-GB"/>
        </w:rPr>
        <w:t xml:space="preserve"> programs and services for persons with disabilities</w:t>
      </w:r>
    </w:p>
    <w:p w:rsidR="003A5A07" w:rsidRPr="00B06331" w:rsidRDefault="003A5A07" w:rsidP="00E31236">
      <w:pPr>
        <w:jc w:val="both"/>
        <w:rPr>
          <w:rFonts w:ascii="Avenir Book" w:hAnsi="Avenir Book"/>
          <w:lang w:val="en-GB"/>
        </w:rPr>
      </w:pPr>
      <w:r w:rsidRPr="00B06331">
        <w:rPr>
          <w:rFonts w:ascii="Avenir Book" w:hAnsi="Avenir Book"/>
          <w:lang w:val="en-GB"/>
        </w:rPr>
        <w:t>Government is committed to the provision of rehabilitation services for persons with disabilities. In this plan, access to rehabilitation services will be improved and also decentralised to ensure quality service delivery at the d</w:t>
      </w:r>
      <w:r w:rsidR="00E32776" w:rsidRPr="00B06331">
        <w:rPr>
          <w:rFonts w:ascii="Avenir Book" w:hAnsi="Avenir Book"/>
          <w:lang w:val="en-GB"/>
        </w:rPr>
        <w:t>oorsteps of users. Good candidates for such</w:t>
      </w:r>
      <w:r w:rsidRPr="00B06331">
        <w:rPr>
          <w:rFonts w:ascii="Avenir Book" w:hAnsi="Avenir Book"/>
          <w:lang w:val="en-GB"/>
        </w:rPr>
        <w:t xml:space="preserve"> decentralised services are major hospitals and healthcare outlets throughout the country. The human resourcesrequired for community based service delivery will be strengthened through specialist trainings. Similarly, Government will seek partnerships to strengthen the rehabilitation centres through the provision of equipment, tools, systems and processes that improve effectiveness and efficiency. </w:t>
      </w:r>
    </w:p>
    <w:p w:rsidR="003A5A07" w:rsidRPr="00B06331" w:rsidRDefault="003A5A07" w:rsidP="003A5A07">
      <w:pPr>
        <w:pStyle w:val="Heading2"/>
        <w:rPr>
          <w:rFonts w:ascii="Calibri" w:hAnsi="Calibri" w:cs="Calibri"/>
          <w:sz w:val="22"/>
          <w:szCs w:val="22"/>
        </w:rPr>
      </w:pPr>
      <w:bookmarkStart w:id="132" w:name="_Toc488689339"/>
      <w:bookmarkStart w:id="133" w:name="_Toc492364783"/>
      <w:r w:rsidRPr="00B06331">
        <w:rPr>
          <w:rFonts w:ascii="Calibri" w:hAnsi="Calibri" w:cs="Calibri"/>
          <w:sz w:val="22"/>
          <w:szCs w:val="22"/>
        </w:rPr>
        <w:t>7.6 Energy&amp; Infrastructure</w:t>
      </w:r>
      <w:bookmarkEnd w:id="132"/>
      <w:bookmarkEnd w:id="133"/>
    </w:p>
    <w:p w:rsidR="003A5A07" w:rsidRPr="00B06331" w:rsidRDefault="003A5A07" w:rsidP="003A5A07">
      <w:pPr>
        <w:jc w:val="both"/>
        <w:rPr>
          <w:rFonts w:ascii="Avenir Book" w:hAnsi="Avenir Book"/>
          <w:szCs w:val="24"/>
        </w:rPr>
      </w:pPr>
      <w:r w:rsidRPr="00B06331">
        <w:rPr>
          <w:rFonts w:ascii="Avenir Book" w:hAnsi="Avenir Book"/>
          <w:caps/>
          <w:szCs w:val="24"/>
        </w:rPr>
        <w:t>M</w:t>
      </w:r>
      <w:r w:rsidRPr="00B06331">
        <w:rPr>
          <w:rFonts w:ascii="Avenir Book" w:hAnsi="Avenir Book"/>
          <w:szCs w:val="24"/>
        </w:rPr>
        <w:t>odern</w:t>
      </w:r>
      <w:r w:rsidRPr="00B06331">
        <w:rPr>
          <w:rFonts w:ascii="Avenir Book" w:hAnsi="Avenir Book"/>
          <w:caps/>
          <w:szCs w:val="24"/>
        </w:rPr>
        <w:t>,</w:t>
      </w:r>
      <w:r w:rsidRPr="00B06331">
        <w:rPr>
          <w:rFonts w:ascii="Avenir Book" w:hAnsi="Avenir Book"/>
          <w:szCs w:val="24"/>
        </w:rPr>
        <w:t>reliable,andefficient energy and infrastructureserviceswillspurgrowth</w:t>
      </w:r>
      <w:r w:rsidRPr="00B06331">
        <w:rPr>
          <w:rFonts w:ascii="Avenir Book" w:hAnsi="Avenir Book"/>
          <w:caps/>
          <w:szCs w:val="24"/>
        </w:rPr>
        <w:t xml:space="preserve">, </w:t>
      </w:r>
      <w:r w:rsidRPr="00B06331">
        <w:rPr>
          <w:rFonts w:ascii="Avenir Book" w:hAnsi="Avenir Book"/>
          <w:szCs w:val="24"/>
        </w:rPr>
        <w:t>catalyzeeconomictransformation,andcontributetoahighstandardofliving</w:t>
      </w:r>
      <w:r w:rsidRPr="00B06331">
        <w:rPr>
          <w:rFonts w:ascii="Avenir Book" w:hAnsi="Avenir Book"/>
          <w:caps/>
          <w:szCs w:val="24"/>
        </w:rPr>
        <w:t>. i</w:t>
      </w:r>
      <w:r w:rsidRPr="00B06331">
        <w:rPr>
          <w:rFonts w:ascii="Avenir Book" w:hAnsi="Avenir Book"/>
          <w:szCs w:val="24"/>
        </w:rPr>
        <w:t xml:space="preserve">tcanalsocontributetopovertyreduction. Currently, Gambia faces major challenges with respect to energy and infrastructure which </w:t>
      </w:r>
      <w:r w:rsidR="00E32776" w:rsidRPr="00B06331">
        <w:rPr>
          <w:rFonts w:ascii="Avenir Book" w:hAnsi="Avenir Book"/>
          <w:szCs w:val="24"/>
        </w:rPr>
        <w:t xml:space="preserve">is hampering growth prospects. </w:t>
      </w:r>
      <w:r w:rsidRPr="00B06331">
        <w:rPr>
          <w:rFonts w:ascii="Avenir Book" w:hAnsi="Avenir Book"/>
          <w:szCs w:val="24"/>
        </w:rPr>
        <w:t>Specifically, the NDP seeks to address the challenging policy environment in infrastructure and energy, the energy crisis, valorizing our petroleum resources and products, and the transport sector</w:t>
      </w:r>
      <w:r w:rsidR="00E32776" w:rsidRPr="00B06331">
        <w:rPr>
          <w:rStyle w:val="FootnoteReference"/>
          <w:rFonts w:ascii="Avenir Book" w:hAnsi="Avenir Book"/>
          <w:szCs w:val="24"/>
        </w:rPr>
        <w:footnoteReference w:id="23"/>
      </w:r>
      <w:r w:rsidRPr="00B06331">
        <w:rPr>
          <w:rFonts w:ascii="Avenir Book" w:hAnsi="Avenir Book"/>
          <w:szCs w:val="24"/>
        </w:rPr>
        <w:t xml:space="preserve">. </w:t>
      </w:r>
    </w:p>
    <w:p w:rsidR="00E31236" w:rsidRPr="00B06331" w:rsidRDefault="003A5A07" w:rsidP="003A5A07">
      <w:pPr>
        <w:jc w:val="both"/>
        <w:rPr>
          <w:rFonts w:ascii="Avenir Book" w:hAnsi="Avenir Book"/>
          <w:color w:val="000000"/>
        </w:rPr>
      </w:pPr>
      <w:r w:rsidRPr="00B06331">
        <w:rPr>
          <w:rFonts w:ascii="Avenir Book" w:hAnsi="Avenir Book"/>
          <w:szCs w:val="24"/>
        </w:rPr>
        <w:lastRenderedPageBreak/>
        <w:t>The NDP goal for energy and infrastructure is</w:t>
      </w:r>
      <w:r w:rsidRPr="00B06331">
        <w:rPr>
          <w:rFonts w:ascii="Avenir Book" w:hAnsi="Avenir Book"/>
          <w:b/>
          <w:i/>
        </w:rPr>
        <w:t xml:space="preserve">: </w:t>
      </w:r>
      <w:r w:rsidRPr="00B06331">
        <w:rPr>
          <w:rFonts w:ascii="Avenir Book" w:hAnsi="Avenir Book"/>
          <w:b/>
          <w:i/>
          <w:color w:val="000000"/>
        </w:rPr>
        <w:t>sustainable and improved energy, petroleum, and transport sectors for a revitalized economy and wellbeing.</w:t>
      </w:r>
      <w:r w:rsidRPr="00B06331">
        <w:rPr>
          <w:rFonts w:ascii="Avenir Book" w:hAnsi="Avenir Book"/>
          <w:color w:val="000000"/>
        </w:rPr>
        <w:t xml:space="preserve"> To achieve this goal, five outcomes have been i</w:t>
      </w:r>
      <w:r w:rsidR="00E32776" w:rsidRPr="00B06331">
        <w:rPr>
          <w:rFonts w:ascii="Avenir Book" w:hAnsi="Avenir Book"/>
          <w:color w:val="000000"/>
        </w:rPr>
        <w:t>dentified</w:t>
      </w:r>
      <w:r w:rsidR="00E31236" w:rsidRPr="00B06331">
        <w:rPr>
          <w:rFonts w:ascii="Avenir Book" w:hAnsi="Avenir Book"/>
          <w:color w:val="000000"/>
        </w:rPr>
        <w:t>.</w:t>
      </w:r>
    </w:p>
    <w:p w:rsidR="003A5A07" w:rsidRPr="00B06331" w:rsidRDefault="003A5A07" w:rsidP="00F51AF8">
      <w:pPr>
        <w:pStyle w:val="Heading3"/>
        <w:rPr>
          <w:rFonts w:asciiTheme="minorHAnsi" w:hAnsiTheme="minorHAnsi" w:cstheme="minorHAnsi"/>
          <w:b/>
          <w:color w:val="000000"/>
          <w:sz w:val="22"/>
          <w:szCs w:val="22"/>
        </w:rPr>
      </w:pPr>
      <w:bookmarkStart w:id="134" w:name="_Toc488689340"/>
      <w:bookmarkStart w:id="135" w:name="_Toc492364784"/>
      <w:r w:rsidRPr="00B06331">
        <w:rPr>
          <w:rFonts w:asciiTheme="minorHAnsi" w:hAnsiTheme="minorHAnsi" w:cstheme="minorHAnsi"/>
          <w:b/>
          <w:sz w:val="22"/>
          <w:szCs w:val="22"/>
        </w:rPr>
        <w:t>7.6.1. Energy</w:t>
      </w:r>
      <w:bookmarkEnd w:id="134"/>
      <w:bookmarkEnd w:id="135"/>
    </w:p>
    <w:p w:rsidR="003A5A07" w:rsidRPr="00B06331" w:rsidRDefault="003A5A07" w:rsidP="003A5A07">
      <w:pPr>
        <w:tabs>
          <w:tab w:val="left" w:pos="720"/>
        </w:tabs>
        <w:spacing w:after="0" w:line="240" w:lineRule="auto"/>
        <w:jc w:val="both"/>
      </w:pPr>
    </w:p>
    <w:p w:rsidR="003A5A07" w:rsidRPr="00B06331" w:rsidRDefault="003A5A07" w:rsidP="003A5A07">
      <w:pPr>
        <w:tabs>
          <w:tab w:val="left" w:pos="720"/>
        </w:tabs>
        <w:spacing w:after="0" w:line="240" w:lineRule="auto"/>
        <w:jc w:val="both"/>
        <w:rPr>
          <w:rFonts w:cs="Calibri"/>
        </w:rPr>
      </w:pPr>
      <w:bookmarkStart w:id="136" w:name="_Toc488689342"/>
      <w:r w:rsidRPr="00B06331">
        <w:t xml:space="preserve">The Gambia is faced with an energy crisis. </w:t>
      </w:r>
      <w:r w:rsidRPr="00B06331">
        <w:rPr>
          <w:rFonts w:cs="Calibri"/>
        </w:rPr>
        <w:t>Electricity supply is insufficient and is among the most expensive in SSA. There is a wide gap between installed capacity and available electricity supply (installed capacity countrywide is 99MW of which 55MW is available; for the Banjul area, installed capacity is 88MW of which 45MW available; peak demand: Approximately 70MW, but generation requirements for up to 150MW</w:t>
      </w:r>
      <w:r w:rsidR="005D5E1C" w:rsidRPr="00B06331">
        <w:rPr>
          <w:rFonts w:cs="Calibri"/>
        </w:rPr>
        <w:t>)</w:t>
      </w:r>
      <w:r w:rsidRPr="00B06331">
        <w:rPr>
          <w:rFonts w:cs="Calibri"/>
        </w:rPr>
        <w:t>; and electricity tariff rates</w:t>
      </w:r>
      <w:r w:rsidR="005D5E1C" w:rsidRPr="00B06331">
        <w:rPr>
          <w:rFonts w:cs="Calibri"/>
        </w:rPr>
        <w:t xml:space="preserve"> are high</w:t>
      </w:r>
      <w:r w:rsidRPr="00B06331">
        <w:rPr>
          <w:rFonts w:cs="Calibri"/>
        </w:rPr>
        <w:t xml:space="preserve">: 10.40 /kWh for industries and 9.1 /kWh for agriculture and domestic consumers). </w:t>
      </w:r>
    </w:p>
    <w:p w:rsidR="003A5A07" w:rsidRPr="00B06331" w:rsidRDefault="003A5A07" w:rsidP="003A5A07">
      <w:pPr>
        <w:tabs>
          <w:tab w:val="left" w:pos="720"/>
        </w:tabs>
        <w:spacing w:before="120" w:after="120"/>
        <w:jc w:val="both"/>
        <w:rPr>
          <w:rFonts w:cs="Calibri"/>
        </w:rPr>
      </w:pPr>
      <w:r w:rsidRPr="00B06331">
        <w:rPr>
          <w:rFonts w:cs="Calibri"/>
        </w:rPr>
        <w:t>Under the plan period, Government will focus on improving the policy and regulatory environment to attract investments, improve access to electricity and enhance household energy security and ensure secured petroleum resources to support national development.</w:t>
      </w:r>
    </w:p>
    <w:p w:rsidR="00E31236" w:rsidRPr="00B06331" w:rsidRDefault="00F51AF8" w:rsidP="00E31236">
      <w:pPr>
        <w:rPr>
          <w:b/>
        </w:rPr>
      </w:pPr>
      <w:r w:rsidRPr="00B06331">
        <w:rPr>
          <w:b/>
        </w:rPr>
        <w:t>Table 7.8</w:t>
      </w:r>
      <w:r w:rsidR="00E31236" w:rsidRPr="00B06331">
        <w:rPr>
          <w:b/>
        </w:rPr>
        <w:t>: Key Expected R</w:t>
      </w:r>
      <w:r w:rsidR="00772C6A" w:rsidRPr="00B06331">
        <w:rPr>
          <w:b/>
        </w:rPr>
        <w:t xml:space="preserve">esults for Energy </w:t>
      </w:r>
    </w:p>
    <w:tbl>
      <w:tblPr>
        <w:tblStyle w:val="TableGrid"/>
        <w:tblW w:w="0" w:type="auto"/>
        <w:tblLook w:val="04A0"/>
      </w:tblPr>
      <w:tblGrid>
        <w:gridCol w:w="6745"/>
      </w:tblGrid>
      <w:tr w:rsidR="00E31236" w:rsidRPr="00B06331" w:rsidTr="00E31236">
        <w:tc>
          <w:tcPr>
            <w:tcW w:w="6745" w:type="dxa"/>
            <w:shd w:val="clear" w:color="auto" w:fill="D9E2F3" w:themeFill="accent1" w:themeFillTint="33"/>
          </w:tcPr>
          <w:p w:rsidR="00E31236" w:rsidRPr="00B06331" w:rsidRDefault="00E31236" w:rsidP="004143E3">
            <w:pPr>
              <w:pStyle w:val="ListParagraph"/>
              <w:numPr>
                <w:ilvl w:val="0"/>
                <w:numId w:val="49"/>
              </w:numPr>
              <w:jc w:val="both"/>
              <w:rPr>
                <w:rFonts w:cs="Calibri"/>
              </w:rPr>
            </w:pPr>
            <w:r w:rsidRPr="00B06331">
              <w:rPr>
                <w:rFonts w:cs="Calibri"/>
              </w:rPr>
              <w:t>Availability of national energy and petroleum policy</w:t>
            </w:r>
            <w:r w:rsidRPr="00B06331">
              <w:rPr>
                <w:rFonts w:cs="Calibri"/>
              </w:rPr>
              <w:tab/>
            </w:r>
          </w:p>
          <w:p w:rsidR="00E31236" w:rsidRPr="00B06331" w:rsidRDefault="00E31236" w:rsidP="004143E3">
            <w:pPr>
              <w:pStyle w:val="ListParagraph"/>
              <w:numPr>
                <w:ilvl w:val="0"/>
                <w:numId w:val="49"/>
              </w:numPr>
              <w:jc w:val="both"/>
              <w:rPr>
                <w:rFonts w:cs="Calibri"/>
              </w:rPr>
            </w:pPr>
            <w:r w:rsidRPr="00B06331">
              <w:rPr>
                <w:rFonts w:cs="Calibri"/>
              </w:rPr>
              <w:t>Existences of revised tariffs</w:t>
            </w:r>
            <w:r w:rsidRPr="00B06331">
              <w:rPr>
                <w:rFonts w:cs="Calibri"/>
              </w:rPr>
              <w:tab/>
            </w:r>
          </w:p>
          <w:p w:rsidR="00E31236" w:rsidRPr="00B06331" w:rsidRDefault="00E31236" w:rsidP="004143E3">
            <w:pPr>
              <w:pStyle w:val="ListParagraph"/>
              <w:numPr>
                <w:ilvl w:val="0"/>
                <w:numId w:val="49"/>
              </w:numPr>
              <w:jc w:val="both"/>
              <w:rPr>
                <w:rFonts w:cs="Calibri"/>
              </w:rPr>
            </w:pPr>
            <w:r w:rsidRPr="00B06331">
              <w:rPr>
                <w:rFonts w:cs="Calibri"/>
              </w:rPr>
              <w:t>Increase number of regulations for downstream operations from 3 to 7</w:t>
            </w:r>
          </w:p>
          <w:p w:rsidR="00E31236" w:rsidRPr="00B06331" w:rsidRDefault="00E31236" w:rsidP="004143E3">
            <w:pPr>
              <w:pStyle w:val="ListParagraph"/>
              <w:numPr>
                <w:ilvl w:val="0"/>
                <w:numId w:val="49"/>
              </w:numPr>
              <w:jc w:val="both"/>
              <w:rPr>
                <w:rFonts w:cs="Calibri"/>
              </w:rPr>
            </w:pPr>
            <w:r w:rsidRPr="00B06331">
              <w:rPr>
                <w:rFonts w:cs="Calibri"/>
              </w:rPr>
              <w:t>Increase % of population with access to electricity from 40% to 60%</w:t>
            </w:r>
          </w:p>
          <w:p w:rsidR="00E31236" w:rsidRPr="00B06331" w:rsidRDefault="00E31236" w:rsidP="004143E3">
            <w:pPr>
              <w:pStyle w:val="ListParagraph"/>
              <w:numPr>
                <w:ilvl w:val="0"/>
                <w:numId w:val="49"/>
              </w:numPr>
              <w:jc w:val="both"/>
              <w:rPr>
                <w:rFonts w:cs="Calibri"/>
              </w:rPr>
            </w:pPr>
            <w:r w:rsidRPr="00B06331">
              <w:rPr>
                <w:rFonts w:cs="Calibri"/>
              </w:rPr>
              <w:t>Increase number of electricity installed capacity in MW from 102 to 250</w:t>
            </w:r>
          </w:p>
          <w:p w:rsidR="00E31236" w:rsidRPr="00B06331" w:rsidRDefault="00E31236" w:rsidP="004143E3">
            <w:pPr>
              <w:pStyle w:val="ListParagraph"/>
              <w:numPr>
                <w:ilvl w:val="0"/>
                <w:numId w:val="49"/>
              </w:numPr>
              <w:jc w:val="both"/>
              <w:rPr>
                <w:rFonts w:cs="Calibri"/>
              </w:rPr>
            </w:pPr>
            <w:r w:rsidRPr="00B06331">
              <w:rPr>
                <w:rFonts w:cs="Calibri"/>
              </w:rPr>
              <w:t>Reduce % of electricity losses from 25% to 17%</w:t>
            </w:r>
          </w:p>
          <w:p w:rsidR="00E31236" w:rsidRPr="00B06331" w:rsidRDefault="00E31236" w:rsidP="004143E3">
            <w:pPr>
              <w:pStyle w:val="ListParagraph"/>
              <w:numPr>
                <w:ilvl w:val="0"/>
                <w:numId w:val="49"/>
              </w:numPr>
              <w:jc w:val="both"/>
              <w:rPr>
                <w:rFonts w:cs="Calibri"/>
              </w:rPr>
            </w:pPr>
            <w:r w:rsidRPr="00B06331">
              <w:rPr>
                <w:rFonts w:cs="Calibri"/>
              </w:rPr>
              <w:t>Increase share of renewable energy in total electricity generation from &lt;2% to 40%</w:t>
            </w:r>
          </w:p>
        </w:tc>
      </w:tr>
    </w:tbl>
    <w:p w:rsidR="00E31236" w:rsidRPr="00B06331" w:rsidRDefault="00E31236" w:rsidP="00E31236"/>
    <w:p w:rsidR="00E31236" w:rsidRPr="00B06331" w:rsidRDefault="00E31236" w:rsidP="00E31236">
      <w:pPr>
        <w:rPr>
          <w:b/>
          <w:i/>
          <w:color w:val="4472C4" w:themeColor="accent1"/>
        </w:rPr>
      </w:pPr>
      <w:r w:rsidRPr="00B06331">
        <w:rPr>
          <w:b/>
          <w:i/>
          <w:color w:val="4472C4" w:themeColor="accent1"/>
        </w:rPr>
        <w:t>Outcome 5.1: Improved Policy and Regulatory Framework for Sustainable Energy and Infrastructure</w:t>
      </w:r>
    </w:p>
    <w:p w:rsidR="003A5A07" w:rsidRPr="00B06331" w:rsidRDefault="003A5A07" w:rsidP="003A5A07">
      <w:pPr>
        <w:tabs>
          <w:tab w:val="left" w:pos="1770"/>
        </w:tabs>
        <w:rPr>
          <w:rFonts w:ascii="Avenir Book" w:eastAsia="MS Mincho" w:hAnsi="Avenir Book"/>
          <w:b/>
          <w:szCs w:val="20"/>
        </w:rPr>
      </w:pPr>
      <w:r w:rsidRPr="00B06331">
        <w:rPr>
          <w:rFonts w:ascii="Avenir Book" w:eastAsia="MS Mincho" w:hAnsi="Avenir Book"/>
          <w:b/>
          <w:szCs w:val="20"/>
        </w:rPr>
        <w:t xml:space="preserve">Undertake tariff reforms (cost reflective, </w:t>
      </w:r>
      <w:r w:rsidR="00E31236" w:rsidRPr="00B06331">
        <w:rPr>
          <w:rFonts w:ascii="Avenir Book" w:eastAsia="MS Mincho" w:hAnsi="Avenir Book"/>
          <w:b/>
          <w:szCs w:val="20"/>
        </w:rPr>
        <w:t>competitive,</w:t>
      </w:r>
      <w:r w:rsidRPr="00B06331">
        <w:rPr>
          <w:rFonts w:ascii="Avenir Book" w:eastAsia="MS Mincho" w:hAnsi="Avenir Book"/>
          <w:b/>
          <w:szCs w:val="20"/>
        </w:rPr>
        <w:t xml:space="preserve"> and affordable)</w:t>
      </w:r>
    </w:p>
    <w:p w:rsidR="003A5A07" w:rsidRPr="00B06331" w:rsidRDefault="00E32776" w:rsidP="003A5A07">
      <w:pPr>
        <w:tabs>
          <w:tab w:val="left" w:pos="0"/>
        </w:tabs>
        <w:spacing w:line="240" w:lineRule="auto"/>
        <w:jc w:val="both"/>
      </w:pPr>
      <w:r w:rsidRPr="00B06331">
        <w:t>Electricity tariffs in The Gambia are</w:t>
      </w:r>
      <w:r w:rsidR="003A5A07" w:rsidRPr="00B06331">
        <w:t xml:space="preserve"> high at $0.26/k</w:t>
      </w:r>
      <w:r w:rsidRPr="00B06331">
        <w:t>Wh. The cost of production for e</w:t>
      </w:r>
      <w:r w:rsidR="003A5A07" w:rsidRPr="00B06331">
        <w:t>lectri</w:t>
      </w:r>
      <w:r w:rsidRPr="00B06331">
        <w:t>city remains vulnerable to oil p</w:t>
      </w:r>
      <w:r w:rsidR="003A5A07" w:rsidRPr="00B06331">
        <w:t>rice</w:t>
      </w:r>
      <w:r w:rsidRPr="00B06331">
        <w:t>s and foreign exchange shocks. To remedy these</w:t>
      </w:r>
      <w:r w:rsidR="003A5A07" w:rsidRPr="00B06331">
        <w:t>, it is imperative to have a tariff struc</w:t>
      </w:r>
      <w:r w:rsidR="005D5E1C" w:rsidRPr="00B06331">
        <w:t>ture that is responsive to key variables. Amongst them</w:t>
      </w:r>
      <w:r w:rsidR="003A5A07" w:rsidRPr="00B06331">
        <w:t xml:space="preserve"> would be the introduction of a multi-year tariff setting framework for the Electricity, Water &amp; Sewerage sectors. This would further allow for the development of an incentive laden tariff structure to prioritize efficiency and clearly define customer classes and cost allocation for each service provided by the national utility.  P</w:t>
      </w:r>
      <w:r w:rsidR="00A912CE" w:rsidRPr="00B06331">
        <w:t xml:space="preserve">eriodic Pass throughs will be </w:t>
      </w:r>
      <w:r w:rsidR="003A5A07" w:rsidRPr="00B06331">
        <w:t>built into the tariff structure to cater for any mid-year adjustments to further enhance the existing cost-reflective nature of the current tariff setting process.</w:t>
      </w:r>
    </w:p>
    <w:p w:rsidR="003A5A07" w:rsidRPr="00B06331" w:rsidRDefault="00E32776" w:rsidP="003A5A07">
      <w:pPr>
        <w:tabs>
          <w:tab w:val="left" w:pos="0"/>
        </w:tabs>
        <w:spacing w:line="240" w:lineRule="auto"/>
        <w:jc w:val="both"/>
      </w:pPr>
      <w:r w:rsidRPr="00B06331">
        <w:t>Competitive and a</w:t>
      </w:r>
      <w:r w:rsidR="003A5A07" w:rsidRPr="00B06331">
        <w:t>ffordable electricity tariffs ar</w:t>
      </w:r>
      <w:r w:rsidRPr="00B06331">
        <w:t>e the bedrock for</w:t>
      </w:r>
      <w:r w:rsidR="003A5A07" w:rsidRPr="00B06331">
        <w:t xml:space="preserve"> private</w:t>
      </w:r>
      <w:r w:rsidR="00A912CE" w:rsidRPr="00B06331">
        <w:t xml:space="preserve"> sector led development</w:t>
      </w:r>
      <w:r w:rsidR="003A5A07" w:rsidRPr="00B06331">
        <w:t>. Meaningful tariff reforms</w:t>
      </w:r>
      <w:r w:rsidRPr="00B06331">
        <w:t xml:space="preserve"> would have to take into</w:t>
      </w:r>
      <w:r w:rsidR="003A5A07" w:rsidRPr="00B06331">
        <w:t xml:space="preserve"> consideration the introduction of IPPs into the country's electricity market as well the unbundling of the nation's utility into separate functional business units for enhanced transparency and efficiency.  </w:t>
      </w:r>
    </w:p>
    <w:p w:rsidR="00A912CE" w:rsidRPr="00B06331" w:rsidRDefault="003A5A07" w:rsidP="003A5A07">
      <w:pPr>
        <w:spacing w:line="240" w:lineRule="auto"/>
        <w:jc w:val="both"/>
        <w:rPr>
          <w:rFonts w:eastAsia="MS Mincho"/>
        </w:rPr>
      </w:pPr>
      <w:r w:rsidRPr="00B06331">
        <w:rPr>
          <w:rFonts w:eastAsia="MS Mincho"/>
        </w:rPr>
        <w:lastRenderedPageBreak/>
        <w:t>The Renewable Energy Law has made provisions for the development of Feed-In-Tariffs to support the proliferation of On-Grid Renewable Electricity. This will be of great importance</w:t>
      </w:r>
      <w:r w:rsidR="00A912CE" w:rsidRPr="00B06331">
        <w:rPr>
          <w:rFonts w:eastAsia="MS Mincho"/>
        </w:rPr>
        <w:t xml:space="preserve"> in</w:t>
      </w:r>
      <w:r w:rsidR="00E32776" w:rsidRPr="00B06331">
        <w:rPr>
          <w:rFonts w:eastAsia="MS Mincho"/>
        </w:rPr>
        <w:t xml:space="preserve"> help</w:t>
      </w:r>
      <w:r w:rsidR="00A912CE" w:rsidRPr="00B06331">
        <w:rPr>
          <w:rFonts w:eastAsia="MS Mincho"/>
        </w:rPr>
        <w:t>ing</w:t>
      </w:r>
      <w:r w:rsidR="00E32776" w:rsidRPr="00B06331">
        <w:rPr>
          <w:rFonts w:eastAsia="MS Mincho"/>
        </w:rPr>
        <w:t xml:space="preserve"> the country enhance </w:t>
      </w:r>
      <w:r w:rsidR="00A912CE" w:rsidRPr="00B06331">
        <w:rPr>
          <w:rFonts w:eastAsia="MS Mincho"/>
        </w:rPr>
        <w:t>its renewable energy t</w:t>
      </w:r>
      <w:r w:rsidRPr="00B06331">
        <w:rPr>
          <w:rFonts w:eastAsia="MS Mincho"/>
        </w:rPr>
        <w:t>argets and harness the existing potentials o</w:t>
      </w:r>
      <w:r w:rsidR="00A912CE" w:rsidRPr="00B06331">
        <w:rPr>
          <w:rFonts w:eastAsia="MS Mincho"/>
        </w:rPr>
        <w:t>f renewable e</w:t>
      </w:r>
      <w:r w:rsidR="006A212C" w:rsidRPr="00B06331">
        <w:rPr>
          <w:rFonts w:eastAsia="MS Mincho"/>
        </w:rPr>
        <w:t>nergy</w:t>
      </w:r>
      <w:r w:rsidRPr="00B06331">
        <w:rPr>
          <w:rFonts w:eastAsia="MS Mincho"/>
        </w:rPr>
        <w:t>. The implementation of Feed-in-Tariffs will be coupled with net - metering initiatives to further help the country attai</w:t>
      </w:r>
      <w:r w:rsidR="00A912CE" w:rsidRPr="00B06331">
        <w:rPr>
          <w:rFonts w:eastAsia="MS Mincho"/>
        </w:rPr>
        <w:t>n its long-term aspirations of e</w:t>
      </w:r>
      <w:r w:rsidRPr="00B06331">
        <w:rPr>
          <w:rFonts w:eastAsia="MS Mincho"/>
        </w:rPr>
        <w:t xml:space="preserve">nergy Independence.  </w:t>
      </w:r>
    </w:p>
    <w:p w:rsidR="003A5A07" w:rsidRPr="00B06331" w:rsidRDefault="003A5A07" w:rsidP="003A5A07">
      <w:pPr>
        <w:spacing w:line="240" w:lineRule="auto"/>
        <w:jc w:val="both"/>
        <w:rPr>
          <w:rFonts w:eastAsia="MS Mincho"/>
        </w:rPr>
      </w:pPr>
      <w:r w:rsidRPr="00B06331">
        <w:rPr>
          <w:rFonts w:eastAsia="MS Mincho"/>
        </w:rPr>
        <w:t>To guarantee certainty to Investor</w:t>
      </w:r>
      <w:r w:rsidR="006A212C" w:rsidRPr="00B06331">
        <w:rPr>
          <w:rFonts w:eastAsia="MS Mincho"/>
        </w:rPr>
        <w:t>s</w:t>
      </w:r>
      <w:r w:rsidRPr="00B06331">
        <w:rPr>
          <w:rFonts w:eastAsia="MS Mincho"/>
        </w:rPr>
        <w:t xml:space="preserve">, Feed-in-Tariff Power Purchase Agreements shall be </w:t>
      </w:r>
      <w:r w:rsidR="006A212C" w:rsidRPr="00B06331">
        <w:rPr>
          <w:rFonts w:eastAsia="MS Mincho"/>
        </w:rPr>
        <w:t xml:space="preserve">made </w:t>
      </w:r>
      <w:r w:rsidR="00A912CE" w:rsidRPr="00B06331">
        <w:rPr>
          <w:rFonts w:eastAsia="MS Mincho"/>
        </w:rPr>
        <w:t>valid for up to 15 years from plant commissioning. Furthermore, i</w:t>
      </w:r>
      <w:r w:rsidRPr="00B06331">
        <w:rPr>
          <w:rFonts w:eastAsia="MS Mincho"/>
        </w:rPr>
        <w:t>ndexation would be utilized on the applicable feed-in-tariffs for different years</w:t>
      </w:r>
      <w:r w:rsidR="00A912CE" w:rsidRPr="00B06331">
        <w:rPr>
          <w:rFonts w:eastAsia="MS Mincho"/>
        </w:rPr>
        <w:t xml:space="preserve"> to help alleviate some of the foreign exchange risks</w:t>
      </w:r>
      <w:r w:rsidRPr="00B06331">
        <w:rPr>
          <w:rFonts w:eastAsia="MS Mincho"/>
        </w:rPr>
        <w:t xml:space="preserve">.  The following technologies are eligible to receive FIT: solar PV, wind. Biomass will also be considered but as recommended in the RE ACT, this must follow the development of a comprehensive biomass study for the country.  </w:t>
      </w:r>
    </w:p>
    <w:p w:rsidR="003A5A07" w:rsidRPr="00B06331" w:rsidRDefault="003A5A07" w:rsidP="00501995">
      <w:pPr>
        <w:autoSpaceDE w:val="0"/>
        <w:autoSpaceDN w:val="0"/>
        <w:adjustRightInd w:val="0"/>
        <w:spacing w:after="0" w:line="240" w:lineRule="auto"/>
        <w:rPr>
          <w:rFonts w:eastAsia="MS Mincho"/>
          <w:b/>
        </w:rPr>
      </w:pPr>
      <w:r w:rsidRPr="00B06331">
        <w:rPr>
          <w:rFonts w:eastAsia="MS Mincho"/>
        </w:rPr>
        <w:t>A cap has been placed on single projects that may benefit from the Feed-In-</w:t>
      </w:r>
      <w:r w:rsidR="009777F1" w:rsidRPr="00B06331">
        <w:rPr>
          <w:rFonts w:eastAsia="MS Mincho"/>
        </w:rPr>
        <w:t>Tariff;</w:t>
      </w:r>
      <w:r w:rsidRPr="00B06331">
        <w:rPr>
          <w:rFonts w:eastAsia="MS Mincho"/>
        </w:rPr>
        <w:t xml:space="preserve"> single projects have a maximum cap of 1.5MW to be eligible for the Feed-in-Tariff. Any project above that size must negotiate a PPA with NAWEC.  Any changes in technology, Project sizes and Tariffs shall be contained in the Annual Authority Announcement made by PURA for each year.</w:t>
      </w:r>
    </w:p>
    <w:p w:rsidR="00501995" w:rsidRPr="00B06331" w:rsidRDefault="00501995" w:rsidP="00501995">
      <w:pPr>
        <w:autoSpaceDE w:val="0"/>
        <w:autoSpaceDN w:val="0"/>
        <w:adjustRightInd w:val="0"/>
        <w:spacing w:after="0" w:line="240" w:lineRule="auto"/>
        <w:rPr>
          <w:rFonts w:eastAsia="MS Mincho"/>
          <w:b/>
        </w:rPr>
      </w:pPr>
    </w:p>
    <w:p w:rsidR="003A5A07" w:rsidRPr="00B06331" w:rsidRDefault="003A5A07" w:rsidP="003A5A07">
      <w:pPr>
        <w:autoSpaceDE w:val="0"/>
        <w:autoSpaceDN w:val="0"/>
        <w:adjustRightInd w:val="0"/>
        <w:spacing w:after="0" w:line="240" w:lineRule="auto"/>
        <w:rPr>
          <w:rFonts w:ascii="Avenir Book" w:eastAsia="MS Mincho" w:hAnsi="Avenir Book"/>
          <w:b/>
          <w:szCs w:val="20"/>
        </w:rPr>
      </w:pPr>
      <w:r w:rsidRPr="00B06331">
        <w:rPr>
          <w:rFonts w:ascii="Avenir Book" w:eastAsia="MS Mincho" w:hAnsi="Avenir Book"/>
          <w:b/>
          <w:szCs w:val="20"/>
        </w:rPr>
        <w:t>Provide investment concessions (fiscal and tax incentives, private sector space, sector priority)</w:t>
      </w:r>
    </w:p>
    <w:p w:rsidR="003A5A07" w:rsidRPr="00B06331" w:rsidRDefault="003A5A07" w:rsidP="003A5A07">
      <w:pPr>
        <w:autoSpaceDE w:val="0"/>
        <w:autoSpaceDN w:val="0"/>
        <w:adjustRightInd w:val="0"/>
        <w:spacing w:after="0" w:line="240" w:lineRule="auto"/>
        <w:rPr>
          <w:rFonts w:ascii="Avenir Book" w:eastAsia="MS Mincho" w:hAnsi="Avenir Book"/>
          <w:szCs w:val="20"/>
        </w:rPr>
      </w:pPr>
    </w:p>
    <w:p w:rsidR="003A5A07" w:rsidRPr="00B06331" w:rsidRDefault="006A212C" w:rsidP="003A5A07">
      <w:pPr>
        <w:autoSpaceDE w:val="0"/>
        <w:autoSpaceDN w:val="0"/>
        <w:adjustRightInd w:val="0"/>
        <w:spacing w:after="0" w:line="240" w:lineRule="auto"/>
        <w:jc w:val="both"/>
        <w:rPr>
          <w:rFonts w:ascii="Avenir Book" w:eastAsia="MS Mincho" w:hAnsi="Avenir Book"/>
          <w:szCs w:val="20"/>
        </w:rPr>
      </w:pPr>
      <w:r w:rsidRPr="00B06331">
        <w:rPr>
          <w:rFonts w:ascii="Avenir Book" w:eastAsia="MS Mincho" w:hAnsi="Avenir Book"/>
          <w:szCs w:val="20"/>
        </w:rPr>
        <w:t>In the renewable e</w:t>
      </w:r>
      <w:r w:rsidR="003A5A07" w:rsidRPr="00B06331">
        <w:rPr>
          <w:rFonts w:ascii="Avenir Book" w:eastAsia="MS Mincho" w:hAnsi="Avenir Book"/>
          <w:szCs w:val="20"/>
        </w:rPr>
        <w:t>ne</w:t>
      </w:r>
      <w:r w:rsidRPr="00B06331">
        <w:rPr>
          <w:rFonts w:ascii="Avenir Book" w:eastAsia="MS Mincho" w:hAnsi="Avenir Book"/>
          <w:szCs w:val="20"/>
        </w:rPr>
        <w:t>rgy sub-sector, a multitude of f</w:t>
      </w:r>
      <w:r w:rsidR="003A5A07" w:rsidRPr="00B06331">
        <w:rPr>
          <w:rFonts w:ascii="Avenir Book" w:eastAsia="MS Mincho" w:hAnsi="Avenir Book"/>
          <w:szCs w:val="20"/>
        </w:rPr>
        <w:t>iscal concessions have been given to incentivize privat</w:t>
      </w:r>
      <w:r w:rsidRPr="00B06331">
        <w:rPr>
          <w:rFonts w:ascii="Avenir Book" w:eastAsia="MS Mincho" w:hAnsi="Avenir Book"/>
          <w:szCs w:val="20"/>
        </w:rPr>
        <w:t>e sector participation in the</w:t>
      </w:r>
      <w:r w:rsidR="003A5A07" w:rsidRPr="00B06331">
        <w:rPr>
          <w:rFonts w:ascii="Avenir Book" w:eastAsia="MS Mincho" w:hAnsi="Avenir Book"/>
          <w:szCs w:val="20"/>
        </w:rPr>
        <w:t xml:space="preserve"> electricity market. The development of feed-in-tariffs will be key in this framework. Other ince</w:t>
      </w:r>
      <w:r w:rsidRPr="00B06331">
        <w:rPr>
          <w:rFonts w:ascii="Avenir Book" w:eastAsia="MS Mincho" w:hAnsi="Avenir Book"/>
          <w:szCs w:val="20"/>
        </w:rPr>
        <w:t>ntives include exemptions from import duties for eligible r</w:t>
      </w:r>
      <w:r w:rsidR="003A5A07" w:rsidRPr="00B06331">
        <w:rPr>
          <w:rFonts w:ascii="Avenir Book" w:eastAsia="MS Mincho" w:hAnsi="Avenir Book"/>
          <w:szCs w:val="20"/>
        </w:rPr>
        <w:t>enewable</w:t>
      </w:r>
      <w:r w:rsidRPr="00B06331">
        <w:rPr>
          <w:rFonts w:ascii="Avenir Book" w:eastAsia="MS Mincho" w:hAnsi="Avenir Book"/>
          <w:szCs w:val="20"/>
        </w:rPr>
        <w:t xml:space="preserve"> companies and exemptions from corporate tax p</w:t>
      </w:r>
      <w:r w:rsidR="003A5A07" w:rsidRPr="00B06331">
        <w:rPr>
          <w:rFonts w:ascii="Avenir Book" w:eastAsia="MS Mincho" w:hAnsi="Avenir Book"/>
          <w:szCs w:val="20"/>
        </w:rPr>
        <w:t xml:space="preserve">ayments and other retail taxes for 15 years for RE companies. </w:t>
      </w:r>
    </w:p>
    <w:p w:rsidR="003A5A07" w:rsidRPr="00B06331" w:rsidRDefault="003A5A07" w:rsidP="003A5A07">
      <w:pPr>
        <w:autoSpaceDE w:val="0"/>
        <w:autoSpaceDN w:val="0"/>
        <w:adjustRightInd w:val="0"/>
        <w:spacing w:after="0" w:line="240" w:lineRule="auto"/>
        <w:jc w:val="both"/>
        <w:rPr>
          <w:rFonts w:ascii="Avenir Book" w:eastAsia="MS Mincho" w:hAnsi="Avenir Book"/>
          <w:szCs w:val="20"/>
        </w:rPr>
      </w:pPr>
    </w:p>
    <w:p w:rsidR="003A5A07" w:rsidRPr="00B06331" w:rsidRDefault="003A5A07" w:rsidP="003A5A07">
      <w:pPr>
        <w:autoSpaceDE w:val="0"/>
        <w:autoSpaceDN w:val="0"/>
        <w:adjustRightInd w:val="0"/>
        <w:spacing w:after="0" w:line="240" w:lineRule="auto"/>
        <w:jc w:val="both"/>
        <w:rPr>
          <w:rFonts w:ascii="Avenir Book" w:eastAsia="MS Mincho" w:hAnsi="Avenir Book"/>
          <w:szCs w:val="20"/>
        </w:rPr>
      </w:pPr>
      <w:r w:rsidRPr="00B06331">
        <w:rPr>
          <w:rFonts w:ascii="Avenir Book" w:eastAsia="MS Mincho" w:hAnsi="Avenir Book"/>
          <w:szCs w:val="20"/>
        </w:rPr>
        <w:t>To complement Government's role in increasing electricity access, prov</w:t>
      </w:r>
      <w:r w:rsidR="006A212C" w:rsidRPr="00B06331">
        <w:rPr>
          <w:rFonts w:ascii="Avenir Book" w:eastAsia="MS Mincho" w:hAnsi="Avenir Book"/>
          <w:szCs w:val="20"/>
        </w:rPr>
        <w:t>isions have been made to allow p</w:t>
      </w:r>
      <w:r w:rsidRPr="00B06331">
        <w:rPr>
          <w:rFonts w:ascii="Avenir Book" w:eastAsia="MS Mincho" w:hAnsi="Avenir Book"/>
          <w:szCs w:val="20"/>
        </w:rPr>
        <w:t>riv</w:t>
      </w:r>
      <w:r w:rsidR="006A212C" w:rsidRPr="00B06331">
        <w:rPr>
          <w:rFonts w:ascii="Avenir Book" w:eastAsia="MS Mincho" w:hAnsi="Avenir Book"/>
          <w:szCs w:val="20"/>
        </w:rPr>
        <w:t>ate sector involvement in both generation and distribution from r</w:t>
      </w:r>
      <w:r w:rsidRPr="00B06331">
        <w:rPr>
          <w:rFonts w:ascii="Avenir Book" w:eastAsia="MS Mincho" w:hAnsi="Avenir Book"/>
          <w:szCs w:val="20"/>
        </w:rPr>
        <w:t xml:space="preserve">enewable sources in areas with no grid access through a scheme for private wire networks.  </w:t>
      </w:r>
    </w:p>
    <w:p w:rsidR="003A5A07" w:rsidRPr="00B06331" w:rsidRDefault="003A5A07" w:rsidP="003A5A07">
      <w:pPr>
        <w:autoSpaceDE w:val="0"/>
        <w:autoSpaceDN w:val="0"/>
        <w:adjustRightInd w:val="0"/>
        <w:spacing w:after="0" w:line="240" w:lineRule="auto"/>
        <w:jc w:val="both"/>
        <w:rPr>
          <w:rFonts w:ascii="Avenir Book" w:eastAsia="MS Mincho" w:hAnsi="Avenir Book"/>
          <w:szCs w:val="20"/>
        </w:rPr>
      </w:pPr>
    </w:p>
    <w:p w:rsidR="003A5A07" w:rsidRPr="00B06331" w:rsidRDefault="003A5A07" w:rsidP="003A5A07">
      <w:pPr>
        <w:spacing w:after="0" w:line="240" w:lineRule="auto"/>
        <w:jc w:val="both"/>
        <w:rPr>
          <w:rFonts w:ascii="Avenir Book" w:eastAsia="MS Mincho" w:hAnsi="Avenir Book"/>
          <w:b/>
          <w:szCs w:val="20"/>
        </w:rPr>
      </w:pPr>
      <w:r w:rsidRPr="00B06331">
        <w:rPr>
          <w:rFonts w:ascii="Avenir Book" w:eastAsia="MS Mincho" w:hAnsi="Avenir Book"/>
          <w:b/>
          <w:szCs w:val="20"/>
        </w:rPr>
        <w:t xml:space="preserve">Ensure transparent and open access process (management and administrative processes simplified, following due process): </w:t>
      </w:r>
    </w:p>
    <w:p w:rsidR="003A5A07" w:rsidRPr="00B06331" w:rsidRDefault="003A5A07" w:rsidP="003A5A07">
      <w:pPr>
        <w:spacing w:after="0" w:line="240" w:lineRule="auto"/>
        <w:jc w:val="both"/>
        <w:rPr>
          <w:rFonts w:ascii="Avenir Book" w:eastAsia="MS Mincho" w:hAnsi="Avenir Book"/>
          <w:b/>
          <w:szCs w:val="20"/>
        </w:rPr>
      </w:pPr>
    </w:p>
    <w:p w:rsidR="003A5A07" w:rsidRPr="00B06331" w:rsidRDefault="003A5A07" w:rsidP="003A5A07">
      <w:pPr>
        <w:spacing w:after="0" w:line="240" w:lineRule="auto"/>
        <w:jc w:val="both"/>
        <w:rPr>
          <w:rFonts w:ascii="Avenir Book" w:eastAsia="MS Mincho" w:hAnsi="Avenir Book"/>
          <w:b/>
          <w:szCs w:val="20"/>
        </w:rPr>
      </w:pPr>
      <w:r w:rsidRPr="00B06331">
        <w:rPr>
          <w:rFonts w:ascii="Avenir Book" w:eastAsia="MS Mincho" w:hAnsi="Avenir Book"/>
          <w:szCs w:val="20"/>
        </w:rPr>
        <w:t>The essential prerequisites for an effective and efficient energy sector include a well-conceived policy regime, and a vibrant institutional and regulatory framework. Some key elements of such an enabling environment include a responsive organizational structure, coordination arrangements and a well-designed incentive regime. Recognizing t</w:t>
      </w:r>
      <w:r w:rsidR="00A912CE" w:rsidRPr="00B06331">
        <w:rPr>
          <w:rFonts w:ascii="Avenir Book" w:eastAsia="MS Mincho" w:hAnsi="Avenir Book"/>
          <w:szCs w:val="20"/>
        </w:rPr>
        <w:t xml:space="preserve">he importance of such </w:t>
      </w:r>
      <w:r w:rsidRPr="00B06331">
        <w:rPr>
          <w:rFonts w:ascii="Avenir Book" w:eastAsia="MS Mincho" w:hAnsi="Avenir Book"/>
          <w:szCs w:val="20"/>
        </w:rPr>
        <w:t>measures, MoPE will develop the necessary instruments and regulatory structures to provide fiscal incentives, promote competition and transparency, build confidence, and thereby encourage private sector investments in the entire energy sector.</w:t>
      </w:r>
    </w:p>
    <w:p w:rsidR="003A5A07" w:rsidRPr="00B06331" w:rsidRDefault="003A5A07" w:rsidP="003A5A07">
      <w:pPr>
        <w:spacing w:after="0" w:line="240" w:lineRule="auto"/>
        <w:jc w:val="both"/>
        <w:rPr>
          <w:rFonts w:ascii="Avenir Book" w:eastAsia="MS Mincho" w:hAnsi="Avenir Book"/>
          <w:szCs w:val="20"/>
        </w:rPr>
      </w:pP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t>Formulate and implement communication strategy to improve energy efficiency use:</w:t>
      </w:r>
    </w:p>
    <w:p w:rsidR="003A5A07" w:rsidRPr="00B06331" w:rsidRDefault="003A5A07" w:rsidP="00E31236">
      <w:pPr>
        <w:spacing w:line="240" w:lineRule="auto"/>
        <w:jc w:val="both"/>
        <w:rPr>
          <w:rFonts w:ascii="Avenir Book" w:eastAsia="MS Mincho" w:hAnsi="Avenir Book"/>
          <w:b/>
          <w:szCs w:val="20"/>
        </w:rPr>
      </w:pPr>
      <w:r w:rsidRPr="00B06331">
        <w:rPr>
          <w:rFonts w:ascii="Avenir Book" w:eastAsia="MS Mincho" w:hAnsi="Avenir Book"/>
          <w:szCs w:val="20"/>
        </w:rPr>
        <w:t xml:space="preserve">Under the NDP, </w:t>
      </w:r>
      <w:r w:rsidR="00A912CE" w:rsidRPr="00B06331">
        <w:rPr>
          <w:rFonts w:ascii="Avenir Book" w:eastAsia="MS Mincho" w:hAnsi="Avenir Book"/>
          <w:szCs w:val="20"/>
        </w:rPr>
        <w:t>e</w:t>
      </w:r>
      <w:r w:rsidRPr="00B06331">
        <w:rPr>
          <w:rFonts w:ascii="Avenir Book" w:eastAsia="MS Mincho" w:hAnsi="Avenir Book"/>
          <w:szCs w:val="20"/>
        </w:rPr>
        <w:t xml:space="preserve">nergy </w:t>
      </w:r>
      <w:r w:rsidR="00A912CE" w:rsidRPr="00B06331">
        <w:rPr>
          <w:rFonts w:ascii="Avenir Book" w:eastAsia="MS Mincho" w:hAnsi="Avenir Book"/>
          <w:szCs w:val="20"/>
        </w:rPr>
        <w:t>e</w:t>
      </w:r>
      <w:r w:rsidRPr="00B06331">
        <w:rPr>
          <w:rFonts w:ascii="Avenir Book" w:eastAsia="MS Mincho" w:hAnsi="Avenir Book"/>
          <w:szCs w:val="20"/>
        </w:rPr>
        <w:t>fficiency would be enhanced thro</w:t>
      </w:r>
      <w:r w:rsidR="00A912CE" w:rsidRPr="00B06331">
        <w:rPr>
          <w:rFonts w:ascii="Avenir Book" w:eastAsia="MS Mincho" w:hAnsi="Avenir Book"/>
          <w:szCs w:val="20"/>
        </w:rPr>
        <w:t xml:space="preserve">ugh better and improved </w:t>
      </w:r>
      <w:r w:rsidRPr="00B06331">
        <w:rPr>
          <w:rFonts w:ascii="Avenir Book" w:eastAsia="MS Mincho" w:hAnsi="Avenir Book"/>
          <w:szCs w:val="20"/>
        </w:rPr>
        <w:t xml:space="preserve">sensitization and awareness raising on product quality for consumers and suppliers. Fossil fuel based electricity will be made more efficient and accessible using energy efficient technologies and improved transmission and distribution systems. </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lastRenderedPageBreak/>
        <w:t xml:space="preserve">Capacities of energy and petroleum personnel built - Increase number of trained personnel including petroleum / energy engineers: </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rPr>
        <w:t xml:space="preserve">High staff turnover in Government and the dearth of qualified personnel has led to significant skills and capacity gaps in the sector. The Ministry will therefore develop and implement a comprehensive capacity development plan for the sustainable management of all aspects of the energy and petroleum industry.  </w:t>
      </w:r>
    </w:p>
    <w:p w:rsidR="003A5A07" w:rsidRPr="00B06331" w:rsidRDefault="003A5A07" w:rsidP="003A5A07">
      <w:pPr>
        <w:spacing w:line="240" w:lineRule="auto"/>
        <w:jc w:val="both"/>
        <w:rPr>
          <w:rFonts w:ascii="Avenir Book" w:eastAsia="MS Mincho" w:hAnsi="Avenir Book"/>
        </w:rPr>
      </w:pPr>
      <w:r w:rsidRPr="00B06331">
        <w:rPr>
          <w:rFonts w:ascii="Avenir Book" w:eastAsia="MS Mincho" w:hAnsi="Avenir Book"/>
        </w:rPr>
        <w:t xml:space="preserve">The Ministry </w:t>
      </w:r>
      <w:r w:rsidR="006A212C" w:rsidRPr="00B06331">
        <w:rPr>
          <w:rFonts w:ascii="Avenir Book" w:eastAsia="MS Mincho" w:hAnsi="Avenir Book"/>
        </w:rPr>
        <w:t xml:space="preserve">of Petroleum and Energy </w:t>
      </w:r>
      <w:r w:rsidRPr="00B06331">
        <w:rPr>
          <w:rFonts w:ascii="Avenir Book" w:eastAsia="MS Mincho" w:hAnsi="Avenir Book"/>
        </w:rPr>
        <w:t xml:space="preserve">and its agencies have a key role in facilitating the achievement of energy supply targets for the country. To execute this important strategic role, the Ministry will train </w:t>
      </w:r>
      <w:r w:rsidR="006A212C" w:rsidRPr="00B06331">
        <w:rPr>
          <w:rFonts w:ascii="Avenir Book" w:eastAsia="MS Mincho" w:hAnsi="Avenir Book"/>
        </w:rPr>
        <w:t xml:space="preserve">and build </w:t>
      </w:r>
      <w:r w:rsidRPr="00B06331">
        <w:rPr>
          <w:rFonts w:ascii="Avenir Book" w:eastAsia="MS Mincho" w:hAnsi="Avenir Book"/>
        </w:rPr>
        <w:t>adequate human resource with the requisite skills, experience and core competencies to effectively coordinate the formulation and implementation of the various policies, strategies and programs of the energy sector. It will also provide incentives and the enabling working environment in line with the CSRP.</w:t>
      </w:r>
    </w:p>
    <w:p w:rsidR="00A912CE" w:rsidRPr="00B06331" w:rsidRDefault="00A912CE" w:rsidP="003A5A07">
      <w:pPr>
        <w:spacing w:line="240" w:lineRule="auto"/>
        <w:jc w:val="both"/>
        <w:rPr>
          <w:rFonts w:ascii="Avenir Book" w:eastAsia="MS Mincho" w:hAnsi="Avenir Book"/>
          <w:b/>
          <w:szCs w:val="20"/>
        </w:rPr>
      </w:pP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t xml:space="preserve">Formulate and implement good exploration program (Permitting and studies): </w:t>
      </w:r>
    </w:p>
    <w:p w:rsidR="003A5A07" w:rsidRPr="00B06331" w:rsidRDefault="00A912CE" w:rsidP="003A5A07">
      <w:pPr>
        <w:spacing w:line="240" w:lineRule="auto"/>
        <w:jc w:val="both"/>
        <w:rPr>
          <w:rFonts w:ascii="Avenir Book" w:eastAsia="MS Mincho" w:hAnsi="Avenir Book"/>
          <w:b/>
          <w:szCs w:val="20"/>
        </w:rPr>
      </w:pPr>
      <w:r w:rsidRPr="00B06331">
        <w:rPr>
          <w:rFonts w:ascii="Avenir Book" w:eastAsia="MS Mincho" w:hAnsi="Avenir Book"/>
          <w:szCs w:val="20"/>
        </w:rPr>
        <w:t>During</w:t>
      </w:r>
      <w:r w:rsidR="003A5A07" w:rsidRPr="00B06331">
        <w:rPr>
          <w:rFonts w:ascii="Avenir Book" w:eastAsia="MS Mincho" w:hAnsi="Avenir Book"/>
          <w:szCs w:val="20"/>
        </w:rPr>
        <w:t xml:space="preserve"> the plan period, the Ministry of Petroleum &amp; Energy </w:t>
      </w:r>
      <w:r w:rsidRPr="00B06331">
        <w:rPr>
          <w:rFonts w:ascii="Avenir Book" w:eastAsia="MS Mincho" w:hAnsi="Avenir Book"/>
          <w:szCs w:val="20"/>
        </w:rPr>
        <w:t>will adopt measures</w:t>
      </w:r>
      <w:r w:rsidR="003A5A07" w:rsidRPr="00B06331">
        <w:rPr>
          <w:rFonts w:ascii="Avenir Book" w:eastAsia="MS Mincho" w:hAnsi="Avenir Book"/>
          <w:szCs w:val="20"/>
        </w:rPr>
        <w:t xml:space="preserve"> whi</w:t>
      </w:r>
      <w:r w:rsidR="006A212C" w:rsidRPr="00B06331">
        <w:rPr>
          <w:rFonts w:ascii="Avenir Book" w:eastAsia="MS Mincho" w:hAnsi="Avenir Book"/>
          <w:szCs w:val="20"/>
        </w:rPr>
        <w:t>ch will attract multi-client g</w:t>
      </w:r>
      <w:r w:rsidR="003A5A07" w:rsidRPr="00B06331">
        <w:rPr>
          <w:rFonts w:ascii="Avenir Book" w:eastAsia="MS Mincho" w:hAnsi="Avenir Book"/>
          <w:szCs w:val="20"/>
        </w:rPr>
        <w:t>eophysical companies to conduct surveys within Gambia</w:t>
      </w:r>
      <w:r w:rsidR="006A212C" w:rsidRPr="00B06331">
        <w:rPr>
          <w:rFonts w:ascii="Avenir Book" w:eastAsia="MS Mincho" w:hAnsi="Avenir Book"/>
          <w:szCs w:val="20"/>
        </w:rPr>
        <w:t>’s</w:t>
      </w:r>
      <w:r w:rsidR="003A5A07" w:rsidRPr="00B06331">
        <w:rPr>
          <w:rFonts w:ascii="Avenir Book" w:eastAsia="MS Mincho" w:hAnsi="Avenir Book"/>
          <w:szCs w:val="20"/>
        </w:rPr>
        <w:t xml:space="preserve"> jurisdiction. The Ministry will also design survey programs to be implemented by contracting geophysical companies on proprietary basis. In the exploration for petroleum</w:t>
      </w:r>
      <w:r w:rsidR="006A212C" w:rsidRPr="00B06331">
        <w:rPr>
          <w:rFonts w:ascii="Avenir Book" w:eastAsia="MS Mincho" w:hAnsi="Avenir Book"/>
          <w:szCs w:val="20"/>
        </w:rPr>
        <w:t>, government</w:t>
      </w:r>
      <w:r w:rsidR="003A5A07" w:rsidRPr="00B06331">
        <w:rPr>
          <w:rFonts w:ascii="Avenir Book" w:eastAsia="MS Mincho" w:hAnsi="Avenir Book"/>
          <w:szCs w:val="20"/>
        </w:rPr>
        <w:t xml:space="preserve"> will seek partnerships anchored on mutual benefit through investor friendly policies. </w:t>
      </w:r>
    </w:p>
    <w:p w:rsidR="003A5A07" w:rsidRPr="00B06331" w:rsidRDefault="003A5A07" w:rsidP="003A5A07">
      <w:pPr>
        <w:spacing w:line="240" w:lineRule="auto"/>
        <w:jc w:val="both"/>
        <w:rPr>
          <w:rFonts w:ascii="Avenir Book" w:eastAsia="MS Mincho" w:hAnsi="Avenir Book"/>
          <w:b/>
        </w:rPr>
      </w:pPr>
      <w:r w:rsidRPr="00B06331">
        <w:rPr>
          <w:rFonts w:ascii="Avenir Book" w:eastAsia="MS Mincho" w:hAnsi="Avenir Book"/>
          <w:b/>
        </w:rPr>
        <w:t xml:space="preserve">Design and establish sound licensing regime (License model, sound tax schedules and environment management): </w:t>
      </w:r>
    </w:p>
    <w:p w:rsidR="003A5A07" w:rsidRPr="00B06331" w:rsidRDefault="003A5A07" w:rsidP="003A5A07">
      <w:pPr>
        <w:spacing w:line="240" w:lineRule="auto"/>
        <w:jc w:val="both"/>
        <w:rPr>
          <w:rFonts w:ascii="Avenir Book" w:eastAsia="MS Mincho" w:hAnsi="Avenir Book"/>
          <w:szCs w:val="20"/>
        </w:rPr>
      </w:pPr>
      <w:r w:rsidRPr="00B06331">
        <w:rPr>
          <w:rFonts w:ascii="Avenir Book" w:eastAsia="MS Mincho" w:hAnsi="Avenir Book"/>
          <w:szCs w:val="20"/>
        </w:rPr>
        <w:t>This will entail the review and update of the cur</w:t>
      </w:r>
      <w:r w:rsidR="006A212C" w:rsidRPr="00B06331">
        <w:rPr>
          <w:rFonts w:ascii="Avenir Book" w:eastAsia="MS Mincho" w:hAnsi="Avenir Book"/>
          <w:szCs w:val="20"/>
        </w:rPr>
        <w:t>rent</w:t>
      </w:r>
      <w:r w:rsidRPr="00B06331">
        <w:rPr>
          <w:rFonts w:ascii="Avenir Book" w:eastAsia="MS Mincho" w:hAnsi="Avenir Book"/>
          <w:szCs w:val="20"/>
        </w:rPr>
        <w:t xml:space="preserve"> model</w:t>
      </w:r>
      <w:r w:rsidR="006A212C" w:rsidRPr="00B06331">
        <w:rPr>
          <w:rFonts w:ascii="Avenir Book" w:eastAsia="MS Mincho" w:hAnsi="Avenir Book"/>
          <w:szCs w:val="20"/>
        </w:rPr>
        <w:t>license</w:t>
      </w:r>
      <w:r w:rsidRPr="00B06331">
        <w:rPr>
          <w:rFonts w:ascii="Avenir Book" w:eastAsia="MS Mincho" w:hAnsi="Avenir Book"/>
          <w:szCs w:val="20"/>
        </w:rPr>
        <w:t xml:space="preserve"> to suite Gambia’s stage of exploration while retaining industry standards to make it competitive.</w:t>
      </w:r>
      <w:r w:rsidR="006A212C" w:rsidRPr="00B06331">
        <w:rPr>
          <w:rFonts w:ascii="Avenir Book" w:eastAsia="MS Mincho" w:hAnsi="Avenir Book"/>
          <w:szCs w:val="20"/>
        </w:rPr>
        <w:t xml:space="preserve"> The</w:t>
      </w:r>
      <w:r w:rsidRPr="00B06331">
        <w:rPr>
          <w:rFonts w:ascii="Avenir Book" w:eastAsia="MS Mincho" w:hAnsi="Avenir Book"/>
          <w:szCs w:val="20"/>
        </w:rPr>
        <w:t xml:space="preserve"> elements of optimal petroleum rent   and attractiveness to investment will be key under this intervention.</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t xml:space="preserve"> Formulate Petroleum and data management policies and review Petroleum Exploration, </w:t>
      </w:r>
      <w:r w:rsidR="00E31236" w:rsidRPr="00B06331">
        <w:rPr>
          <w:rFonts w:ascii="Avenir Book" w:eastAsia="MS Mincho" w:hAnsi="Avenir Book"/>
          <w:b/>
          <w:szCs w:val="20"/>
        </w:rPr>
        <w:t>Development,</w:t>
      </w:r>
      <w:r w:rsidRPr="00B06331">
        <w:rPr>
          <w:rFonts w:ascii="Avenir Book" w:eastAsia="MS Mincho" w:hAnsi="Avenir Book"/>
          <w:b/>
          <w:szCs w:val="20"/>
        </w:rPr>
        <w:t xml:space="preserve"> and Production Act 2004</w:t>
      </w:r>
    </w:p>
    <w:p w:rsidR="003A5A07" w:rsidRPr="00B06331" w:rsidRDefault="003A5A07" w:rsidP="003A5A07">
      <w:pPr>
        <w:spacing w:line="240" w:lineRule="auto"/>
        <w:jc w:val="both"/>
        <w:rPr>
          <w:rFonts w:ascii="Avenir Book" w:eastAsia="MS Mincho" w:hAnsi="Avenir Book"/>
          <w:szCs w:val="20"/>
        </w:rPr>
      </w:pPr>
      <w:r w:rsidRPr="00B06331">
        <w:rPr>
          <w:rFonts w:ascii="Avenir Book" w:eastAsia="MS Mincho" w:hAnsi="Avenir Book"/>
          <w:szCs w:val="20"/>
        </w:rPr>
        <w:t>The Ministry will</w:t>
      </w:r>
      <w:r w:rsidR="00A912CE" w:rsidRPr="00B06331">
        <w:rPr>
          <w:rFonts w:ascii="Avenir Book" w:eastAsia="MS Mincho" w:hAnsi="Avenir Book"/>
          <w:szCs w:val="20"/>
        </w:rPr>
        <w:t xml:space="preserve"> articulate and consolidate in</w:t>
      </w:r>
      <w:r w:rsidRPr="00B06331">
        <w:rPr>
          <w:rFonts w:ascii="Avenir Book" w:eastAsia="MS Mincho" w:hAnsi="Avenir Book"/>
          <w:szCs w:val="20"/>
        </w:rPr>
        <w:t xml:space="preserve"> a single document its data acquisition, management, licensing and use of revenue from petroleum operations for national development. In this endeavor, it will review the existing legislation and develop a comprehensive regulatory regime for upstream operations. Through this </w:t>
      </w:r>
      <w:r w:rsidR="009777F1" w:rsidRPr="00B06331">
        <w:rPr>
          <w:rFonts w:ascii="Avenir Book" w:eastAsia="MS Mincho" w:hAnsi="Avenir Book"/>
          <w:szCs w:val="20"/>
        </w:rPr>
        <w:t>intervention,</w:t>
      </w:r>
      <w:r w:rsidRPr="00B06331">
        <w:rPr>
          <w:rFonts w:ascii="Avenir Book" w:eastAsia="MS Mincho" w:hAnsi="Avenir Book"/>
          <w:szCs w:val="20"/>
        </w:rPr>
        <w:t xml:space="preserve"> a data management policy will be developed during the plan period, which will ensure an in-house data management system. The necessary infrastructure ranging from the state-of the-art information technology with required hard and software will be installed. With this, the Ministry</w:t>
      </w:r>
      <w:r w:rsidR="00A912CE" w:rsidRPr="00B06331">
        <w:rPr>
          <w:rFonts w:ascii="Avenir Book" w:eastAsia="MS Mincho" w:hAnsi="Avenir Book"/>
          <w:szCs w:val="20"/>
        </w:rPr>
        <w:t>’s</w:t>
      </w:r>
      <w:r w:rsidRPr="00B06331">
        <w:rPr>
          <w:rFonts w:ascii="Avenir Book" w:eastAsia="MS Mincho" w:hAnsi="Avenir Book"/>
          <w:szCs w:val="20"/>
        </w:rPr>
        <w:t xml:space="preserve"> capacity to hold custody of a digital copy of all its geophysical </w:t>
      </w:r>
      <w:r w:rsidR="00ED1D1B" w:rsidRPr="00B06331">
        <w:rPr>
          <w:rFonts w:ascii="Avenir Book" w:eastAsia="MS Mincho" w:hAnsi="Avenir Book"/>
          <w:szCs w:val="20"/>
        </w:rPr>
        <w:t>data that</w:t>
      </w:r>
      <w:r w:rsidRPr="00B06331">
        <w:rPr>
          <w:rFonts w:ascii="Avenir Book" w:eastAsia="MS Mincho" w:hAnsi="Avenir Book"/>
          <w:szCs w:val="20"/>
        </w:rPr>
        <w:t xml:space="preserve"> is accessible to interested persons</w:t>
      </w:r>
      <w:r w:rsidR="00A912CE" w:rsidRPr="00B06331">
        <w:rPr>
          <w:rFonts w:ascii="Avenir Book" w:eastAsia="MS Mincho" w:hAnsi="Avenir Book"/>
          <w:szCs w:val="20"/>
        </w:rPr>
        <w:t xml:space="preserve"> will be strengthe</w:t>
      </w:r>
      <w:r w:rsidR="00FC77F4" w:rsidRPr="00B06331">
        <w:rPr>
          <w:rFonts w:ascii="Avenir Book" w:eastAsia="MS Mincho" w:hAnsi="Avenir Book"/>
          <w:szCs w:val="20"/>
        </w:rPr>
        <w:t>ne</w:t>
      </w:r>
      <w:r w:rsidR="00A912CE" w:rsidRPr="00B06331">
        <w:rPr>
          <w:rFonts w:ascii="Avenir Book" w:eastAsia="MS Mincho" w:hAnsi="Avenir Book"/>
          <w:szCs w:val="20"/>
        </w:rPr>
        <w:t>d</w:t>
      </w:r>
      <w:r w:rsidRPr="00B06331">
        <w:rPr>
          <w:rFonts w:ascii="Avenir Book" w:eastAsia="MS Mincho" w:hAnsi="Avenir Book"/>
          <w:szCs w:val="20"/>
        </w:rPr>
        <w:t>.</w:t>
      </w:r>
    </w:p>
    <w:p w:rsidR="003A5A07" w:rsidRPr="00B06331" w:rsidRDefault="003A5A07" w:rsidP="003A5A07">
      <w:pPr>
        <w:spacing w:line="240" w:lineRule="auto"/>
        <w:jc w:val="both"/>
        <w:rPr>
          <w:rFonts w:ascii="Avenir Book" w:eastAsia="MS Mincho" w:hAnsi="Avenir Book"/>
          <w:szCs w:val="20"/>
        </w:rPr>
      </w:pPr>
      <w:r w:rsidRPr="00B06331">
        <w:rPr>
          <w:rFonts w:ascii="Avenir Book" w:eastAsia="MS Mincho" w:hAnsi="Avenir Book"/>
          <w:b/>
          <w:szCs w:val="20"/>
        </w:rPr>
        <w:t>Develop a comprehensive Legal and Regulatory Regime for Petroleum Products</w:t>
      </w:r>
      <w:r w:rsidRPr="00B06331">
        <w:rPr>
          <w:rFonts w:ascii="Avenir Book" w:eastAsia="MS Mincho" w:hAnsi="Avenir Book"/>
          <w:szCs w:val="20"/>
        </w:rPr>
        <w:t>.</w:t>
      </w:r>
    </w:p>
    <w:p w:rsidR="003A5A07" w:rsidRPr="00B06331" w:rsidRDefault="006A212C" w:rsidP="003A5A07">
      <w:pPr>
        <w:spacing w:line="240" w:lineRule="auto"/>
        <w:jc w:val="both"/>
        <w:rPr>
          <w:rFonts w:ascii="Avenir Book" w:eastAsia="MS Mincho" w:hAnsi="Avenir Book"/>
          <w:szCs w:val="20"/>
        </w:rPr>
      </w:pPr>
      <w:r w:rsidRPr="00B06331">
        <w:rPr>
          <w:rFonts w:ascii="Avenir Book" w:eastAsia="MS Mincho" w:hAnsi="Avenir Book"/>
          <w:szCs w:val="20"/>
        </w:rPr>
        <w:t>C</w:t>
      </w:r>
      <w:r w:rsidR="003A5A07" w:rsidRPr="00B06331">
        <w:rPr>
          <w:rFonts w:ascii="Avenir Book" w:eastAsia="MS Mincho" w:hAnsi="Avenir Book"/>
          <w:szCs w:val="20"/>
        </w:rPr>
        <w:t>omprehensive regulatory instruments will be developed for each of the link</w:t>
      </w:r>
      <w:r w:rsidR="00FC77F4" w:rsidRPr="00B06331">
        <w:rPr>
          <w:rFonts w:ascii="Avenir Book" w:eastAsia="MS Mincho" w:hAnsi="Avenir Book"/>
          <w:szCs w:val="20"/>
        </w:rPr>
        <w:t>s</w:t>
      </w:r>
      <w:r w:rsidR="003A5A07" w:rsidRPr="00B06331">
        <w:rPr>
          <w:rFonts w:ascii="Avenir Book" w:eastAsia="MS Mincho" w:hAnsi="Avenir Book"/>
          <w:szCs w:val="20"/>
        </w:rPr>
        <w:t xml:space="preserve"> in the petroleum products supply chain. The regime will entrench a liberal, market driven and competitive environment conducive for investment. Strong institutions each with clear mandate but working collaboratively to implement these instruments will be created.</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lastRenderedPageBreak/>
        <w:t xml:space="preserve">Develop an emergency petroleum supply plan (security of petroleum products </w:t>
      </w:r>
      <w:r w:rsidR="00E31236" w:rsidRPr="00B06331">
        <w:rPr>
          <w:rFonts w:ascii="Avenir Book" w:eastAsia="MS Mincho" w:hAnsi="Avenir Book"/>
          <w:b/>
          <w:szCs w:val="20"/>
        </w:rPr>
        <w:t>supplies</w:t>
      </w:r>
      <w:r w:rsidRPr="00B06331">
        <w:rPr>
          <w:rFonts w:ascii="Avenir Book" w:eastAsia="MS Mincho" w:hAnsi="Avenir Book"/>
          <w:b/>
          <w:szCs w:val="20"/>
        </w:rPr>
        <w:t xml:space="preserve"> enhanced): </w:t>
      </w:r>
    </w:p>
    <w:p w:rsidR="003A5A07" w:rsidRPr="00B06331" w:rsidRDefault="006A212C" w:rsidP="003A5A07">
      <w:pPr>
        <w:spacing w:line="240" w:lineRule="auto"/>
        <w:jc w:val="both"/>
        <w:rPr>
          <w:rFonts w:ascii="Avenir Book" w:eastAsia="MS Mincho" w:hAnsi="Avenir Book"/>
          <w:szCs w:val="20"/>
        </w:rPr>
      </w:pPr>
      <w:r w:rsidRPr="00B06331">
        <w:rPr>
          <w:rFonts w:ascii="Avenir Book" w:eastAsia="MS Mincho" w:hAnsi="Avenir Book"/>
          <w:szCs w:val="20"/>
        </w:rPr>
        <w:t xml:space="preserve">Government will adopt measures </w:t>
      </w:r>
      <w:r w:rsidR="003A5A07" w:rsidRPr="00B06331">
        <w:rPr>
          <w:rFonts w:ascii="Avenir Book" w:eastAsia="MS Mincho" w:hAnsi="Avenir Book"/>
          <w:szCs w:val="20"/>
        </w:rPr>
        <w:t>to ensure the existence</w:t>
      </w:r>
      <w:r w:rsidRPr="00B06331">
        <w:rPr>
          <w:rFonts w:ascii="Avenir Book" w:eastAsia="MS Mincho" w:hAnsi="Avenir Book"/>
          <w:szCs w:val="20"/>
        </w:rPr>
        <w:t xml:space="preserve"> of buffer stocks in the country at all times</w:t>
      </w:r>
      <w:r w:rsidR="003A5A07" w:rsidRPr="00B06331">
        <w:rPr>
          <w:rFonts w:ascii="Avenir Book" w:eastAsia="MS Mincho" w:hAnsi="Avenir Book"/>
          <w:szCs w:val="20"/>
        </w:rPr>
        <w:t xml:space="preserve">. Its adequacy for a specific period will be dictated by the anticipated </w:t>
      </w:r>
      <w:r w:rsidR="00E31236" w:rsidRPr="00B06331">
        <w:rPr>
          <w:rFonts w:ascii="Avenir Book" w:eastAsia="MS Mincho" w:hAnsi="Avenir Book"/>
          <w:szCs w:val="20"/>
        </w:rPr>
        <w:t>emergency</w:t>
      </w:r>
      <w:r w:rsidR="003A5A07" w:rsidRPr="00B06331">
        <w:rPr>
          <w:rFonts w:ascii="Avenir Book" w:eastAsia="MS Mincho" w:hAnsi="Avenir Book"/>
          <w:szCs w:val="20"/>
        </w:rPr>
        <w:t>.</w:t>
      </w:r>
    </w:p>
    <w:p w:rsidR="003A5A07" w:rsidRPr="00B06331" w:rsidRDefault="00E31236" w:rsidP="003A5A07">
      <w:pPr>
        <w:spacing w:line="240" w:lineRule="auto"/>
        <w:jc w:val="both"/>
        <w:rPr>
          <w:rFonts w:ascii="Avenir Book" w:eastAsia="MS Mincho" w:hAnsi="Avenir Book"/>
          <w:b/>
          <w:i/>
          <w:color w:val="4472C4" w:themeColor="accent1"/>
          <w:szCs w:val="20"/>
        </w:rPr>
      </w:pPr>
      <w:r w:rsidRPr="00B06331">
        <w:rPr>
          <w:rFonts w:ascii="Avenir Book" w:eastAsia="MS Mincho" w:hAnsi="Avenir Book"/>
          <w:b/>
          <w:i/>
          <w:color w:val="4472C4" w:themeColor="accent1"/>
          <w:szCs w:val="20"/>
        </w:rPr>
        <w:t>Outcome 5.2: Improved Access to Electricity and Enhanced Household Energy Security for Sustainable Economic Development</w:t>
      </w:r>
    </w:p>
    <w:p w:rsidR="003A5A07" w:rsidRPr="00B06331" w:rsidRDefault="003A5A07" w:rsidP="003A5A07">
      <w:pPr>
        <w:spacing w:line="240" w:lineRule="auto"/>
        <w:jc w:val="both"/>
        <w:rPr>
          <w:rFonts w:ascii="Avenir Book" w:eastAsia="MS Mincho" w:hAnsi="Avenir Book"/>
          <w:szCs w:val="20"/>
        </w:rPr>
      </w:pPr>
      <w:r w:rsidRPr="00B06331">
        <w:rPr>
          <w:rFonts w:ascii="Avenir Book" w:eastAsia="MS Mincho" w:hAnsi="Avenir Book"/>
          <w:b/>
          <w:szCs w:val="20"/>
        </w:rPr>
        <w:t xml:space="preserve"> Increase elec</w:t>
      </w:r>
      <w:r w:rsidR="00FC77F4" w:rsidRPr="00B06331">
        <w:rPr>
          <w:rFonts w:ascii="Avenir Book" w:eastAsia="MS Mincho" w:hAnsi="Avenir Book"/>
          <w:b/>
          <w:szCs w:val="20"/>
        </w:rPr>
        <w:t xml:space="preserve">tricity installed capacity </w:t>
      </w:r>
    </w:p>
    <w:p w:rsidR="003A5A07" w:rsidRPr="00B06331" w:rsidRDefault="003A5A07" w:rsidP="003A5A07">
      <w:pPr>
        <w:spacing w:line="240" w:lineRule="auto"/>
        <w:jc w:val="both"/>
        <w:rPr>
          <w:rFonts w:ascii="Avenir Book" w:eastAsia="MS Mincho" w:hAnsi="Avenir Book"/>
          <w:szCs w:val="20"/>
        </w:rPr>
      </w:pPr>
      <w:r w:rsidRPr="00B06331">
        <w:rPr>
          <w:rFonts w:ascii="Avenir Book" w:eastAsia="MS Mincho" w:hAnsi="Avenir Book"/>
          <w:szCs w:val="20"/>
        </w:rPr>
        <w:t>During the plan period, the electricity install</w:t>
      </w:r>
      <w:r w:rsidR="00501995" w:rsidRPr="00B06331">
        <w:rPr>
          <w:rFonts w:ascii="Avenir Book" w:eastAsia="MS Mincho" w:hAnsi="Avenir Book"/>
          <w:szCs w:val="20"/>
        </w:rPr>
        <w:t>ed</w:t>
      </w:r>
      <w:r w:rsidRPr="00B06331">
        <w:rPr>
          <w:rFonts w:ascii="Avenir Book" w:eastAsia="MS Mincho" w:hAnsi="Avenir Book"/>
          <w:szCs w:val="20"/>
        </w:rPr>
        <w:t xml:space="preserve"> capacity will be increased to 250 MW and the population access to electricity </w:t>
      </w:r>
      <w:r w:rsidR="00ED1D1B" w:rsidRPr="00B06331">
        <w:rPr>
          <w:rFonts w:ascii="Avenir Book" w:eastAsia="MS Mincho" w:hAnsi="Avenir Book"/>
          <w:szCs w:val="20"/>
        </w:rPr>
        <w:t>will</w:t>
      </w:r>
      <w:r w:rsidRPr="00B06331">
        <w:rPr>
          <w:rFonts w:ascii="Avenir Book" w:eastAsia="MS Mincho" w:hAnsi="Avenir Book"/>
          <w:szCs w:val="20"/>
        </w:rPr>
        <w:t xml:space="preserve"> be increased from 40% to 6</w:t>
      </w:r>
      <w:r w:rsidR="00501995" w:rsidRPr="00B06331">
        <w:rPr>
          <w:rFonts w:ascii="Avenir Book" w:eastAsia="MS Mincho" w:hAnsi="Avenir Book"/>
          <w:szCs w:val="20"/>
        </w:rPr>
        <w:t>0%</w:t>
      </w:r>
      <w:r w:rsidRPr="00B06331">
        <w:rPr>
          <w:rFonts w:ascii="Avenir Book" w:eastAsia="MS Mincho" w:hAnsi="Avenir Book"/>
          <w:szCs w:val="20"/>
        </w:rPr>
        <w:t>. The current demand for electricity in the country is not matched by a corresponding increase in the supply and this situation has resulted in a significant energy demand-supply gap. The major challenges in the supply side have mainly been due to over dependence on fossil fuels particularly, rising import bills; price volatility in the global oil market; repair and maintenance of ageing-generators and plants as well as inadequate investment and financing options. These variables generate direct and indirect fin</w:t>
      </w:r>
      <w:r w:rsidR="00FC77F4" w:rsidRPr="00B06331">
        <w:rPr>
          <w:rFonts w:ascii="Avenir Book" w:eastAsia="MS Mincho" w:hAnsi="Avenir Book"/>
          <w:szCs w:val="20"/>
        </w:rPr>
        <w:t>ancial and capital costs to government</w:t>
      </w:r>
      <w:r w:rsidRPr="00B06331">
        <w:rPr>
          <w:rFonts w:ascii="Avenir Book" w:eastAsia="MS Mincho" w:hAnsi="Avenir Book"/>
          <w:szCs w:val="20"/>
        </w:rPr>
        <w:t xml:space="preserve"> and consumers. In this regard, the maintenance and rehabilitation of electricity infrastructure will be a priority to enhance access to electricity during the plan period.</w:t>
      </w:r>
    </w:p>
    <w:p w:rsidR="00501995" w:rsidRPr="00B06331" w:rsidRDefault="003A5A07" w:rsidP="003A5A07">
      <w:pPr>
        <w:pStyle w:val="ListParagraph"/>
        <w:spacing w:after="0" w:line="240" w:lineRule="auto"/>
        <w:ind w:left="0"/>
        <w:jc w:val="both"/>
        <w:rPr>
          <w:rFonts w:cs="Calibri"/>
        </w:rPr>
      </w:pPr>
      <w:r w:rsidRPr="00B06331">
        <w:rPr>
          <w:rFonts w:ascii="Avenir Book" w:eastAsia="MS Mincho" w:hAnsi="Avenir Book"/>
          <w:szCs w:val="20"/>
        </w:rPr>
        <w:t>To rapidly close the gap between energy demand and supply, Government will take measures to urgently increase elec</w:t>
      </w:r>
      <w:r w:rsidR="00FC77F4" w:rsidRPr="00B06331">
        <w:rPr>
          <w:rFonts w:ascii="Avenir Book" w:eastAsia="MS Mincho" w:hAnsi="Avenir Book"/>
          <w:szCs w:val="20"/>
        </w:rPr>
        <w:t>tricity installed capacity</w:t>
      </w:r>
      <w:r w:rsidRPr="00B06331">
        <w:rPr>
          <w:rFonts w:ascii="Avenir Book" w:eastAsia="MS Mincho" w:hAnsi="Avenir Book"/>
          <w:b/>
          <w:szCs w:val="20"/>
        </w:rPr>
        <w:t xml:space="preserve">. </w:t>
      </w:r>
      <w:r w:rsidR="00FC77F4" w:rsidRPr="00B06331">
        <w:rPr>
          <w:rFonts w:cs="Calibri"/>
        </w:rPr>
        <w:t>For</w:t>
      </w:r>
      <w:r w:rsidRPr="00B06331">
        <w:rPr>
          <w:rFonts w:cs="Calibri"/>
        </w:rPr>
        <w:t xml:space="preserve"> the short-term, an emergency plan has been developed. The main features of the plan in the GBA are fast-tracking of capacity expansion through rehab</w:t>
      </w:r>
      <w:r w:rsidR="00FC77F4" w:rsidRPr="00B06331">
        <w:rPr>
          <w:rFonts w:cs="Calibri"/>
        </w:rPr>
        <w:t>ilitation</w:t>
      </w:r>
      <w:r w:rsidRPr="00B06331">
        <w:rPr>
          <w:rFonts w:cs="Calibri"/>
        </w:rPr>
        <w:t xml:space="preserve"> and new engines to reach the minimum 70 MW</w:t>
      </w:r>
      <w:r w:rsidR="00FC77F4" w:rsidRPr="00B06331">
        <w:rPr>
          <w:rFonts w:cs="Calibri"/>
        </w:rPr>
        <w:t xml:space="preserve"> by the end of 2017. This would help</w:t>
      </w:r>
      <w:r w:rsidRPr="00B06331">
        <w:rPr>
          <w:rFonts w:cs="Calibri"/>
        </w:rPr>
        <w:t xml:space="preserve"> phase out black outs.  Other measures in the GBA include the replacement of all street lights with LED bulbs to reducedemand, and an emergency communications plan. In the provinces, cross border lines with Senegal are to be fast tracked to purchase up to 10MW of power from SENELEC.</w:t>
      </w:r>
    </w:p>
    <w:p w:rsidR="00501995" w:rsidRPr="00B06331" w:rsidRDefault="00501995" w:rsidP="003A5A07">
      <w:pPr>
        <w:pStyle w:val="ListParagraph"/>
        <w:spacing w:after="0" w:line="240" w:lineRule="auto"/>
        <w:ind w:left="0"/>
        <w:jc w:val="both"/>
        <w:rPr>
          <w:rFonts w:cs="Calibri"/>
        </w:rPr>
      </w:pPr>
    </w:p>
    <w:p w:rsidR="003A5A07" w:rsidRPr="00B06331" w:rsidRDefault="003A5A07" w:rsidP="003A5A07">
      <w:pPr>
        <w:pStyle w:val="ListParagraph"/>
        <w:spacing w:after="0" w:line="240" w:lineRule="auto"/>
        <w:ind w:left="0"/>
        <w:jc w:val="both"/>
        <w:rPr>
          <w:rFonts w:ascii="Avenir Book" w:eastAsia="MS Mincho" w:hAnsi="Avenir Book"/>
          <w:szCs w:val="20"/>
        </w:rPr>
      </w:pPr>
      <w:r w:rsidRPr="00B06331">
        <w:rPr>
          <w:rFonts w:cs="Calibri"/>
        </w:rPr>
        <w:t>In the medium ter</w:t>
      </w:r>
      <w:r w:rsidR="00501995" w:rsidRPr="00B06331">
        <w:rPr>
          <w:rFonts w:cs="Calibri"/>
        </w:rPr>
        <w:t>m, steps will</w:t>
      </w:r>
      <w:r w:rsidRPr="00B06331">
        <w:rPr>
          <w:rFonts w:cs="Calibri"/>
        </w:rPr>
        <w:t xml:space="preserve"> be taken to scale generation capacity. The primary sources o</w:t>
      </w:r>
      <w:r w:rsidR="00FC77F4" w:rsidRPr="00B06331">
        <w:rPr>
          <w:rFonts w:cs="Calibri"/>
        </w:rPr>
        <w:t>f new generation considered are</w:t>
      </w:r>
      <w:r w:rsidRPr="00B06331">
        <w:rPr>
          <w:rFonts w:cs="Calibri"/>
        </w:rPr>
        <w:t xml:space="preserve"> HFO and imports for baseload, and solar for providing lowest cost electricit</w:t>
      </w:r>
      <w:r w:rsidR="00501995" w:rsidRPr="00B06331">
        <w:rPr>
          <w:rFonts w:cs="Calibri"/>
        </w:rPr>
        <w:t>y during the day. Gas-to-Power w</w:t>
      </w:r>
      <w:r w:rsidRPr="00B06331">
        <w:rPr>
          <w:rFonts w:cs="Calibri"/>
        </w:rPr>
        <w:t>ould also be explored as a potential source of base load energy. A key output from this measure</w:t>
      </w:r>
      <w:r w:rsidR="00FC77F4" w:rsidRPr="00B06331">
        <w:rPr>
          <w:rFonts w:cs="Calibri"/>
        </w:rPr>
        <w:t xml:space="preserve"> is</w:t>
      </w:r>
      <w:r w:rsidRPr="00B06331">
        <w:rPr>
          <w:rFonts w:cs="Calibri"/>
        </w:rPr>
        <w:t xml:space="preserve"> a preference for up to 50 percent of energy to be delivered through low cost imports from neighboring countries including Guinea and Senegal. A key factor for imports will be the import price. At current global oil prices, the cut off for imports to be financially competitive with HFO is approximately $0.14-15 / kWh.(Source: Electricity roadmap plan)</w:t>
      </w:r>
      <w:r w:rsidRPr="00B06331">
        <w:rPr>
          <w:rFonts w:ascii="Avenir Book" w:eastAsia="MS Mincho" w:hAnsi="Avenir Book"/>
          <w:b/>
          <w:szCs w:val="20"/>
        </w:rPr>
        <w:t>.</w:t>
      </w:r>
    </w:p>
    <w:p w:rsidR="004E6604" w:rsidRPr="00B06331" w:rsidRDefault="004E6604" w:rsidP="003A5A07">
      <w:pPr>
        <w:rPr>
          <w:b/>
          <w:color w:val="000000"/>
        </w:rPr>
      </w:pPr>
    </w:p>
    <w:p w:rsidR="003A5A07" w:rsidRPr="00B06331" w:rsidRDefault="003A5A07" w:rsidP="003A5A07">
      <w:pPr>
        <w:rPr>
          <w:b/>
          <w:color w:val="000000"/>
        </w:rPr>
      </w:pPr>
      <w:r w:rsidRPr="00B06331">
        <w:rPr>
          <w:b/>
          <w:color w:val="000000"/>
        </w:rPr>
        <w:t>Increase share of renewable energy in the total electricity generation through use of appropriate technology, R&amp;D, a</w:t>
      </w:r>
      <w:r w:rsidR="00FC77F4" w:rsidRPr="00B06331">
        <w:rPr>
          <w:b/>
          <w:color w:val="000000"/>
        </w:rPr>
        <w:t xml:space="preserve">nd other efficient measures </w:t>
      </w:r>
    </w:p>
    <w:p w:rsidR="003A5A07" w:rsidRPr="00B06331" w:rsidRDefault="00501995" w:rsidP="003A5A07">
      <w:pPr>
        <w:spacing w:line="240" w:lineRule="auto"/>
        <w:jc w:val="both"/>
        <w:rPr>
          <w:rFonts w:ascii="Avenir Book" w:eastAsia="MS Mincho" w:hAnsi="Avenir Book"/>
          <w:szCs w:val="20"/>
        </w:rPr>
      </w:pPr>
      <w:r w:rsidRPr="00B06331">
        <w:rPr>
          <w:rFonts w:ascii="Avenir Book" w:eastAsia="MS Mincho" w:hAnsi="Avenir Book"/>
          <w:szCs w:val="20"/>
        </w:rPr>
        <w:t>Currently the share of renewable e</w:t>
      </w:r>
      <w:r w:rsidR="003A5A07" w:rsidRPr="00B06331">
        <w:rPr>
          <w:rFonts w:ascii="Avenir Book" w:eastAsia="MS Mincho" w:hAnsi="Avenir Book"/>
          <w:szCs w:val="20"/>
        </w:rPr>
        <w:t>nergy in the total elec</w:t>
      </w:r>
      <w:r w:rsidRPr="00B06331">
        <w:rPr>
          <w:rFonts w:ascii="Avenir Book" w:eastAsia="MS Mincho" w:hAnsi="Avenir Book"/>
          <w:szCs w:val="20"/>
        </w:rPr>
        <w:t>tricity generation</w:t>
      </w:r>
      <w:r w:rsidR="003A5A07" w:rsidRPr="00B06331">
        <w:rPr>
          <w:rFonts w:ascii="Avenir Book" w:eastAsia="MS Mincho" w:hAnsi="Avenir Book"/>
          <w:szCs w:val="20"/>
        </w:rPr>
        <w:t xml:space="preserve"> is less than</w:t>
      </w:r>
      <w:r w:rsidR="00FC77F4" w:rsidRPr="00B06331">
        <w:rPr>
          <w:rFonts w:ascii="Avenir Book" w:eastAsia="MS Mincho" w:hAnsi="Avenir Book"/>
          <w:szCs w:val="20"/>
        </w:rPr>
        <w:t xml:space="preserve"> 2% and will be increased</w:t>
      </w:r>
      <w:r w:rsidR="003A5A07" w:rsidRPr="00B06331">
        <w:rPr>
          <w:rFonts w:ascii="Avenir Book" w:eastAsia="MS Mincho" w:hAnsi="Avenir Book"/>
          <w:szCs w:val="20"/>
        </w:rPr>
        <w:t xml:space="preserve"> by 2021. Measures will be taken to increase the share of renewable energy in the total electricity generation through use of appropriate technology, R &amp;D, and other efficient measures.Renewable energy represents an area of tremendous opportunity for The Gambia. Government is committed to promote the development of RE and will actively work to increase the renewable energy share in the energy mix. During the plan period, renewable energy resources will be prioritized (solar energy, wind energy, and hydro energy) in order to have a balanced energy mix. Furthermore, GREC will be rehabilitated while private sector participation will also be promoted to contribute towards increasing share of RE in the total electricity generation</w:t>
      </w:r>
    </w:p>
    <w:p w:rsidR="003A5A07" w:rsidRPr="00B06331" w:rsidRDefault="003A5A07" w:rsidP="003A5A07">
      <w:pPr>
        <w:spacing w:line="240" w:lineRule="auto"/>
        <w:jc w:val="both"/>
        <w:rPr>
          <w:b/>
          <w:color w:val="000000"/>
        </w:rPr>
      </w:pPr>
      <w:r w:rsidRPr="00B06331">
        <w:rPr>
          <w:b/>
          <w:color w:val="000000"/>
        </w:rPr>
        <w:lastRenderedPageBreak/>
        <w:t>Increase the proportion of the population w</w:t>
      </w:r>
      <w:r w:rsidR="00FC77F4" w:rsidRPr="00B06331">
        <w:rPr>
          <w:b/>
          <w:color w:val="000000"/>
        </w:rPr>
        <w:t xml:space="preserve">ith access to electricity </w:t>
      </w:r>
    </w:p>
    <w:p w:rsidR="003A5A07" w:rsidRPr="00B06331" w:rsidRDefault="003A5A07" w:rsidP="003A5A07">
      <w:pPr>
        <w:rPr>
          <w:rFonts w:ascii="Avenir Book" w:eastAsia="MS Mincho" w:hAnsi="Avenir Book"/>
          <w:szCs w:val="20"/>
        </w:rPr>
      </w:pPr>
      <w:r w:rsidRPr="00B06331">
        <w:rPr>
          <w:rFonts w:ascii="Avenir Book" w:eastAsia="MS Mincho" w:hAnsi="Avenir Book"/>
          <w:szCs w:val="20"/>
        </w:rPr>
        <w:t>Measures will also be taken to increase the proportion of the population with access to electricity disaggregate</w:t>
      </w:r>
      <w:r w:rsidR="00501995" w:rsidRPr="00B06331">
        <w:rPr>
          <w:rFonts w:ascii="Avenir Book" w:eastAsia="MS Mincho" w:hAnsi="Avenir Book"/>
          <w:szCs w:val="20"/>
        </w:rPr>
        <w:t>d</w:t>
      </w:r>
      <w:r w:rsidRPr="00B06331">
        <w:rPr>
          <w:rFonts w:ascii="Avenir Book" w:eastAsia="MS Mincho" w:hAnsi="Avenir Book"/>
          <w:szCs w:val="20"/>
        </w:rPr>
        <w:t xml:space="preserve"> by region</w:t>
      </w:r>
      <w:r w:rsidRPr="00B06331">
        <w:rPr>
          <w:rFonts w:ascii="Avenir Book" w:eastAsia="MS Mincho" w:hAnsi="Avenir Book"/>
          <w:b/>
          <w:szCs w:val="20"/>
        </w:rPr>
        <w:t xml:space="preserve">. </w:t>
      </w:r>
      <w:r w:rsidRPr="00B06331">
        <w:rPr>
          <w:rFonts w:ascii="Avenir Book" w:eastAsia="MS Mincho" w:hAnsi="Avenir Book"/>
          <w:szCs w:val="20"/>
        </w:rPr>
        <w:t xml:space="preserve">Electricity access in The Gambia is estimated at 35 percent of the population. While 60 percent of the population in the GBA is served, only six percent of the population in the outlying provinces has access. To remedy this, Government will establish mini grid country programs for isolated settlement in the rural </w:t>
      </w:r>
      <w:r w:rsidR="00ED1D1B" w:rsidRPr="00B06331">
        <w:rPr>
          <w:rFonts w:ascii="Avenir Book" w:eastAsia="MS Mincho" w:hAnsi="Avenir Book"/>
          <w:szCs w:val="20"/>
        </w:rPr>
        <w:t>areas to</w:t>
      </w:r>
      <w:r w:rsidRPr="00B06331">
        <w:rPr>
          <w:rFonts w:ascii="Avenir Book" w:eastAsia="MS Mincho" w:hAnsi="Avenir Book"/>
          <w:szCs w:val="20"/>
        </w:rPr>
        <w:t xml:space="preserve"> use solar PV standalone generators and expand the ongoing rural electrification projects.</w:t>
      </w:r>
    </w:p>
    <w:p w:rsidR="003A5A07" w:rsidRPr="00B06331" w:rsidRDefault="003A5A07" w:rsidP="003A5A07">
      <w:pPr>
        <w:rPr>
          <w:b/>
          <w:color w:val="000000"/>
        </w:rPr>
      </w:pPr>
      <w:r w:rsidRPr="00B06331">
        <w:rPr>
          <w:rFonts w:ascii="Avenir Book" w:hAnsi="Avenir Book"/>
          <w:b/>
        </w:rPr>
        <w:t>I</w:t>
      </w:r>
      <w:r w:rsidRPr="00B06331">
        <w:rPr>
          <w:b/>
          <w:color w:val="000000"/>
        </w:rPr>
        <w:t>mprove the national T&amp;D network (coverage and connectivity, loss reduction, technology, etc.)</w:t>
      </w:r>
    </w:p>
    <w:p w:rsidR="003A5A07" w:rsidRPr="00B06331" w:rsidRDefault="00501995" w:rsidP="003A5A07">
      <w:pPr>
        <w:spacing w:line="240" w:lineRule="auto"/>
        <w:rPr>
          <w:rFonts w:cs="Calibri"/>
        </w:rPr>
      </w:pPr>
      <w:r w:rsidRPr="00B06331">
        <w:t>E</w:t>
      </w:r>
      <w:r w:rsidR="003A5A07" w:rsidRPr="00B06331">
        <w:t xml:space="preserve">lectricity </w:t>
      </w:r>
      <w:r w:rsidRPr="00B06331">
        <w:t xml:space="preserve">transmission </w:t>
      </w:r>
      <w:r w:rsidR="003A5A07" w:rsidRPr="00B06331">
        <w:t>l</w:t>
      </w:r>
      <w:r w:rsidRPr="00B06331">
        <w:t xml:space="preserve">osses in The Gambia is 25% and </w:t>
      </w:r>
      <w:r w:rsidR="003A5A07" w:rsidRPr="00B06331">
        <w:t xml:space="preserve">by the end of </w:t>
      </w:r>
      <w:r w:rsidR="00ED1D1B" w:rsidRPr="00B06331">
        <w:t>2021,</w:t>
      </w:r>
      <w:r w:rsidR="003A5A07" w:rsidRPr="00B06331">
        <w:t xml:space="preserve"> it will be reduce</w:t>
      </w:r>
      <w:r w:rsidRPr="00B06331">
        <w:t>d</w:t>
      </w:r>
      <w:r w:rsidR="00FC77F4" w:rsidRPr="00B06331">
        <w:t xml:space="preserve">to </w:t>
      </w:r>
      <w:r w:rsidR="003A5A07" w:rsidRPr="00B06331">
        <w:t>17%.</w:t>
      </w:r>
      <w:r w:rsidRPr="00B06331">
        <w:t xml:space="preserve"> Efforts will be made</w:t>
      </w:r>
      <w:r w:rsidR="003A5A07" w:rsidRPr="00B06331">
        <w:t xml:space="preserve"> to improve the national T&amp; D network (coverage and connectivity, loss reduction, technology, </w:t>
      </w:r>
      <w:r w:rsidR="00ED1D1B" w:rsidRPr="00B06331">
        <w:t>etc.</w:t>
      </w:r>
      <w:r w:rsidR="003A5A07" w:rsidRPr="00B06331">
        <w:t>).Transmission and Dis</w:t>
      </w:r>
      <w:r w:rsidRPr="00B06331">
        <w:t>tribution network losses increase</w:t>
      </w:r>
      <w:r w:rsidR="003A5A07" w:rsidRPr="00B06331">
        <w:t xml:space="preserve"> the cost of supply on a per kWh basis. </w:t>
      </w:r>
      <w:r w:rsidR="003A5A07" w:rsidRPr="00B06331">
        <w:rPr>
          <w:rFonts w:cs="Calibri"/>
        </w:rPr>
        <w:t xml:space="preserve">Substantial investments in T&amp;D infrastructure will be necessary to absorb new generation capacity and expand access. </w:t>
      </w:r>
      <w:r w:rsidR="003A5A07" w:rsidRPr="00B06331">
        <w:rPr>
          <w:rFonts w:cs="Calibri"/>
          <w:szCs w:val="28"/>
        </w:rPr>
        <w:t xml:space="preserve">Scaling T&amp;D infrastructure to meet growth projections is estimated to require US$133 million by 2025, which will come through public finance. </w:t>
      </w:r>
      <w:r w:rsidR="00EB7E8A" w:rsidRPr="00B06331">
        <w:rPr>
          <w:rFonts w:cs="Calibri"/>
        </w:rPr>
        <w:t>Several</w:t>
      </w:r>
      <w:r w:rsidR="003A5A07" w:rsidRPr="00B06331">
        <w:rPr>
          <w:rFonts w:cs="Calibri"/>
        </w:rPr>
        <w:t xml:space="preserve"> transmission projects are currently underway, which will improve the perfo</w:t>
      </w:r>
      <w:r w:rsidRPr="00B06331">
        <w:rPr>
          <w:rFonts w:cs="Calibri"/>
        </w:rPr>
        <w:t>rmance of the grid. Projects</w:t>
      </w:r>
      <w:r w:rsidR="003A5A07" w:rsidRPr="00B06331">
        <w:rPr>
          <w:rFonts w:cs="Calibri"/>
        </w:rPr>
        <w:t xml:space="preserve"> expected to be completed in the period 2017-2020 include:</w:t>
      </w:r>
    </w:p>
    <w:p w:rsidR="003A5A07" w:rsidRPr="00B06331" w:rsidRDefault="003A5A07" w:rsidP="004143E3">
      <w:pPr>
        <w:numPr>
          <w:ilvl w:val="0"/>
          <w:numId w:val="55"/>
        </w:numPr>
        <w:spacing w:after="0" w:line="259" w:lineRule="auto"/>
        <w:jc w:val="both"/>
        <w:rPr>
          <w:rFonts w:cs="Calibri"/>
        </w:rPr>
      </w:pPr>
      <w:r w:rsidRPr="00B06331">
        <w:rPr>
          <w:rFonts w:cs="Calibri"/>
        </w:rPr>
        <w:t xml:space="preserve">OMVG: a </w:t>
      </w:r>
      <w:r w:rsidR="008942DD" w:rsidRPr="00B06331">
        <w:rPr>
          <w:rFonts w:cs="Calibri"/>
        </w:rPr>
        <w:t>225-kV</w:t>
      </w:r>
      <w:r w:rsidRPr="00B06331">
        <w:rPr>
          <w:rFonts w:cs="Calibri"/>
        </w:rPr>
        <w:t xml:space="preserve"> western backbone line. Completion expected in 2020</w:t>
      </w:r>
    </w:p>
    <w:p w:rsidR="003A5A07" w:rsidRPr="00B06331" w:rsidRDefault="003A5A07" w:rsidP="004143E3">
      <w:pPr>
        <w:numPr>
          <w:ilvl w:val="0"/>
          <w:numId w:val="55"/>
        </w:numPr>
        <w:spacing w:after="0" w:line="259" w:lineRule="auto"/>
        <w:jc w:val="both"/>
        <w:rPr>
          <w:rFonts w:cs="Calibri"/>
        </w:rPr>
      </w:pPr>
      <w:r w:rsidRPr="00B06331">
        <w:rPr>
          <w:rFonts w:cs="Calibri"/>
        </w:rPr>
        <w:t>World Bank GESP investments. Completion is expected in 2018.</w:t>
      </w:r>
    </w:p>
    <w:p w:rsidR="003A5A07" w:rsidRPr="00B06331" w:rsidRDefault="003A5A07" w:rsidP="004143E3">
      <w:pPr>
        <w:numPr>
          <w:ilvl w:val="0"/>
          <w:numId w:val="55"/>
        </w:numPr>
        <w:spacing w:after="0" w:line="259" w:lineRule="auto"/>
        <w:jc w:val="both"/>
        <w:rPr>
          <w:rFonts w:cs="Calibri"/>
        </w:rPr>
      </w:pPr>
      <w:r w:rsidRPr="00B06331">
        <w:rPr>
          <w:rFonts w:cs="Calibri"/>
        </w:rPr>
        <w:t>An India Exim Bank distribution project in GBA. Completion date is to be confirmed.</w:t>
      </w:r>
    </w:p>
    <w:p w:rsidR="003A5A07" w:rsidRPr="00B06331" w:rsidRDefault="003A5A07" w:rsidP="003A5A07">
      <w:pPr>
        <w:pStyle w:val="ListParagraph"/>
        <w:spacing w:after="0"/>
        <w:ind w:left="0"/>
        <w:jc w:val="both"/>
        <w:rPr>
          <w:rFonts w:cs="Calibri"/>
        </w:rPr>
      </w:pPr>
    </w:p>
    <w:p w:rsidR="003A5A07" w:rsidRPr="00B06331" w:rsidRDefault="003A5A07" w:rsidP="008942DD">
      <w:pPr>
        <w:pStyle w:val="ListParagraph"/>
        <w:spacing w:after="0"/>
        <w:ind w:left="0"/>
        <w:jc w:val="both"/>
        <w:rPr>
          <w:rFonts w:cs="Calibri"/>
          <w:szCs w:val="28"/>
        </w:rPr>
      </w:pPr>
      <w:r w:rsidRPr="00B06331">
        <w:rPr>
          <w:rFonts w:cs="Calibri"/>
        </w:rPr>
        <w:t>Further investment</w:t>
      </w:r>
      <w:r w:rsidR="00FC77F4" w:rsidRPr="00B06331">
        <w:rPr>
          <w:rFonts w:cs="Calibri"/>
        </w:rPr>
        <w:t>s in T&amp;D are required to</w:t>
      </w:r>
      <w:r w:rsidRPr="00B06331">
        <w:rPr>
          <w:rFonts w:cs="Calibri"/>
        </w:rPr>
        <w:t xml:space="preserve"> reinforce and expand the existing network </w:t>
      </w:r>
      <w:r w:rsidR="008942DD" w:rsidRPr="00B06331">
        <w:rPr>
          <w:rFonts w:cs="Calibri"/>
        </w:rPr>
        <w:t>to</w:t>
      </w:r>
      <w:r w:rsidRPr="00B06331">
        <w:rPr>
          <w:rFonts w:cs="Calibri"/>
        </w:rPr>
        <w:t xml:space="preserve"> cope with the expansion in generation identified as part of the Roadmap.</w:t>
      </w:r>
      <w:r w:rsidRPr="00B06331">
        <w:rPr>
          <w:rFonts w:cs="Calibri"/>
          <w:szCs w:val="28"/>
        </w:rPr>
        <w:t xml:space="preserve"> There is currently a financing gap of US$75 million. (Source: Electricity sector roadmap plan)</w:t>
      </w:r>
    </w:p>
    <w:p w:rsidR="00F51AF8" w:rsidRPr="00B06331" w:rsidRDefault="00F51AF8" w:rsidP="008942DD">
      <w:pPr>
        <w:pStyle w:val="ListParagraph"/>
        <w:spacing w:after="0"/>
        <w:ind w:left="0"/>
        <w:jc w:val="both"/>
        <w:rPr>
          <w:rFonts w:cs="Calibri"/>
          <w:szCs w:val="28"/>
        </w:rPr>
      </w:pPr>
    </w:p>
    <w:p w:rsidR="003A5A07" w:rsidRPr="00B06331" w:rsidRDefault="003A5A07" w:rsidP="003A5A07">
      <w:pPr>
        <w:spacing w:line="240" w:lineRule="auto"/>
        <w:jc w:val="both"/>
        <w:rPr>
          <w:b/>
          <w:color w:val="000000"/>
        </w:rPr>
      </w:pPr>
      <w:r w:rsidRPr="00B06331">
        <w:rPr>
          <w:b/>
          <w:color w:val="000000"/>
        </w:rPr>
        <w:t>Increase private sector participation in electricity generation (through IPPs)</w:t>
      </w:r>
    </w:p>
    <w:p w:rsidR="003A5A07" w:rsidRPr="00B06331" w:rsidRDefault="003A5A07" w:rsidP="003A5A07">
      <w:pPr>
        <w:jc w:val="both"/>
        <w:rPr>
          <w:rFonts w:ascii="Avenir Book" w:eastAsia="MS Mincho" w:hAnsi="Avenir Book"/>
          <w:b/>
          <w:szCs w:val="20"/>
        </w:rPr>
      </w:pPr>
      <w:r w:rsidRPr="00B06331">
        <w:rPr>
          <w:rFonts w:ascii="Avenir Book" w:eastAsia="MS Mincho" w:hAnsi="Avenir Book"/>
          <w:szCs w:val="20"/>
        </w:rPr>
        <w:t>Efforts will be made to increase private sector participation in electricity generation (through IPPs).The MoPE has already established strategic partnerships and alliances with some national, regional and international organizations and agencies. These relationships are important platforms to mobilize additional financial resources and technical assistance for the energy sector. Therefore, Government will formulate a resource mobilization strategy to build new pa</w:t>
      </w:r>
      <w:r w:rsidR="00FC77F4" w:rsidRPr="00B06331">
        <w:rPr>
          <w:rFonts w:ascii="Avenir Book" w:eastAsia="MS Mincho" w:hAnsi="Avenir Book"/>
          <w:szCs w:val="20"/>
        </w:rPr>
        <w:t>rtnerships while nurturing</w:t>
      </w:r>
      <w:r w:rsidRPr="00B06331">
        <w:rPr>
          <w:rFonts w:ascii="Avenir Book" w:eastAsia="MS Mincho" w:hAnsi="Avenir Book"/>
          <w:szCs w:val="20"/>
        </w:rPr>
        <w:t xml:space="preserve"> varied and innovative platforms including PPPs and IPPs.</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t>Reduce percentage of household dependent on fuel wood energy through household access to improved stove</w:t>
      </w:r>
    </w:p>
    <w:p w:rsidR="003A5A07" w:rsidRPr="00B06331" w:rsidRDefault="003A5A07" w:rsidP="003A5A07">
      <w:pPr>
        <w:pStyle w:val="Default"/>
        <w:spacing w:line="276" w:lineRule="auto"/>
        <w:jc w:val="both"/>
        <w:rPr>
          <w:rFonts w:ascii="Avenir Book" w:eastAsia="MS Mincho" w:hAnsi="Avenir Book" w:cs="Times New Roman"/>
          <w:color w:val="auto"/>
          <w:sz w:val="22"/>
          <w:szCs w:val="20"/>
        </w:rPr>
      </w:pPr>
      <w:r w:rsidRPr="00B06331">
        <w:rPr>
          <w:rFonts w:ascii="Avenir Book" w:eastAsia="MS Mincho" w:hAnsi="Avenir Book" w:cs="Times New Roman"/>
          <w:color w:val="auto"/>
          <w:sz w:val="22"/>
          <w:szCs w:val="20"/>
        </w:rPr>
        <w:t>The excessive dependence on biomass will be managed, through sustainable natural resource management including access to LPGs</w:t>
      </w:r>
      <w:r w:rsidR="00DD4B70" w:rsidRPr="00B06331">
        <w:rPr>
          <w:rFonts w:ascii="Avenir Book" w:eastAsia="MS Mincho" w:hAnsi="Avenir Book" w:cs="Times New Roman"/>
          <w:color w:val="auto"/>
          <w:sz w:val="22"/>
          <w:szCs w:val="20"/>
        </w:rPr>
        <w:t xml:space="preserve"> and land use planning.</w:t>
      </w:r>
      <w:r w:rsidRPr="00B06331">
        <w:rPr>
          <w:rFonts w:ascii="Avenir Book" w:eastAsia="MS Mincho" w:hAnsi="Avenir Book" w:cs="Times New Roman"/>
          <w:color w:val="auto"/>
          <w:sz w:val="22"/>
          <w:szCs w:val="20"/>
        </w:rPr>
        <w:t>Unsustainable and inefficient production and use of biomass will lead to rapid depletion of the forest cover. To manag</w:t>
      </w:r>
      <w:r w:rsidR="00FC77F4" w:rsidRPr="00B06331">
        <w:rPr>
          <w:rFonts w:ascii="Avenir Book" w:eastAsia="MS Mincho" w:hAnsi="Avenir Book" w:cs="Times New Roman"/>
          <w:color w:val="auto"/>
          <w:sz w:val="22"/>
          <w:szCs w:val="20"/>
        </w:rPr>
        <w:t>e the biomass utilization, the p</w:t>
      </w:r>
      <w:r w:rsidRPr="00B06331">
        <w:rPr>
          <w:rFonts w:ascii="Avenir Book" w:eastAsia="MS Mincho" w:hAnsi="Avenir Book" w:cs="Times New Roman"/>
          <w:color w:val="auto"/>
          <w:sz w:val="22"/>
          <w:szCs w:val="20"/>
        </w:rPr>
        <w:t>lan will</w:t>
      </w:r>
      <w:r w:rsidR="00FC77F4" w:rsidRPr="00B06331">
        <w:rPr>
          <w:rFonts w:ascii="Avenir Book" w:eastAsia="MS Mincho" w:hAnsi="Avenir Book" w:cs="Times New Roman"/>
          <w:color w:val="auto"/>
          <w:sz w:val="22"/>
          <w:szCs w:val="20"/>
        </w:rPr>
        <w:t xml:space="preserve"> focus on prioritizing reducing</w:t>
      </w:r>
      <w:r w:rsidRPr="00B06331">
        <w:rPr>
          <w:rFonts w:ascii="Avenir Book" w:eastAsia="MS Mincho" w:hAnsi="Avenir Book" w:cs="Times New Roman"/>
          <w:color w:val="auto"/>
          <w:sz w:val="22"/>
          <w:szCs w:val="20"/>
        </w:rPr>
        <w:t xml:space="preserve"> the heavy dependence on wood and charcoal; popularizing </w:t>
      </w:r>
      <w:r w:rsidRPr="00B06331">
        <w:rPr>
          <w:rFonts w:ascii="Avenir Book" w:eastAsia="MS Mincho" w:hAnsi="Avenir Book" w:cs="Times New Roman"/>
          <w:color w:val="auto"/>
          <w:sz w:val="22"/>
          <w:szCs w:val="20"/>
        </w:rPr>
        <w:lastRenderedPageBreak/>
        <w:t>the</w:t>
      </w:r>
      <w:r w:rsidR="00DD4B70" w:rsidRPr="00B06331">
        <w:rPr>
          <w:rFonts w:ascii="Avenir Book" w:eastAsia="MS Mincho" w:hAnsi="Avenir Book" w:cs="Times New Roman"/>
          <w:color w:val="auto"/>
          <w:sz w:val="22"/>
          <w:szCs w:val="20"/>
        </w:rPr>
        <w:t xml:space="preserve"> use of fuel efficie</w:t>
      </w:r>
      <w:r w:rsidR="00ED1D1B" w:rsidRPr="00B06331">
        <w:rPr>
          <w:rFonts w:ascii="Avenir Book" w:eastAsia="MS Mincho" w:hAnsi="Avenir Book" w:cs="Times New Roman"/>
          <w:color w:val="auto"/>
          <w:sz w:val="22"/>
          <w:szCs w:val="20"/>
        </w:rPr>
        <w:t>nt stoves,</w:t>
      </w:r>
      <w:r w:rsidR="00DD4B70" w:rsidRPr="00B06331">
        <w:rPr>
          <w:rFonts w:ascii="Avenir Book" w:eastAsia="MS Mincho" w:hAnsi="Avenir Book" w:cs="Times New Roman"/>
          <w:color w:val="auto"/>
          <w:sz w:val="22"/>
          <w:szCs w:val="20"/>
        </w:rPr>
        <w:t xml:space="preserve"> u</w:t>
      </w:r>
      <w:r w:rsidRPr="00B06331">
        <w:rPr>
          <w:rFonts w:ascii="Avenir Book" w:eastAsia="MS Mincho" w:hAnsi="Avenir Book" w:cs="Times New Roman"/>
          <w:color w:val="auto"/>
          <w:sz w:val="22"/>
          <w:szCs w:val="20"/>
        </w:rPr>
        <w:t>se of briquettes and biogas and active support to forest management control programmes.</w:t>
      </w:r>
    </w:p>
    <w:p w:rsidR="003A5A07" w:rsidRPr="00B06331" w:rsidRDefault="003A5A07" w:rsidP="003A5A07">
      <w:pPr>
        <w:spacing w:after="0" w:line="240" w:lineRule="auto"/>
        <w:jc w:val="both"/>
        <w:rPr>
          <w:rFonts w:ascii="Avenir Book" w:eastAsia="MS Mincho" w:hAnsi="Avenir Book"/>
          <w:szCs w:val="20"/>
        </w:rPr>
      </w:pPr>
    </w:p>
    <w:p w:rsidR="003A5A07" w:rsidRPr="00B06331" w:rsidRDefault="003A5A07" w:rsidP="003A5A07">
      <w:pPr>
        <w:spacing w:after="0" w:line="240" w:lineRule="auto"/>
        <w:jc w:val="both"/>
        <w:rPr>
          <w:rFonts w:ascii="Avenir Book" w:eastAsia="MS Mincho" w:hAnsi="Avenir Book"/>
          <w:b/>
          <w:szCs w:val="20"/>
        </w:rPr>
      </w:pPr>
      <w:r w:rsidRPr="00B06331">
        <w:rPr>
          <w:rFonts w:ascii="Avenir Book" w:eastAsia="MS Mincho" w:hAnsi="Avenir Book"/>
          <w:b/>
          <w:szCs w:val="20"/>
        </w:rPr>
        <w:t>Increase the rate of LPG consumption in MT</w:t>
      </w:r>
    </w:p>
    <w:p w:rsidR="003A5A07" w:rsidRPr="00B06331" w:rsidRDefault="003A5A07" w:rsidP="003A5A07">
      <w:pPr>
        <w:spacing w:after="0" w:line="240" w:lineRule="auto"/>
        <w:jc w:val="both"/>
        <w:rPr>
          <w:rFonts w:ascii="Avenir Book" w:eastAsia="MS Mincho" w:hAnsi="Avenir Book"/>
          <w:szCs w:val="20"/>
        </w:rPr>
      </w:pPr>
    </w:p>
    <w:p w:rsidR="003A5A07" w:rsidRPr="00B06331" w:rsidRDefault="003A5A07" w:rsidP="00F51AF8">
      <w:pPr>
        <w:pStyle w:val="Default"/>
        <w:spacing w:line="276" w:lineRule="auto"/>
        <w:jc w:val="both"/>
        <w:rPr>
          <w:rFonts w:ascii="Avenir Book" w:eastAsia="MS Mincho" w:hAnsi="Avenir Book" w:cs="Times New Roman"/>
          <w:color w:val="auto"/>
          <w:sz w:val="22"/>
          <w:szCs w:val="20"/>
        </w:rPr>
      </w:pPr>
      <w:r w:rsidRPr="00B06331">
        <w:rPr>
          <w:rFonts w:ascii="Avenir Book" w:eastAsia="MS Mincho" w:hAnsi="Avenir Book" w:cs="Times New Roman"/>
          <w:color w:val="auto"/>
          <w:sz w:val="22"/>
          <w:szCs w:val="20"/>
        </w:rPr>
        <w:t>During the NDP period</w:t>
      </w:r>
      <w:r w:rsidR="00DD4B70" w:rsidRPr="00B06331">
        <w:rPr>
          <w:rFonts w:ascii="Avenir Book" w:eastAsia="MS Mincho" w:hAnsi="Avenir Book" w:cs="Times New Roman"/>
          <w:color w:val="auto"/>
          <w:sz w:val="22"/>
          <w:szCs w:val="20"/>
        </w:rPr>
        <w:t xml:space="preserve">, measures will be put in place </w:t>
      </w:r>
      <w:r w:rsidRPr="00B06331">
        <w:rPr>
          <w:rFonts w:ascii="Avenir Book" w:eastAsia="MS Mincho" w:hAnsi="Avenir Book" w:cs="Times New Roman"/>
          <w:color w:val="auto"/>
          <w:sz w:val="22"/>
          <w:szCs w:val="20"/>
        </w:rPr>
        <w:t xml:space="preserve"> for the popularization of LPG as cooking fuel in the urban areas;  encourage research and development of innovative appropriate technologies for household application in the use of LPG in both rural and urban areas; regulate and monitor</w:t>
      </w:r>
      <w:r w:rsidR="006B7F74" w:rsidRPr="00B06331">
        <w:rPr>
          <w:rFonts w:ascii="Avenir Book" w:eastAsia="MS Mincho" w:hAnsi="Avenir Book" w:cs="Times New Roman"/>
          <w:color w:val="auto"/>
          <w:sz w:val="22"/>
          <w:szCs w:val="20"/>
        </w:rPr>
        <w:t xml:space="preserve"> the pricing structure for LPG, </w:t>
      </w:r>
      <w:r w:rsidRPr="00B06331">
        <w:rPr>
          <w:rFonts w:ascii="Avenir Book" w:eastAsia="MS Mincho" w:hAnsi="Avenir Book" w:cs="Times New Roman"/>
          <w:color w:val="auto"/>
          <w:sz w:val="22"/>
          <w:szCs w:val="20"/>
        </w:rPr>
        <w:t xml:space="preserve">as well  encourage private sector participation in the provision of infrastructure to improve storage capacity and popularize the use of butane gas as an environmentally- friendly source of fuel. </w:t>
      </w:r>
    </w:p>
    <w:p w:rsidR="006B7F74" w:rsidRPr="00B06331" w:rsidRDefault="006B7F74" w:rsidP="00F51AF8">
      <w:pPr>
        <w:pStyle w:val="Default"/>
        <w:spacing w:line="276" w:lineRule="auto"/>
        <w:jc w:val="both"/>
        <w:rPr>
          <w:rFonts w:ascii="Avenir Book" w:eastAsia="MS Mincho" w:hAnsi="Avenir Book" w:cs="Times New Roman"/>
          <w:color w:val="auto"/>
          <w:sz w:val="22"/>
          <w:szCs w:val="20"/>
        </w:rPr>
      </w:pPr>
    </w:p>
    <w:p w:rsidR="006B7F74" w:rsidRPr="00B06331" w:rsidRDefault="006B7F74" w:rsidP="00F51AF8">
      <w:pPr>
        <w:pStyle w:val="Default"/>
        <w:spacing w:line="276" w:lineRule="auto"/>
        <w:jc w:val="both"/>
        <w:rPr>
          <w:rFonts w:ascii="Avenir Book" w:eastAsia="MS Mincho" w:hAnsi="Avenir Book" w:cs="Times New Roman"/>
          <w:color w:val="auto"/>
          <w:sz w:val="22"/>
          <w:szCs w:val="20"/>
        </w:rPr>
      </w:pPr>
    </w:p>
    <w:p w:rsidR="00EB7E8A" w:rsidRPr="00B06331" w:rsidRDefault="00EB7E8A" w:rsidP="00F51AF8">
      <w:pPr>
        <w:pStyle w:val="Default"/>
        <w:spacing w:line="276" w:lineRule="auto"/>
        <w:jc w:val="both"/>
        <w:rPr>
          <w:rFonts w:ascii="Avenir Book" w:eastAsia="MS Mincho" w:hAnsi="Avenir Book" w:cs="Times New Roman"/>
          <w:color w:val="auto"/>
          <w:sz w:val="22"/>
          <w:szCs w:val="20"/>
        </w:rPr>
      </w:pPr>
    </w:p>
    <w:p w:rsidR="008942DD" w:rsidRPr="00B06331" w:rsidRDefault="003A5A07" w:rsidP="00F51AF8">
      <w:pPr>
        <w:pStyle w:val="Heading3"/>
        <w:rPr>
          <w:rFonts w:ascii="Calibri" w:hAnsi="Calibri" w:cs="Calibri"/>
          <w:b/>
          <w:sz w:val="22"/>
          <w:szCs w:val="22"/>
        </w:rPr>
      </w:pPr>
      <w:bookmarkStart w:id="137" w:name="_Toc488689341"/>
      <w:bookmarkStart w:id="138" w:name="_Toc492364785"/>
      <w:r w:rsidRPr="00B06331">
        <w:rPr>
          <w:rFonts w:ascii="Calibri" w:hAnsi="Calibri" w:cs="Calibri"/>
          <w:b/>
          <w:sz w:val="22"/>
          <w:szCs w:val="22"/>
        </w:rPr>
        <w:t>7.6.2. Petroleum</w:t>
      </w:r>
      <w:bookmarkEnd w:id="137"/>
      <w:bookmarkEnd w:id="138"/>
    </w:p>
    <w:p w:rsidR="00F51AF8" w:rsidRPr="00B06331" w:rsidRDefault="00F51AF8" w:rsidP="00F51AF8"/>
    <w:p w:rsidR="008942DD" w:rsidRPr="00B06331" w:rsidRDefault="008942DD" w:rsidP="008942DD">
      <w:pPr>
        <w:rPr>
          <w:b/>
          <w:i/>
          <w:color w:val="4472C4" w:themeColor="accent1"/>
        </w:rPr>
      </w:pPr>
      <w:r w:rsidRPr="00B06331">
        <w:rPr>
          <w:b/>
          <w:i/>
          <w:color w:val="4472C4" w:themeColor="accent1"/>
        </w:rPr>
        <w:t>Outcome 5.3: Petroleum Resources and Products developed for Sustainable National Development</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b/>
          <w:szCs w:val="20"/>
        </w:rPr>
        <w:t xml:space="preserve">Formulate and implement a local content strategy: </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szCs w:val="20"/>
        </w:rPr>
        <w:t xml:space="preserve">This will be done by formulating policies that create an enabling environment for the participation of companies in the petroleum value chain. A local content act will be developed that will </w:t>
      </w:r>
      <w:r w:rsidR="006B7F74" w:rsidRPr="00B06331">
        <w:rPr>
          <w:rFonts w:ascii="Avenir Book" w:eastAsia="MS Mincho" w:hAnsi="Avenir Book"/>
          <w:szCs w:val="20"/>
        </w:rPr>
        <w:t>define new companies to service</w:t>
      </w:r>
      <w:r w:rsidRPr="00B06331">
        <w:rPr>
          <w:rFonts w:ascii="Avenir Book" w:eastAsia="MS Mincho" w:hAnsi="Avenir Book"/>
          <w:szCs w:val="20"/>
        </w:rPr>
        <w:t xml:space="preserve"> the requirements of exploration, </w:t>
      </w:r>
      <w:r w:rsidR="008942DD" w:rsidRPr="00B06331">
        <w:rPr>
          <w:rFonts w:ascii="Avenir Book" w:eastAsia="MS Mincho" w:hAnsi="Avenir Book"/>
          <w:szCs w:val="20"/>
        </w:rPr>
        <w:t>development,</w:t>
      </w:r>
      <w:r w:rsidRPr="00B06331">
        <w:rPr>
          <w:rFonts w:ascii="Avenir Book" w:eastAsia="MS Mincho" w:hAnsi="Avenir Book"/>
          <w:szCs w:val="20"/>
        </w:rPr>
        <w:t xml:space="preserve"> and production stages of the industry.</w:t>
      </w:r>
    </w:p>
    <w:p w:rsidR="003A5A07" w:rsidRPr="00B06331" w:rsidRDefault="003A5A07" w:rsidP="003A5A07">
      <w:pPr>
        <w:spacing w:line="240" w:lineRule="auto"/>
        <w:jc w:val="both"/>
        <w:rPr>
          <w:rFonts w:ascii="Avenir Book" w:eastAsia="MS Mincho" w:hAnsi="Avenir Book"/>
          <w:b/>
        </w:rPr>
      </w:pPr>
      <w:r w:rsidRPr="00B06331">
        <w:rPr>
          <w:rFonts w:ascii="Avenir Book" w:eastAsia="MS Mincho" w:hAnsi="Avenir Book"/>
          <w:b/>
        </w:rPr>
        <w:t xml:space="preserve">Establish a national petroleum laboratory: </w:t>
      </w:r>
    </w:p>
    <w:p w:rsidR="003A5A07" w:rsidRPr="00B06331" w:rsidRDefault="003A5A07" w:rsidP="003A5A07">
      <w:pPr>
        <w:spacing w:line="240" w:lineRule="auto"/>
        <w:jc w:val="both"/>
        <w:rPr>
          <w:rFonts w:ascii="Avenir Book" w:eastAsia="MS Mincho" w:hAnsi="Avenir Book"/>
          <w:b/>
          <w:szCs w:val="20"/>
        </w:rPr>
      </w:pPr>
      <w:r w:rsidRPr="00B06331">
        <w:rPr>
          <w:rFonts w:ascii="Avenir Book" w:eastAsia="MS Mincho" w:hAnsi="Avenir Book"/>
          <w:szCs w:val="20"/>
        </w:rPr>
        <w:t>To ensure evidence based decision making and the maintenan</w:t>
      </w:r>
      <w:r w:rsidR="006B7F74" w:rsidRPr="00B06331">
        <w:rPr>
          <w:rFonts w:ascii="Avenir Book" w:eastAsia="MS Mincho" w:hAnsi="Avenir Book"/>
          <w:szCs w:val="20"/>
        </w:rPr>
        <w:t>ce of standards, Government will</w:t>
      </w:r>
      <w:r w:rsidRPr="00B06331">
        <w:rPr>
          <w:rFonts w:ascii="Avenir Book" w:eastAsia="MS Mincho" w:hAnsi="Avenir Book"/>
          <w:szCs w:val="20"/>
        </w:rPr>
        <w:t xml:space="preserve"> esta</w:t>
      </w:r>
      <w:r w:rsidR="006B7F74" w:rsidRPr="00B06331">
        <w:rPr>
          <w:rFonts w:ascii="Avenir Book" w:eastAsia="MS Mincho" w:hAnsi="Avenir Book"/>
          <w:szCs w:val="20"/>
        </w:rPr>
        <w:t>blish</w:t>
      </w:r>
      <w:r w:rsidRPr="00B06331">
        <w:rPr>
          <w:rFonts w:ascii="Avenir Book" w:eastAsia="MS Mincho" w:hAnsi="Avenir Book"/>
          <w:szCs w:val="20"/>
        </w:rPr>
        <w:t xml:space="preserve"> a national </w:t>
      </w:r>
      <w:r w:rsidR="008942DD" w:rsidRPr="00B06331">
        <w:rPr>
          <w:rFonts w:ascii="Avenir Book" w:eastAsia="MS Mincho" w:hAnsi="Avenir Book"/>
          <w:szCs w:val="20"/>
        </w:rPr>
        <w:t>laboratory.</w:t>
      </w:r>
    </w:p>
    <w:p w:rsidR="003A5A07" w:rsidRPr="00B06331" w:rsidRDefault="006C2AE4" w:rsidP="003A5A07">
      <w:pPr>
        <w:spacing w:line="240" w:lineRule="auto"/>
        <w:jc w:val="both"/>
        <w:rPr>
          <w:rFonts w:ascii="Avenir Book" w:eastAsia="MS Mincho" w:hAnsi="Avenir Book"/>
          <w:b/>
          <w:szCs w:val="20"/>
        </w:rPr>
      </w:pPr>
      <w:r w:rsidRPr="00B06331">
        <w:rPr>
          <w:rFonts w:ascii="Avenir Book" w:eastAsia="MS Mincho" w:hAnsi="Avenir Book"/>
          <w:b/>
          <w:szCs w:val="20"/>
        </w:rPr>
        <w:t>Promotion</w:t>
      </w:r>
      <w:r w:rsidR="003A5A07" w:rsidRPr="00B06331">
        <w:rPr>
          <w:rFonts w:ascii="Avenir Book" w:eastAsia="MS Mincho" w:hAnsi="Avenir Book"/>
          <w:b/>
          <w:szCs w:val="20"/>
        </w:rPr>
        <w:t xml:space="preserve"> and establishment of petroleum products infrastructure</w:t>
      </w:r>
    </w:p>
    <w:p w:rsidR="008942DD" w:rsidRPr="00B06331" w:rsidRDefault="003A5A07" w:rsidP="003A5A07">
      <w:pPr>
        <w:spacing w:line="240" w:lineRule="auto"/>
        <w:jc w:val="both"/>
        <w:rPr>
          <w:rFonts w:ascii="Avenir Book" w:eastAsia="MS Mincho" w:hAnsi="Avenir Book"/>
          <w:szCs w:val="20"/>
        </w:rPr>
      </w:pPr>
      <w:r w:rsidRPr="00B06331">
        <w:rPr>
          <w:rFonts w:ascii="Avenir Book" w:eastAsia="MS Mincho" w:hAnsi="Avenir Book"/>
          <w:szCs w:val="20"/>
        </w:rPr>
        <w:t>Through this, the government will develop the physical infrastruct</w:t>
      </w:r>
      <w:r w:rsidR="006B7F74" w:rsidRPr="00B06331">
        <w:rPr>
          <w:rFonts w:ascii="Avenir Book" w:eastAsia="MS Mincho" w:hAnsi="Avenir Book"/>
          <w:szCs w:val="20"/>
        </w:rPr>
        <w:t>ure necessary for</w:t>
      </w:r>
      <w:r w:rsidRPr="00B06331">
        <w:rPr>
          <w:rFonts w:ascii="Avenir Book" w:eastAsia="MS Mincho" w:hAnsi="Avenir Book"/>
          <w:szCs w:val="20"/>
        </w:rPr>
        <w:t xml:space="preserve"> downstream petroleum activities. This infrastructure includes a designated petroleum products industrial zone with necessary substructures that can support and attract the establishment of oil refineries and more t</w:t>
      </w:r>
      <w:r w:rsidR="006B7F74" w:rsidRPr="00B06331">
        <w:rPr>
          <w:rFonts w:ascii="Avenir Book" w:eastAsia="MS Mincho" w:hAnsi="Avenir Book"/>
          <w:szCs w:val="20"/>
        </w:rPr>
        <w:t xml:space="preserve">ank farms or </w:t>
      </w:r>
      <w:r w:rsidR="008942DD" w:rsidRPr="00B06331">
        <w:rPr>
          <w:rFonts w:ascii="Avenir Book" w:eastAsia="MS Mincho" w:hAnsi="Avenir Book"/>
          <w:szCs w:val="20"/>
        </w:rPr>
        <w:t>fuel bunkers.</w:t>
      </w:r>
    </w:p>
    <w:p w:rsidR="003A5A07" w:rsidRPr="00B06331" w:rsidRDefault="003A5A07" w:rsidP="003A5A07">
      <w:pPr>
        <w:pStyle w:val="Heading3"/>
        <w:rPr>
          <w:rFonts w:ascii="Calibri" w:hAnsi="Calibri" w:cs="Calibri"/>
          <w:b/>
          <w:sz w:val="22"/>
          <w:szCs w:val="22"/>
        </w:rPr>
      </w:pPr>
      <w:bookmarkStart w:id="139" w:name="_Toc492364786"/>
      <w:r w:rsidRPr="00B06331">
        <w:rPr>
          <w:rFonts w:ascii="Calibri" w:hAnsi="Calibri" w:cs="Calibri"/>
          <w:b/>
          <w:sz w:val="22"/>
          <w:szCs w:val="22"/>
        </w:rPr>
        <w:t>7.6.3. Transport</w:t>
      </w:r>
      <w:bookmarkEnd w:id="136"/>
      <w:bookmarkEnd w:id="139"/>
    </w:p>
    <w:p w:rsidR="003A5A07" w:rsidRPr="00B06331" w:rsidRDefault="003A5A07" w:rsidP="003A5A07">
      <w:pPr>
        <w:tabs>
          <w:tab w:val="left" w:pos="720"/>
        </w:tabs>
        <w:spacing w:after="0" w:line="240" w:lineRule="auto"/>
        <w:jc w:val="both"/>
        <w:rPr>
          <w:rFonts w:cs="Calibri"/>
          <w:color w:val="4F81BD"/>
          <w:sz w:val="20"/>
          <w:szCs w:val="20"/>
        </w:rPr>
      </w:pPr>
    </w:p>
    <w:p w:rsidR="003A5A07" w:rsidRPr="00B06331" w:rsidRDefault="003A5A07" w:rsidP="003A5A07">
      <w:pPr>
        <w:tabs>
          <w:tab w:val="left" w:pos="720"/>
        </w:tabs>
        <w:spacing w:after="0" w:line="240" w:lineRule="auto"/>
        <w:jc w:val="both"/>
        <w:rPr>
          <w:rFonts w:cs="Calibri"/>
          <w:szCs w:val="20"/>
        </w:rPr>
      </w:pPr>
      <w:r w:rsidRPr="00B06331">
        <w:rPr>
          <w:rFonts w:cs="Calibri"/>
          <w:szCs w:val="20"/>
        </w:rPr>
        <w:t>Government has made some progress in developing the transport sector over the last decade. However, key challenges affecting the sector include: the institutional, policy and regulatory environment; the absence of a transport sector-wide Master Plan; the quality of infrastructure is poor due to maintenance neglect -  82% is classified as poor; and rapid urbanization is creating a transport crisis in the Greater Banjul Metropolis</w:t>
      </w:r>
    </w:p>
    <w:p w:rsidR="003A5A07" w:rsidRPr="00B06331" w:rsidRDefault="003A5A07" w:rsidP="003A5A07">
      <w:pPr>
        <w:spacing w:before="120" w:after="120" w:line="240" w:lineRule="auto"/>
        <w:jc w:val="both"/>
        <w:rPr>
          <w:rFonts w:cs="Calibri"/>
          <w:color w:val="4F81BD"/>
          <w:sz w:val="20"/>
          <w:szCs w:val="20"/>
        </w:rPr>
      </w:pPr>
      <w:r w:rsidRPr="00B06331">
        <w:rPr>
          <w:rFonts w:cs="Calibri"/>
          <w:szCs w:val="20"/>
        </w:rPr>
        <w:t xml:space="preserve">The main gateways such as the Banjul International Airport and Banjul port are not adequately playing their role in fueling development and driving the economy. Banjul International Airport is only optimally </w:t>
      </w:r>
      <w:r w:rsidRPr="00B06331">
        <w:rPr>
          <w:rFonts w:cs="Calibri"/>
          <w:szCs w:val="20"/>
        </w:rPr>
        <w:lastRenderedPageBreak/>
        <w:t xml:space="preserve">utilized during the tourist season of November – April each year. The Banjul Port accounts for over 80% of international trade. However, its medium size, absence of mobile cranes, Small container terminal, manual terminal operating system, and absence of an external dry port all constrain the efficiency of the Port operations.The non-implementation of the 2008 Ports Master Plan </w:t>
      </w:r>
      <w:r w:rsidRPr="00B06331">
        <w:rPr>
          <w:rFonts w:cs="Calibri"/>
          <w:b/>
          <w:szCs w:val="20"/>
        </w:rPr>
        <w:t xml:space="preserve">has affected the competitiveness of the Banjul </w:t>
      </w:r>
      <w:r w:rsidR="008942DD" w:rsidRPr="00B06331">
        <w:rPr>
          <w:rFonts w:cs="Calibri"/>
          <w:b/>
          <w:szCs w:val="20"/>
        </w:rPr>
        <w:t xml:space="preserve">Port </w:t>
      </w:r>
      <w:r w:rsidR="008942DD" w:rsidRPr="00B06331">
        <w:rPr>
          <w:rFonts w:cs="Calibri"/>
          <w:szCs w:val="20"/>
        </w:rPr>
        <w:t>as</w:t>
      </w:r>
      <w:r w:rsidRPr="00B06331">
        <w:rPr>
          <w:rFonts w:cs="Calibri"/>
          <w:szCs w:val="20"/>
        </w:rPr>
        <w:t xml:space="preserve"> it is still been operated as a public service port model. Finally, river transport and its associated infrastructure have all but collapsed.</w:t>
      </w:r>
    </w:p>
    <w:p w:rsidR="003A5A07" w:rsidRPr="00B06331" w:rsidRDefault="003A5A07" w:rsidP="003A5A07">
      <w:pPr>
        <w:tabs>
          <w:tab w:val="left" w:pos="1770"/>
        </w:tabs>
        <w:rPr>
          <w:rFonts w:ascii="Avenir Book" w:eastAsia="MS Mincho" w:hAnsi="Avenir Book"/>
        </w:rPr>
      </w:pPr>
      <w:r w:rsidRPr="00B06331">
        <w:rPr>
          <w:rFonts w:ascii="Avenir Book" w:eastAsia="MS Mincho" w:hAnsi="Avenir Book"/>
        </w:rPr>
        <w:t xml:space="preserve">Over the plan period, Government will make a major effort to enhance land, </w:t>
      </w:r>
      <w:r w:rsidR="008942DD" w:rsidRPr="00B06331">
        <w:rPr>
          <w:rFonts w:ascii="Avenir Book" w:eastAsia="MS Mincho" w:hAnsi="Avenir Book"/>
        </w:rPr>
        <w:t>sea,</w:t>
      </w:r>
      <w:r w:rsidRPr="00B06331">
        <w:rPr>
          <w:rFonts w:ascii="Avenir Book" w:eastAsia="MS Mincho" w:hAnsi="Avenir Book"/>
        </w:rPr>
        <w:t xml:space="preserve"> and air transport </w:t>
      </w:r>
      <w:r w:rsidR="008942DD" w:rsidRPr="00B06331">
        <w:rPr>
          <w:rFonts w:ascii="Avenir Book" w:eastAsia="MS Mincho" w:hAnsi="Avenir Book"/>
        </w:rPr>
        <w:t>to</w:t>
      </w:r>
      <w:r w:rsidRPr="00B06331">
        <w:rPr>
          <w:rFonts w:ascii="Avenir Book" w:eastAsia="MS Mincho" w:hAnsi="Avenir Book"/>
        </w:rPr>
        <w:t xml:space="preserve"> boost affordability, </w:t>
      </w:r>
      <w:r w:rsidR="008942DD" w:rsidRPr="00B06331">
        <w:rPr>
          <w:rFonts w:ascii="Avenir Book" w:eastAsia="MS Mincho" w:hAnsi="Avenir Book"/>
        </w:rPr>
        <w:t>accessibility,</w:t>
      </w:r>
      <w:r w:rsidRPr="00B06331">
        <w:rPr>
          <w:rFonts w:ascii="Avenir Book" w:eastAsia="MS Mincho" w:hAnsi="Avenir Book"/>
        </w:rPr>
        <w:t xml:space="preserve"> and competitiveness.</w:t>
      </w:r>
    </w:p>
    <w:p w:rsidR="008942DD" w:rsidRPr="00B06331" w:rsidRDefault="008942DD" w:rsidP="008942DD">
      <w:pPr>
        <w:tabs>
          <w:tab w:val="left" w:pos="1770"/>
        </w:tabs>
        <w:spacing w:after="0"/>
        <w:jc w:val="both"/>
        <w:rPr>
          <w:rFonts w:ascii="Avenir Book" w:hAnsi="Avenir Book"/>
        </w:rPr>
      </w:pPr>
      <w:r w:rsidRPr="00B06331">
        <w:rPr>
          <w:rFonts w:ascii="Avenir Book" w:hAnsi="Avenir Book"/>
        </w:rPr>
        <w:t>A major strategy of government is to promote</w:t>
      </w:r>
      <w:r w:rsidRPr="00B06331">
        <w:rPr>
          <w:rFonts w:ascii="Avenir Book" w:hAnsi="Avenir Book"/>
          <w:b/>
        </w:rPr>
        <w:t>Public Private Partnerships for Infrastructural Development</w:t>
      </w:r>
      <w:r w:rsidR="00ED1D1B" w:rsidRPr="00B06331">
        <w:rPr>
          <w:rFonts w:ascii="Avenir Book" w:hAnsi="Avenir Book"/>
          <w:b/>
        </w:rPr>
        <w:t xml:space="preserve">through </w:t>
      </w:r>
      <w:r w:rsidR="00ED1D1B" w:rsidRPr="00B06331">
        <w:rPr>
          <w:rFonts w:ascii="Avenir Book" w:hAnsi="Avenir Book"/>
        </w:rPr>
        <w:t>the</w:t>
      </w:r>
      <w:r w:rsidRPr="00B06331">
        <w:rPr>
          <w:rFonts w:ascii="Avenir Book" w:hAnsi="Avenir Book"/>
        </w:rPr>
        <w:t xml:space="preserve"> following:</w:t>
      </w:r>
    </w:p>
    <w:p w:rsidR="008942DD" w:rsidRPr="00B06331" w:rsidRDefault="008942DD" w:rsidP="004143E3">
      <w:pPr>
        <w:pStyle w:val="ListParagraph"/>
        <w:numPr>
          <w:ilvl w:val="0"/>
          <w:numId w:val="61"/>
        </w:numPr>
        <w:autoSpaceDE w:val="0"/>
        <w:autoSpaceDN w:val="0"/>
        <w:adjustRightInd w:val="0"/>
        <w:spacing w:after="0" w:line="240" w:lineRule="auto"/>
        <w:jc w:val="both"/>
        <w:rPr>
          <w:rFonts w:ascii="Avenir Book" w:hAnsi="Avenir Book"/>
        </w:rPr>
      </w:pPr>
      <w:r w:rsidRPr="00B06331">
        <w:rPr>
          <w:rFonts w:ascii="Avenir Book" w:hAnsi="Avenir Book"/>
        </w:rPr>
        <w:t xml:space="preserve">Provide adequate legal, </w:t>
      </w:r>
      <w:r w:rsidR="00047E40" w:rsidRPr="00B06331">
        <w:rPr>
          <w:rFonts w:ascii="Avenir Book" w:hAnsi="Avenir Book"/>
        </w:rPr>
        <w:t>regulatory,</w:t>
      </w:r>
      <w:r w:rsidRPr="00B06331">
        <w:rPr>
          <w:rFonts w:ascii="Avenir Book" w:hAnsi="Avenir Book"/>
        </w:rPr>
        <w:t xml:space="preserve"> and institutional framework for PPPs;</w:t>
      </w:r>
    </w:p>
    <w:p w:rsidR="008942DD" w:rsidRPr="00B06331" w:rsidRDefault="008942DD" w:rsidP="004143E3">
      <w:pPr>
        <w:pStyle w:val="ListParagraph"/>
        <w:numPr>
          <w:ilvl w:val="0"/>
          <w:numId w:val="61"/>
        </w:numPr>
        <w:autoSpaceDE w:val="0"/>
        <w:autoSpaceDN w:val="0"/>
        <w:adjustRightInd w:val="0"/>
        <w:spacing w:after="0" w:line="240" w:lineRule="auto"/>
        <w:jc w:val="both"/>
        <w:rPr>
          <w:rFonts w:ascii="Avenir Book" w:hAnsi="Avenir Book"/>
        </w:rPr>
      </w:pPr>
      <w:r w:rsidRPr="00B06331">
        <w:rPr>
          <w:rFonts w:ascii="Avenir Book" w:hAnsi="Avenir Book"/>
        </w:rPr>
        <w:t>Develop guidelines for PPPs, to establish their legal status and to provide the necessary enabling environment to foster and encourage private sector interest in them;</w:t>
      </w:r>
    </w:p>
    <w:p w:rsidR="008942DD" w:rsidRPr="00B06331" w:rsidRDefault="008942DD" w:rsidP="004143E3">
      <w:pPr>
        <w:pStyle w:val="ListParagraph"/>
        <w:numPr>
          <w:ilvl w:val="0"/>
          <w:numId w:val="60"/>
        </w:numPr>
        <w:autoSpaceDE w:val="0"/>
        <w:autoSpaceDN w:val="0"/>
        <w:adjustRightInd w:val="0"/>
        <w:spacing w:after="0" w:line="240" w:lineRule="auto"/>
        <w:jc w:val="both"/>
        <w:rPr>
          <w:rFonts w:ascii="Avenir Book" w:hAnsi="Avenir Book"/>
        </w:rPr>
      </w:pPr>
      <w:r w:rsidRPr="00B06331">
        <w:rPr>
          <w:rFonts w:ascii="Avenir Book" w:hAnsi="Avenir Book"/>
        </w:rPr>
        <w:t>Establish PPP Unit in MOTWI to help in preparing, and managing bankable PPPs;</w:t>
      </w:r>
    </w:p>
    <w:p w:rsidR="008942DD" w:rsidRPr="00B06331" w:rsidRDefault="008942DD" w:rsidP="004143E3">
      <w:pPr>
        <w:pStyle w:val="ListParagraph"/>
        <w:numPr>
          <w:ilvl w:val="0"/>
          <w:numId w:val="60"/>
        </w:numPr>
        <w:autoSpaceDE w:val="0"/>
        <w:autoSpaceDN w:val="0"/>
        <w:adjustRightInd w:val="0"/>
        <w:spacing w:after="0" w:line="240" w:lineRule="auto"/>
        <w:jc w:val="both"/>
        <w:rPr>
          <w:rFonts w:ascii="Avenir Book" w:hAnsi="Avenir Book"/>
        </w:rPr>
      </w:pPr>
      <w:r w:rsidRPr="00B06331">
        <w:rPr>
          <w:rFonts w:ascii="Avenir Book" w:hAnsi="Avenir Book"/>
        </w:rPr>
        <w:t>Conduct capacity needs assessment within the Ministry and its Public Enterprises in the area of PPP and consequently train personnel in order to have required skills and expertise to plan, develop and manage PPP programmes and projects;</w:t>
      </w:r>
    </w:p>
    <w:p w:rsidR="004E6604" w:rsidRPr="00B06331" w:rsidRDefault="008942DD" w:rsidP="009626A4">
      <w:pPr>
        <w:pStyle w:val="NormalWeb"/>
        <w:numPr>
          <w:ilvl w:val="0"/>
          <w:numId w:val="60"/>
        </w:numPr>
        <w:jc w:val="both"/>
        <w:rPr>
          <w:rFonts w:ascii="Avenir Book" w:hAnsi="Avenir Book"/>
          <w:sz w:val="22"/>
          <w:szCs w:val="22"/>
          <w:lang w:val="en-US"/>
        </w:rPr>
      </w:pPr>
      <w:r w:rsidRPr="00B06331">
        <w:rPr>
          <w:rFonts w:ascii="Avenir Book" w:hAnsi="Avenir Book"/>
          <w:sz w:val="22"/>
          <w:szCs w:val="22"/>
          <w:lang w:val="en-US"/>
        </w:rPr>
        <w:t xml:space="preserve">Prioritize PPP in the provision of Roads, Air, Maritime and River Transport Infrastructure and Services by collaborating with domestic and international stakeholders. </w:t>
      </w:r>
    </w:p>
    <w:p w:rsidR="009626A4" w:rsidRPr="00B06331" w:rsidRDefault="009626A4" w:rsidP="009626A4">
      <w:pPr>
        <w:rPr>
          <w:b/>
        </w:rPr>
      </w:pPr>
      <w:r w:rsidRPr="00B06331">
        <w:rPr>
          <w:b/>
        </w:rPr>
        <w:t xml:space="preserve">Table </w:t>
      </w:r>
      <w:r w:rsidR="009427E4" w:rsidRPr="00B06331">
        <w:rPr>
          <w:b/>
        </w:rPr>
        <w:t>7.9</w:t>
      </w:r>
      <w:r w:rsidRPr="00B06331">
        <w:rPr>
          <w:b/>
        </w:rPr>
        <w:t>: Key Expected Resu</w:t>
      </w:r>
      <w:r w:rsidR="00772C6A" w:rsidRPr="00B06331">
        <w:rPr>
          <w:b/>
        </w:rPr>
        <w:t xml:space="preserve">lts for Transport </w:t>
      </w:r>
      <w:r w:rsidR="006C2AE4" w:rsidRPr="00B06331">
        <w:rPr>
          <w:b/>
        </w:rPr>
        <w:t>Sector</w:t>
      </w:r>
    </w:p>
    <w:tbl>
      <w:tblPr>
        <w:tblStyle w:val="TableGrid"/>
        <w:tblW w:w="0" w:type="auto"/>
        <w:tblLook w:val="04A0"/>
      </w:tblPr>
      <w:tblGrid>
        <w:gridCol w:w="6408"/>
      </w:tblGrid>
      <w:tr w:rsidR="009626A4" w:rsidRPr="00B06331" w:rsidTr="003F4301">
        <w:tc>
          <w:tcPr>
            <w:tcW w:w="6408" w:type="dxa"/>
            <w:shd w:val="clear" w:color="auto" w:fill="D9E2F3" w:themeFill="accent1" w:themeFillTint="33"/>
          </w:tcPr>
          <w:p w:rsidR="009626A4" w:rsidRPr="00B06331" w:rsidRDefault="009626A4" w:rsidP="004143E3">
            <w:pPr>
              <w:pStyle w:val="ListParagraph"/>
              <w:numPr>
                <w:ilvl w:val="0"/>
                <w:numId w:val="74"/>
              </w:numPr>
              <w:spacing w:after="0" w:line="240" w:lineRule="auto"/>
            </w:pPr>
            <w:r w:rsidRPr="00B06331">
              <w:t>Increase % of the primary road network in good condition (paved) from 80% to 100%</w:t>
            </w:r>
          </w:p>
          <w:p w:rsidR="009626A4" w:rsidRPr="00B06331" w:rsidRDefault="009626A4" w:rsidP="004143E3">
            <w:pPr>
              <w:pStyle w:val="ListParagraph"/>
              <w:numPr>
                <w:ilvl w:val="0"/>
                <w:numId w:val="74"/>
              </w:numPr>
              <w:spacing w:after="0" w:line="240" w:lineRule="auto"/>
            </w:pPr>
            <w:r w:rsidRPr="00B06331">
              <w:t xml:space="preserve">Increase operational capacity of air transport facilities in BIA from 326,757 to 500,000 persons </w:t>
            </w:r>
          </w:p>
          <w:p w:rsidR="009626A4" w:rsidRPr="00B06331" w:rsidRDefault="009626A4" w:rsidP="004143E3">
            <w:pPr>
              <w:pStyle w:val="ListParagraph"/>
              <w:numPr>
                <w:ilvl w:val="0"/>
                <w:numId w:val="74"/>
              </w:numPr>
              <w:spacing w:after="0" w:line="240" w:lineRule="auto"/>
            </w:pPr>
            <w:r w:rsidRPr="00B06331">
              <w:t>Increase number of river transport service operators by type from TBD to TBD</w:t>
            </w:r>
            <w:r w:rsidRPr="00B06331">
              <w:tab/>
            </w:r>
          </w:p>
          <w:p w:rsidR="009626A4" w:rsidRPr="00B06331" w:rsidRDefault="009626A4" w:rsidP="004143E3">
            <w:pPr>
              <w:pStyle w:val="ListParagraph"/>
              <w:numPr>
                <w:ilvl w:val="0"/>
                <w:numId w:val="74"/>
              </w:numPr>
              <w:spacing w:after="0" w:line="240" w:lineRule="auto"/>
            </w:pPr>
            <w:r w:rsidRPr="00B06331">
              <w:t xml:space="preserve">Increase no of new roads constructed from 0 to 3 </w:t>
            </w:r>
          </w:p>
          <w:p w:rsidR="009626A4" w:rsidRPr="00B06331" w:rsidRDefault="009626A4" w:rsidP="004143E3">
            <w:pPr>
              <w:pStyle w:val="ListParagraph"/>
              <w:numPr>
                <w:ilvl w:val="0"/>
                <w:numId w:val="74"/>
              </w:numPr>
              <w:spacing w:after="0" w:line="240" w:lineRule="auto"/>
            </w:pPr>
            <w:r w:rsidRPr="00B06331">
              <w:t xml:space="preserve">Increase no of new bridges constructed from 0 to 3 </w:t>
            </w:r>
          </w:p>
          <w:p w:rsidR="009626A4" w:rsidRPr="00B06331" w:rsidRDefault="009626A4" w:rsidP="004143E3">
            <w:pPr>
              <w:pStyle w:val="ListParagraph"/>
              <w:numPr>
                <w:ilvl w:val="0"/>
                <w:numId w:val="74"/>
              </w:numPr>
              <w:spacing w:after="0" w:line="240" w:lineRule="auto"/>
            </w:pPr>
            <w:r w:rsidRPr="00B06331">
              <w:t xml:space="preserve">Existence of a national public buildings and facilities policy </w:t>
            </w:r>
          </w:p>
          <w:p w:rsidR="009626A4" w:rsidRPr="00B06331" w:rsidRDefault="009626A4" w:rsidP="004143E3">
            <w:pPr>
              <w:pStyle w:val="ListParagraph"/>
              <w:numPr>
                <w:ilvl w:val="0"/>
                <w:numId w:val="74"/>
              </w:numPr>
              <w:spacing w:after="0" w:line="240" w:lineRule="auto"/>
            </w:pPr>
            <w:r w:rsidRPr="00B06331">
              <w:t>Existence of an updated National Transport Policy</w:t>
            </w:r>
          </w:p>
        </w:tc>
      </w:tr>
    </w:tbl>
    <w:p w:rsidR="009626A4" w:rsidRPr="00B06331" w:rsidRDefault="009626A4" w:rsidP="003A5A07">
      <w:pPr>
        <w:pStyle w:val="ListParagraph"/>
        <w:spacing w:after="0" w:line="240" w:lineRule="auto"/>
        <w:ind w:left="0"/>
        <w:jc w:val="both"/>
        <w:rPr>
          <w:rFonts w:ascii="Avenir Book" w:hAnsi="Avenir Book"/>
        </w:rPr>
      </w:pPr>
    </w:p>
    <w:p w:rsidR="003A5A07" w:rsidRPr="00B06331" w:rsidRDefault="008942DD" w:rsidP="003A5A07">
      <w:pPr>
        <w:pStyle w:val="ListParagraph"/>
        <w:spacing w:after="0" w:line="240" w:lineRule="auto"/>
        <w:ind w:left="0"/>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5.4: Enhanced Land, River, Sea and Air Transport for Affordability, Accessibility, and Competitiveness</w:t>
      </w:r>
    </w:p>
    <w:p w:rsidR="003A5A07" w:rsidRPr="00B06331" w:rsidRDefault="003A5A07" w:rsidP="003A5A07">
      <w:pPr>
        <w:pStyle w:val="ListParagraph"/>
        <w:spacing w:after="0" w:line="240" w:lineRule="auto"/>
        <w:ind w:left="0"/>
        <w:jc w:val="both"/>
        <w:rPr>
          <w:rFonts w:ascii="Avenir Book" w:eastAsia="MS Mincho" w:hAnsi="Avenir Book"/>
        </w:rPr>
      </w:pPr>
    </w:p>
    <w:p w:rsidR="003A5A07" w:rsidRPr="00B06331" w:rsidRDefault="003A5A07" w:rsidP="003A5A07">
      <w:pPr>
        <w:pStyle w:val="ListParagraph"/>
        <w:spacing w:after="0" w:line="240" w:lineRule="auto"/>
        <w:ind w:left="0"/>
        <w:jc w:val="both"/>
        <w:rPr>
          <w:rFonts w:ascii="Avenir Book" w:hAnsi="Avenir Book"/>
        </w:rPr>
      </w:pPr>
      <w:r w:rsidRPr="00B06331">
        <w:rPr>
          <w:rFonts w:ascii="Avenir Book" w:eastAsia="MS Mincho" w:hAnsi="Avenir Book"/>
        </w:rPr>
        <w:t xml:space="preserve">To achieve this outcome, Government will: </w:t>
      </w:r>
      <w:r w:rsidRPr="00B06331">
        <w:rPr>
          <w:rFonts w:ascii="Avenir Book" w:hAnsi="Avenir Book"/>
        </w:rPr>
        <w:t>review and restructure the transport sector policies and institutional framework; develop and implement an integrated transport sector in line with land use master plan; expand, improve, and maintain the road networks; develop Urban Transport; implement the Banjul port expansion project and developing the inland water ways; implement the Airport Improvement Project; and implement airport hub and city plan</w:t>
      </w:r>
    </w:p>
    <w:p w:rsidR="003A5A07" w:rsidRPr="00B06331" w:rsidRDefault="003A5A07" w:rsidP="003A5A07">
      <w:pPr>
        <w:pStyle w:val="ListParagraph"/>
        <w:spacing w:after="0" w:line="240" w:lineRule="auto"/>
        <w:ind w:left="0"/>
        <w:jc w:val="both"/>
        <w:rPr>
          <w:rFonts w:ascii="Avenir Book" w:eastAsia="MS Mincho" w:hAnsi="Avenir Book"/>
          <w:u w:val="single"/>
        </w:rPr>
      </w:pPr>
    </w:p>
    <w:p w:rsidR="003A5A07" w:rsidRPr="00B06331" w:rsidRDefault="003A5A07" w:rsidP="003A5A07">
      <w:pPr>
        <w:pStyle w:val="ListParagraph"/>
        <w:spacing w:after="0" w:line="240" w:lineRule="auto"/>
        <w:ind w:left="0"/>
        <w:jc w:val="both"/>
        <w:rPr>
          <w:rFonts w:ascii="Avenir Book" w:hAnsi="Avenir Book"/>
          <w:b/>
        </w:rPr>
      </w:pPr>
      <w:r w:rsidRPr="00B06331">
        <w:rPr>
          <w:rFonts w:ascii="Avenir Book" w:hAnsi="Avenir Book"/>
          <w:b/>
        </w:rPr>
        <w:t>Review and restructure the transport sector policies and institutional framework</w:t>
      </w:r>
    </w:p>
    <w:p w:rsidR="006B7F74" w:rsidRPr="00B06331" w:rsidRDefault="003A5A07" w:rsidP="003A5A07">
      <w:pPr>
        <w:tabs>
          <w:tab w:val="left" w:pos="720"/>
        </w:tabs>
        <w:autoSpaceDE w:val="0"/>
        <w:autoSpaceDN w:val="0"/>
        <w:adjustRightInd w:val="0"/>
        <w:spacing w:before="120" w:after="120"/>
        <w:jc w:val="both"/>
        <w:rPr>
          <w:rFonts w:ascii="Avenir Book" w:hAnsi="Avenir Book"/>
        </w:rPr>
      </w:pPr>
      <w:r w:rsidRPr="00B06331">
        <w:rPr>
          <w:rFonts w:ascii="Avenir Book" w:hAnsi="Avenir Book"/>
        </w:rPr>
        <w:t xml:space="preserve">During the plan period, laws and regulations that are obsolete will be revised to reflect the current liberalized focus of the industry, including laws governing toll roads. Additionally, the enforcement of </w:t>
      </w:r>
      <w:r w:rsidRPr="00B06331">
        <w:rPr>
          <w:rFonts w:ascii="Avenir Book" w:hAnsi="Avenir Book"/>
        </w:rPr>
        <w:lastRenderedPageBreak/>
        <w:t xml:space="preserve">road transport regulations (the quadrangle responsibility of the MOWTI/NRA/Police/Local Government Authorities) will be improved. </w:t>
      </w:r>
    </w:p>
    <w:p w:rsidR="003A5A07" w:rsidRPr="00B06331" w:rsidRDefault="003A5A07" w:rsidP="003A5A07">
      <w:pPr>
        <w:tabs>
          <w:tab w:val="left" w:pos="720"/>
        </w:tabs>
        <w:autoSpaceDE w:val="0"/>
        <w:autoSpaceDN w:val="0"/>
        <w:adjustRightInd w:val="0"/>
        <w:spacing w:before="120" w:after="120"/>
        <w:jc w:val="both"/>
        <w:rPr>
          <w:rFonts w:ascii="Avenir Book" w:hAnsi="Avenir Book"/>
        </w:rPr>
      </w:pPr>
      <w:r w:rsidRPr="00B06331">
        <w:rPr>
          <w:rFonts w:ascii="Avenir Book" w:hAnsi="Avenir Book"/>
        </w:rPr>
        <w:t>To create an enabling environment supportive of an efficient transport industry efficiency and one that provides appropriate levels of regulation, Government will also strengthen the institutional and competitive framework for the transport sector by establishing a regulatory framework to encourage competition (within or for the market); provide adequate safety and environmental safeguards; strengthen the regulator and implementer’s administrative capacity in infrastructure management; and promote private sector capacity building and participation.</w:t>
      </w:r>
    </w:p>
    <w:p w:rsidR="003A5A07" w:rsidRPr="00B06331" w:rsidRDefault="003A5A07" w:rsidP="003A5A07">
      <w:pPr>
        <w:jc w:val="both"/>
        <w:rPr>
          <w:rFonts w:ascii="Avenir Book" w:hAnsi="Avenir Book"/>
        </w:rPr>
      </w:pPr>
      <w:r w:rsidRPr="00B06331">
        <w:rPr>
          <w:rFonts w:ascii="Avenir Book" w:hAnsi="Avenir Book"/>
        </w:rPr>
        <w:t>The Ministry of Transport, Works and Infrastructure (MOTWI) has an updated National Transport Policy (NTP), which was last revised in 2006.  This policy was subjected to wide consultation with all stakeholders, both in the public and private sectors.The NTP have a time horizon of 10 years (2017 – 2</w:t>
      </w:r>
      <w:r w:rsidR="006B7F74" w:rsidRPr="00B06331">
        <w:rPr>
          <w:rFonts w:ascii="Avenir Book" w:hAnsi="Avenir Book"/>
        </w:rPr>
        <w:t>027), and is to be backed</w:t>
      </w:r>
      <w:r w:rsidRPr="00B06331">
        <w:rPr>
          <w:rFonts w:ascii="Avenir Book" w:hAnsi="Avenir Book"/>
        </w:rPr>
        <w:t xml:space="preserve"> by strategic actions and a Master Plan and portfolio of specific projects, to realize its goals and objectives. The policy will also articulate an institutional restructuring which will be implemented.</w:t>
      </w:r>
    </w:p>
    <w:p w:rsidR="003A5A07" w:rsidRPr="00B06331" w:rsidRDefault="006B7F74" w:rsidP="003A5A07">
      <w:pPr>
        <w:tabs>
          <w:tab w:val="left" w:pos="720"/>
        </w:tabs>
        <w:spacing w:before="360" w:after="120"/>
        <w:jc w:val="both"/>
        <w:rPr>
          <w:rFonts w:ascii="Avenir Book" w:hAnsi="Avenir Book"/>
        </w:rPr>
      </w:pPr>
      <w:r w:rsidRPr="00B06331">
        <w:rPr>
          <w:rFonts w:ascii="Avenir Book" w:hAnsi="Avenir Book"/>
        </w:rPr>
        <w:t>T</w:t>
      </w:r>
      <w:r w:rsidR="003A5A07" w:rsidRPr="00B06331">
        <w:rPr>
          <w:rFonts w:ascii="Avenir Book" w:hAnsi="Avenir Book"/>
        </w:rPr>
        <w:t xml:space="preserve">he changing role of Government in transport </w:t>
      </w:r>
      <w:r w:rsidRPr="00B06331">
        <w:rPr>
          <w:rFonts w:ascii="Avenir Book" w:hAnsi="Avenir Book"/>
        </w:rPr>
        <w:t xml:space="preserve">necessitates </w:t>
      </w:r>
      <w:r w:rsidR="003A5A07" w:rsidRPr="00B06331">
        <w:rPr>
          <w:rFonts w:ascii="Avenir Book" w:hAnsi="Avenir Book"/>
        </w:rPr>
        <w:t>capacity building of the institutions and people that would drive this change. For the success of this commercial reorientation, Government will undertake a capacity gaps assessment to identify training a</w:t>
      </w:r>
      <w:r w:rsidRPr="00B06331">
        <w:rPr>
          <w:rFonts w:ascii="Avenir Book" w:hAnsi="Avenir Book"/>
        </w:rPr>
        <w:t>nd recruitment requirements. I</w:t>
      </w:r>
      <w:r w:rsidR="003A5A07" w:rsidRPr="00B06331">
        <w:rPr>
          <w:rFonts w:ascii="Avenir Book" w:hAnsi="Avenir Book"/>
        </w:rPr>
        <w:t xml:space="preserve">mmediate training will focus on transport policy planning; road safety; procurement (of goods and services); PPP and PSP arrangements; results-based management; </w:t>
      </w:r>
      <w:r w:rsidR="00ED1D1B" w:rsidRPr="00B06331">
        <w:rPr>
          <w:rFonts w:ascii="Avenir Book" w:hAnsi="Avenir Book"/>
        </w:rPr>
        <w:t>economic and financial analyses,</w:t>
      </w:r>
      <w:r w:rsidR="003A5A07" w:rsidRPr="00B06331">
        <w:rPr>
          <w:rFonts w:ascii="Avenir Book" w:hAnsi="Avenir Book"/>
        </w:rPr>
        <w:t xml:space="preserve"> and social and environmental impact assessments. Government will also explore options and strategies for introducing civil engineering and other relevant engineering courses in the University to meet The Gambia’s medium term and long term human resources needs.</w:t>
      </w: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To sustainably fund the transport infrastructure and service reforms, Government will improve its budgeting systems and develop sustainable financing sources using dedicated earmarked funds; increased donor funding and resources inter</w:t>
      </w:r>
      <w:r w:rsidR="00C7179F" w:rsidRPr="00B06331">
        <w:rPr>
          <w:rFonts w:ascii="Avenir Book" w:hAnsi="Avenir Book"/>
        </w:rPr>
        <w:t xml:space="preserve">nally generated by the sector. </w:t>
      </w:r>
      <w:r w:rsidRPr="00B06331">
        <w:rPr>
          <w:rFonts w:ascii="Avenir Book" w:hAnsi="Avenir Book"/>
        </w:rPr>
        <w:t xml:space="preserve">The absence of a database is a major constraint to effective transport planning.  The Gambia Bureau of Statistics would be capacitated to generate data to support transport sector planning.  </w:t>
      </w:r>
    </w:p>
    <w:p w:rsidR="003A5A07" w:rsidRPr="00B06331" w:rsidRDefault="003A5A07" w:rsidP="003A5A07">
      <w:pPr>
        <w:pStyle w:val="ListParagraph"/>
        <w:spacing w:after="0" w:line="240" w:lineRule="auto"/>
        <w:ind w:left="0"/>
        <w:jc w:val="both"/>
        <w:rPr>
          <w:rFonts w:ascii="Avenir Book" w:hAnsi="Avenir Book"/>
          <w:b/>
        </w:rPr>
      </w:pPr>
      <w:r w:rsidRPr="00B06331">
        <w:rPr>
          <w:rFonts w:ascii="Avenir Book" w:hAnsi="Avenir Book"/>
          <w:b/>
        </w:rPr>
        <w:t>Develop and implement an integrated transport sector in line with land use master plan</w:t>
      </w: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 xml:space="preserve">A Transport Sector Master Plan that responds to sector policies and strategies in a harmonized and integrated manner will be </w:t>
      </w:r>
      <w:r w:rsidR="006B7F74" w:rsidRPr="00B06331">
        <w:rPr>
          <w:rFonts w:ascii="Avenir Book" w:hAnsi="Avenir Book"/>
        </w:rPr>
        <w:t xml:space="preserve">developed under the </w:t>
      </w:r>
      <w:r w:rsidRPr="00B06331">
        <w:rPr>
          <w:rFonts w:ascii="Avenir Book" w:hAnsi="Avenir Book"/>
        </w:rPr>
        <w:t>plan. This will enable the transport sector to effectively respond to the increasing and diversified demands of the productive and social sectors of the economy – now and the needs envisaged over the next 20 to 30-year period. It will also support the prioritization of investment projects under this sector over the medium to long term.The sector plans to provide road, maritime, and aviation networks, which are not only inter-modally linked, but which provides access to the national economic and social centers, as well as have regional and international outreach. This will be in line with the proposed Land use master-plan.</w:t>
      </w:r>
    </w:p>
    <w:p w:rsidR="003A5A07" w:rsidRPr="00B06331" w:rsidRDefault="003A5A07" w:rsidP="003A5A07">
      <w:pPr>
        <w:pStyle w:val="ListParagraph"/>
        <w:spacing w:after="0" w:line="240" w:lineRule="auto"/>
        <w:ind w:left="0"/>
        <w:jc w:val="both"/>
        <w:rPr>
          <w:rFonts w:ascii="Avenir Book" w:eastAsia="MS Mincho" w:hAnsi="Avenir Book"/>
          <w:b/>
          <w:u w:val="single"/>
        </w:rPr>
      </w:pPr>
    </w:p>
    <w:p w:rsidR="003A5A07" w:rsidRPr="00B06331" w:rsidRDefault="003A5A07" w:rsidP="003A5A07">
      <w:pPr>
        <w:pStyle w:val="ListParagraph"/>
        <w:spacing w:after="0"/>
        <w:ind w:left="0"/>
        <w:jc w:val="both"/>
        <w:rPr>
          <w:rFonts w:ascii="Avenir Book" w:hAnsi="Avenir Book"/>
          <w:b/>
        </w:rPr>
      </w:pPr>
      <w:r w:rsidRPr="00B06331">
        <w:rPr>
          <w:rFonts w:ascii="Avenir Book" w:hAnsi="Avenir Book"/>
          <w:b/>
        </w:rPr>
        <w:lastRenderedPageBreak/>
        <w:t xml:space="preserve">Expand, improve and maintain the road networks: Bamba Tenda-Yelli Tenda – Trans-Gambia </w:t>
      </w:r>
      <w:r w:rsidR="00ED1D1B" w:rsidRPr="00B06331">
        <w:rPr>
          <w:rFonts w:ascii="Avenir Book" w:hAnsi="Avenir Book"/>
          <w:b/>
        </w:rPr>
        <w:t>Bridge</w:t>
      </w:r>
      <w:r w:rsidRPr="00B06331">
        <w:rPr>
          <w:rFonts w:ascii="Avenir Book" w:hAnsi="Avenir Book"/>
          <w:b/>
        </w:rPr>
        <w:t>; Laminkoto-Passmas Road; Fatoto-Basse-Koina Road; Basse-Nyako Bridge; Fatoto-Passamas-Bridge; Sting Corner-Abuko bypass.</w:t>
      </w:r>
    </w:p>
    <w:p w:rsidR="003A5A07" w:rsidRPr="00B06331" w:rsidRDefault="003A5A07" w:rsidP="003A5A07">
      <w:pPr>
        <w:pStyle w:val="ListParagraph"/>
        <w:spacing w:after="0" w:line="240" w:lineRule="auto"/>
        <w:ind w:left="0"/>
        <w:jc w:val="both"/>
        <w:rPr>
          <w:rFonts w:ascii="Avenir Book" w:eastAsia="MS Mincho" w:hAnsi="Avenir Book"/>
          <w:b/>
          <w:u w:val="single"/>
        </w:rPr>
      </w:pP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In a bid to sustainably develop road transport in The Gambia, Government will develop a prioritized five-year road development programme for the primary and secondary roads network consistent with The Gambia’s macro-economic and fiscal framework. Sustainable sources of funding for road maintenance will be established through continued implementation of the Fuel Levy charge on road users; implementation of a heavy vehicle management programme (axle overload fines) to prevent pre-mature damage to roads; putting in place toll bridges in strategic segments of the network to maintain critical national assets; appropriate tariff for ferry crossings; etc.</w:t>
      </w:r>
    </w:p>
    <w:p w:rsidR="003A5A07" w:rsidRPr="00B06331" w:rsidRDefault="003A5A07" w:rsidP="003A5A07">
      <w:pPr>
        <w:autoSpaceDE w:val="0"/>
        <w:autoSpaceDN w:val="0"/>
        <w:adjustRightInd w:val="0"/>
        <w:spacing w:after="0"/>
        <w:jc w:val="both"/>
        <w:rPr>
          <w:rFonts w:ascii="Avenir Book" w:hAnsi="Avenir Book"/>
        </w:rPr>
      </w:pPr>
      <w:r w:rsidRPr="00B06331">
        <w:rPr>
          <w:rFonts w:ascii="Avenir Book" w:hAnsi="Avenir Book"/>
        </w:rPr>
        <w:t>The main objectives of expanding, improving and maintaining the road networks is to construct, re-construct, or rehabilitate the national road network and increase its coverage for all seasons. Key works under this theme include:</w:t>
      </w:r>
    </w:p>
    <w:p w:rsidR="003A5A07" w:rsidRPr="00B06331" w:rsidRDefault="003A5A07" w:rsidP="004143E3">
      <w:pPr>
        <w:numPr>
          <w:ilvl w:val="0"/>
          <w:numId w:val="17"/>
        </w:numPr>
        <w:autoSpaceDE w:val="0"/>
        <w:autoSpaceDN w:val="0"/>
        <w:adjustRightInd w:val="0"/>
        <w:spacing w:after="0" w:line="240" w:lineRule="auto"/>
        <w:jc w:val="both"/>
        <w:rPr>
          <w:rFonts w:ascii="Avenir Book" w:hAnsi="Avenir Book"/>
          <w:b/>
        </w:rPr>
      </w:pPr>
      <w:r w:rsidRPr="00B06331">
        <w:rPr>
          <w:rFonts w:ascii="Avenir Book" w:hAnsi="Avenir Book"/>
          <w:b/>
        </w:rPr>
        <w:t xml:space="preserve">BambaTenda-YelliTenda – Trans-Gambia bridge: </w:t>
      </w:r>
      <w:r w:rsidRPr="00B06331">
        <w:rPr>
          <w:rFonts w:ascii="Avenir Book" w:hAnsi="Avenir Book"/>
        </w:rPr>
        <w:t xml:space="preserve">Phase </w:t>
      </w:r>
      <w:r w:rsidR="007E571F" w:rsidRPr="00B06331">
        <w:rPr>
          <w:rFonts w:ascii="Avenir Book" w:hAnsi="Avenir Book"/>
        </w:rPr>
        <w:t>I of this project includes the construction of the bridge and tolling facilities, design and supervision of 2 joint border p</w:t>
      </w:r>
      <w:r w:rsidRPr="00B06331">
        <w:rPr>
          <w:rFonts w:ascii="Avenir Book" w:hAnsi="Avenir Book"/>
        </w:rPr>
        <w:t>ost</w:t>
      </w:r>
      <w:r w:rsidR="007E571F" w:rsidRPr="00B06331">
        <w:rPr>
          <w:rFonts w:ascii="Avenir Book" w:hAnsi="Avenir Book"/>
        </w:rPr>
        <w:t>s, design and supervision of related feeder roads and markets, HIV/AIDS/STI, road safety and gender awareness c</w:t>
      </w:r>
      <w:r w:rsidRPr="00B06331">
        <w:rPr>
          <w:rFonts w:ascii="Avenir Book" w:hAnsi="Avenir Book"/>
        </w:rPr>
        <w:t>ampa</w:t>
      </w:r>
      <w:r w:rsidR="007E571F" w:rsidRPr="00B06331">
        <w:rPr>
          <w:rFonts w:ascii="Avenir Book" w:hAnsi="Avenir Book"/>
        </w:rPr>
        <w:t>ign as well as technical a</w:t>
      </w:r>
      <w:r w:rsidRPr="00B06331">
        <w:rPr>
          <w:rFonts w:ascii="Avenir Book" w:hAnsi="Avenir Book"/>
        </w:rPr>
        <w:t>ssistance for the NRA. Phase II addresses the strengthening of the Trans-Gambia Highway in readiness for the increase in traffic once the bridg</w:t>
      </w:r>
      <w:r w:rsidR="007E571F" w:rsidRPr="00B06331">
        <w:rPr>
          <w:rFonts w:ascii="Avenir Book" w:hAnsi="Avenir Book"/>
        </w:rPr>
        <w:t>e is commissioned. It includes feasibility and detailed studies for the Toll Bridge m</w:t>
      </w:r>
      <w:r w:rsidRPr="00B06331">
        <w:rPr>
          <w:rFonts w:ascii="Avenir Book" w:hAnsi="Avenir Book"/>
        </w:rPr>
        <w:t>an</w:t>
      </w:r>
      <w:r w:rsidR="007E571F" w:rsidRPr="00B06331">
        <w:rPr>
          <w:rFonts w:ascii="Avenir Book" w:hAnsi="Avenir Book"/>
        </w:rPr>
        <w:t>agement, road safety and financial a</w:t>
      </w:r>
      <w:r w:rsidRPr="00B06331">
        <w:rPr>
          <w:rFonts w:ascii="Avenir Book" w:hAnsi="Avenir Book"/>
        </w:rPr>
        <w:t>udit</w:t>
      </w:r>
      <w:r w:rsidR="007E571F" w:rsidRPr="00B06331">
        <w:rPr>
          <w:rFonts w:ascii="Avenir Book" w:hAnsi="Avenir Book"/>
        </w:rPr>
        <w:t>s</w:t>
      </w:r>
      <w:r w:rsidRPr="00B06331">
        <w:rPr>
          <w:rFonts w:ascii="Avenir Book" w:hAnsi="Avenir Book"/>
        </w:rPr>
        <w:t>.</w:t>
      </w:r>
    </w:p>
    <w:p w:rsidR="003A5A07" w:rsidRPr="00B06331" w:rsidRDefault="003A5A07" w:rsidP="004143E3">
      <w:pPr>
        <w:numPr>
          <w:ilvl w:val="0"/>
          <w:numId w:val="17"/>
        </w:numPr>
        <w:spacing w:after="0"/>
        <w:jc w:val="both"/>
        <w:rPr>
          <w:rFonts w:ascii="Avenir Book" w:hAnsi="Avenir Book"/>
          <w:b/>
        </w:rPr>
      </w:pPr>
      <w:r w:rsidRPr="00B06331">
        <w:rPr>
          <w:rFonts w:ascii="Avenir Book" w:hAnsi="Avenir Book"/>
          <w:b/>
        </w:rPr>
        <w:t xml:space="preserve">Laminkoto-Passmas Road: </w:t>
      </w:r>
      <w:r w:rsidRPr="00B06331">
        <w:rPr>
          <w:rFonts w:ascii="Avenir Book" w:hAnsi="Avenir Book"/>
        </w:rPr>
        <w:t xml:space="preserve">The contract for the construction of the road (122 </w:t>
      </w:r>
      <w:r w:rsidR="00ED1D1B" w:rsidRPr="00B06331">
        <w:rPr>
          <w:rFonts w:ascii="Avenir Book" w:hAnsi="Avenir Book"/>
        </w:rPr>
        <w:t>kilometers</w:t>
      </w:r>
      <w:r w:rsidRPr="00B06331">
        <w:rPr>
          <w:rFonts w:ascii="Avenir Book" w:hAnsi="Avenir Book"/>
        </w:rPr>
        <w:t xml:space="preserve">) was signed with the contractor AREZKI AS on the 2 November 2016 at the price of US$ 61.9 million; the effective contract commencement date is 1 February 2017.  The contract will last for 3 years, ending 2 February 2020. </w:t>
      </w:r>
    </w:p>
    <w:p w:rsidR="003A5A07" w:rsidRPr="00B06331" w:rsidRDefault="003A5A07" w:rsidP="004143E3">
      <w:pPr>
        <w:numPr>
          <w:ilvl w:val="0"/>
          <w:numId w:val="17"/>
        </w:numPr>
        <w:spacing w:after="0"/>
        <w:jc w:val="both"/>
        <w:rPr>
          <w:rFonts w:ascii="Avenir Book" w:hAnsi="Avenir Book"/>
          <w:b/>
        </w:rPr>
      </w:pPr>
      <w:r w:rsidRPr="00B06331">
        <w:rPr>
          <w:rFonts w:ascii="Avenir Book" w:hAnsi="Avenir Book"/>
          <w:b/>
        </w:rPr>
        <w:t xml:space="preserve">Fatoto-Basse-Koina Road: </w:t>
      </w:r>
      <w:r w:rsidRPr="00B06331">
        <w:rPr>
          <w:rFonts w:ascii="Avenir Book" w:hAnsi="Avenir Book"/>
        </w:rPr>
        <w:t>This project is intended to complete the highway network in the eastern region of the country, linking it with the road networks in the eastern and southern parts of Senegal. The proposed road is 48.3 km</w:t>
      </w:r>
      <w:r w:rsidR="007E571F" w:rsidRPr="00B06331">
        <w:rPr>
          <w:rFonts w:ascii="Avenir Book" w:hAnsi="Avenir Book"/>
        </w:rPr>
        <w:t>, with</w:t>
      </w:r>
      <w:r w:rsidRPr="00B06331">
        <w:rPr>
          <w:rFonts w:ascii="Avenir Book" w:hAnsi="Avenir Book"/>
        </w:rPr>
        <w:t xml:space="preserve"> two bridges at B</w:t>
      </w:r>
      <w:r w:rsidR="007E571F" w:rsidRPr="00B06331">
        <w:rPr>
          <w:rFonts w:ascii="Avenir Book" w:hAnsi="Avenir Book"/>
        </w:rPr>
        <w:t>asse and Fatoto.</w:t>
      </w:r>
    </w:p>
    <w:p w:rsidR="003A5A07" w:rsidRPr="00B06331" w:rsidRDefault="003A5A07" w:rsidP="004143E3">
      <w:pPr>
        <w:numPr>
          <w:ilvl w:val="0"/>
          <w:numId w:val="17"/>
        </w:numPr>
        <w:spacing w:after="0"/>
        <w:jc w:val="both"/>
        <w:rPr>
          <w:rFonts w:ascii="Avenir Book" w:hAnsi="Avenir Book"/>
          <w:b/>
        </w:rPr>
      </w:pPr>
      <w:r w:rsidRPr="00B06331">
        <w:rPr>
          <w:rFonts w:ascii="Avenir Book" w:hAnsi="Avenir Book"/>
          <w:b/>
        </w:rPr>
        <w:t xml:space="preserve">Basse-Nyako Bridge: </w:t>
      </w:r>
      <w:r w:rsidRPr="00B06331">
        <w:rPr>
          <w:rFonts w:ascii="Avenir Book" w:hAnsi="Avenir Book"/>
        </w:rPr>
        <w:t xml:space="preserve">This </w:t>
      </w:r>
      <w:r w:rsidR="00ED1D1B" w:rsidRPr="00B06331">
        <w:rPr>
          <w:rFonts w:ascii="Avenir Book" w:hAnsi="Avenir Book"/>
        </w:rPr>
        <w:t>Bridge</w:t>
      </w:r>
      <w:r w:rsidRPr="00B06331">
        <w:rPr>
          <w:rFonts w:ascii="Avenir Book" w:hAnsi="Avenir Book"/>
        </w:rPr>
        <w:t xml:space="preserve"> with 200 meters span will connect the northern and southern parts of the Gambia and is extremely </w:t>
      </w:r>
      <w:r w:rsidR="00ED1D1B" w:rsidRPr="00B06331">
        <w:rPr>
          <w:rFonts w:ascii="Avenir Book" w:hAnsi="Avenir Book"/>
        </w:rPr>
        <w:t>important,</w:t>
      </w:r>
      <w:r w:rsidRPr="00B06331">
        <w:rPr>
          <w:rFonts w:ascii="Avenir Book" w:hAnsi="Avenir Book"/>
        </w:rPr>
        <w:t xml:space="preserve"> as it will provide access to national economic and social centers.</w:t>
      </w:r>
    </w:p>
    <w:p w:rsidR="003A5A07" w:rsidRPr="00B06331" w:rsidRDefault="003A5A07" w:rsidP="004143E3">
      <w:pPr>
        <w:numPr>
          <w:ilvl w:val="0"/>
          <w:numId w:val="17"/>
        </w:numPr>
        <w:spacing w:after="0"/>
        <w:jc w:val="both"/>
        <w:rPr>
          <w:rFonts w:ascii="Avenir Book" w:hAnsi="Avenir Book"/>
          <w:b/>
        </w:rPr>
      </w:pPr>
      <w:r w:rsidRPr="00B06331">
        <w:rPr>
          <w:rFonts w:ascii="Avenir Book" w:hAnsi="Avenir Book"/>
          <w:b/>
        </w:rPr>
        <w:t xml:space="preserve">Fatoto-Passamas-Bridge: </w:t>
      </w:r>
      <w:r w:rsidRPr="00B06331">
        <w:rPr>
          <w:rFonts w:ascii="Avenir Book" w:hAnsi="Avenir Book"/>
        </w:rPr>
        <w:t xml:space="preserve">This </w:t>
      </w:r>
      <w:r w:rsidR="00ED1D1B" w:rsidRPr="00B06331">
        <w:rPr>
          <w:rFonts w:ascii="Avenir Book" w:hAnsi="Avenir Book"/>
        </w:rPr>
        <w:t>Bridge</w:t>
      </w:r>
      <w:r w:rsidRPr="00B06331">
        <w:rPr>
          <w:rFonts w:ascii="Avenir Book" w:hAnsi="Avenir Book"/>
        </w:rPr>
        <w:t xml:space="preserve"> with 150 meters span will connect the northern and southern parts </w:t>
      </w:r>
      <w:r w:rsidR="00ED1D1B" w:rsidRPr="00B06331">
        <w:rPr>
          <w:rFonts w:ascii="Avenir Book" w:hAnsi="Avenir Book"/>
        </w:rPr>
        <w:t>of river</w:t>
      </w:r>
      <w:r w:rsidRPr="00B06331">
        <w:rPr>
          <w:rFonts w:ascii="Avenir Book" w:hAnsi="Avenir Book"/>
        </w:rPr>
        <w:t xml:space="preserve"> Gambia and will similarly provide access to national economic and social centers. </w:t>
      </w:r>
    </w:p>
    <w:p w:rsidR="003A5A07" w:rsidRPr="00B06331" w:rsidRDefault="003A5A07" w:rsidP="003A5A07">
      <w:pPr>
        <w:spacing w:after="0"/>
        <w:ind w:left="720"/>
        <w:jc w:val="both"/>
        <w:rPr>
          <w:rFonts w:ascii="Avenir Book" w:hAnsi="Avenir Book"/>
          <w:b/>
        </w:rPr>
      </w:pP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For improved road safety, the Government will initiate a road safety programme with the creation of an appropriate institutional framework- including the establishment of a National Road Safety Council with a secretariat to develop its work programme. To further support safety, a review and update of road and road traffic laws and regulations will be undertaken to respond to the current realities of road use and operation, improve road transport services (passenger and freight) and improve road safety.</w:t>
      </w: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lastRenderedPageBreak/>
        <w:t xml:space="preserve">While facilitating the capacity development of the local road construction industry, Government will collaborate with ILO, other development partners and GAMWORKS to introduce labor intensive (including women) road constructions as well as promote PPPs in the sector. The creation of Corridor Management Committees is essential for transit and trade facilitation.  Improvement on The Gambia Port </w:t>
      </w:r>
      <w:r w:rsidR="00ED1D1B" w:rsidRPr="00B06331">
        <w:rPr>
          <w:rFonts w:ascii="Avenir Book" w:hAnsi="Avenir Book"/>
        </w:rPr>
        <w:t>based on regional</w:t>
      </w:r>
      <w:r w:rsidRPr="00B06331">
        <w:rPr>
          <w:rFonts w:ascii="Avenir Book" w:hAnsi="Avenir Book"/>
        </w:rPr>
        <w:t xml:space="preserve"> road corridors would be implemented as a follow up action on the ISRT and bilateral and tripartite agreements entered into by the GoTG.</w:t>
      </w:r>
      <w:bookmarkStart w:id="140" w:name="_Toc461028075"/>
    </w:p>
    <w:p w:rsidR="003A5A07" w:rsidRPr="00B06331" w:rsidRDefault="003A5A07" w:rsidP="003A5A07">
      <w:pPr>
        <w:tabs>
          <w:tab w:val="left" w:pos="720"/>
        </w:tabs>
        <w:spacing w:before="120" w:after="120"/>
        <w:jc w:val="both"/>
        <w:rPr>
          <w:rFonts w:ascii="Avenir Book" w:hAnsi="Avenir Book"/>
          <w:b/>
        </w:rPr>
      </w:pPr>
      <w:r w:rsidRPr="00B06331">
        <w:rPr>
          <w:rFonts w:ascii="Avenir Book" w:hAnsi="Avenir Book"/>
          <w:b/>
        </w:rPr>
        <w:t>Urban Transport</w:t>
      </w:r>
      <w:bookmarkEnd w:id="140"/>
    </w:p>
    <w:p w:rsidR="003A5A07" w:rsidRPr="00B06331" w:rsidRDefault="003A5A07" w:rsidP="003A5A07">
      <w:pPr>
        <w:jc w:val="both"/>
        <w:rPr>
          <w:rFonts w:ascii="Avenir Book" w:hAnsi="Avenir Book"/>
        </w:rPr>
      </w:pPr>
      <w:r w:rsidRPr="00B06331">
        <w:rPr>
          <w:rFonts w:ascii="Avenir Book" w:hAnsi="Avenir Book"/>
        </w:rPr>
        <w:t>The primary focus in the urban transport sub-sector is to address the emerging transport crisis in the Greater Banjul Metropolis, which is facing rapid urbanization pressure and is currently witnessing some congestion, especially during the peak hours. To remedy the emerging transport infrastructure pressures in the Greater Banjul Metropolis, and improve efficiency, Government will continue its plans to construct alternative routes and bypasses to ease traffic on the link. A key intervention relates to the Sting Corner-Abuko bypass which is intended to decongest the Brikama Highway from Westfield junction to Yundum which are ar</w:t>
      </w:r>
      <w:r w:rsidR="007E571F" w:rsidRPr="00B06331">
        <w:rPr>
          <w:rFonts w:ascii="Avenir Book" w:hAnsi="Avenir Book"/>
        </w:rPr>
        <w:t>eas with high populations</w:t>
      </w:r>
      <w:r w:rsidRPr="00B06331">
        <w:rPr>
          <w:rFonts w:ascii="Avenir Book" w:hAnsi="Avenir Book"/>
        </w:rPr>
        <w:t>.  Two options ar</w:t>
      </w:r>
      <w:bookmarkStart w:id="141" w:name="_Toc477516013"/>
      <w:r w:rsidRPr="00B06331">
        <w:rPr>
          <w:rFonts w:ascii="Avenir Book" w:hAnsi="Avenir Book"/>
        </w:rPr>
        <w:t>e cu</w:t>
      </w:r>
      <w:r w:rsidR="007E571F" w:rsidRPr="00B06331">
        <w:rPr>
          <w:rFonts w:ascii="Avenir Book" w:hAnsi="Avenir Book"/>
        </w:rPr>
        <w:t xml:space="preserve">rrently under </w:t>
      </w:r>
      <w:r w:rsidR="00ED1D1B" w:rsidRPr="00B06331">
        <w:rPr>
          <w:rFonts w:ascii="Avenir Book" w:hAnsi="Avenir Book"/>
        </w:rPr>
        <w:t>consideration.</w:t>
      </w:r>
      <w:r w:rsidRPr="00B06331">
        <w:rPr>
          <w:rFonts w:ascii="Avenir Book" w:hAnsi="Avenir Book"/>
        </w:rPr>
        <w:t xml:space="preserve"> Option I, Stink Corner to Abuko By-Pass</w:t>
      </w:r>
      <w:bookmarkEnd w:id="141"/>
      <w:r w:rsidRPr="00B06331">
        <w:rPr>
          <w:rFonts w:ascii="Avenir Book" w:hAnsi="Avenir Book"/>
        </w:rPr>
        <w:t xml:space="preserve"> (9 km), and Option II, widening the Bertil Harding Highway (23 km) into four lanes. </w:t>
      </w: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 xml:space="preserve">The multiplicity of agencies involved in managing urban transport poses a challenge. The planned transport sector master plan should improve coordination, efficiency, and accountability of the urban transport system. The </w:t>
      </w:r>
      <w:r w:rsidR="00ED1D1B" w:rsidRPr="00B06331">
        <w:rPr>
          <w:rFonts w:ascii="Avenir Book" w:hAnsi="Avenir Book"/>
        </w:rPr>
        <w:t>Plan</w:t>
      </w:r>
      <w:r w:rsidRPr="00B06331">
        <w:rPr>
          <w:rFonts w:ascii="Avenir Book" w:hAnsi="Avenir Book"/>
        </w:rPr>
        <w:t xml:space="preserve"> would cater for traffic management especially for Central Business District (CBD) in the city environment for safety.</w:t>
      </w: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 xml:space="preserve">The law enforcement agencies will be capacitated to enforce traffic laws and regulations to improve urban traffic circulation in Banjul and its peri-urban areas. In the long term, with the increasing rate of urbanization, Rapid Transit System (RTS) through private sector concessionaires would be developed to cater for the Greater Banjul Area. </w:t>
      </w:r>
    </w:p>
    <w:p w:rsidR="003A5A07" w:rsidRPr="00B06331" w:rsidRDefault="003A5A07" w:rsidP="006F3A32">
      <w:pPr>
        <w:tabs>
          <w:tab w:val="left" w:pos="720"/>
        </w:tabs>
        <w:spacing w:before="120" w:after="120"/>
        <w:jc w:val="both"/>
        <w:rPr>
          <w:rFonts w:ascii="Avenir Book" w:hAnsi="Avenir Book"/>
        </w:rPr>
      </w:pPr>
      <w:r w:rsidRPr="00B06331">
        <w:rPr>
          <w:rFonts w:ascii="Avenir Book" w:hAnsi="Avenir Book"/>
        </w:rPr>
        <w:t>The implementation of the planned feeder road rehabilitation programme covering about 240kms with the assistance of the EU is essential in achieving the agricultural transformation agenda and all-inclusive growt</w:t>
      </w:r>
      <w:r w:rsidR="007E571F" w:rsidRPr="00B06331">
        <w:rPr>
          <w:rFonts w:ascii="Avenir Book" w:hAnsi="Avenir Book"/>
        </w:rPr>
        <w:t>h</w:t>
      </w:r>
      <w:r w:rsidRPr="00B06331">
        <w:rPr>
          <w:rFonts w:ascii="Avenir Book" w:hAnsi="Avenir Book"/>
        </w:rPr>
        <w:t>. Government will introduce policy measures to mitigate urban environmental degradation which would include enhancement of gas emission control through the establishment of vehicle inspection stations.</w:t>
      </w:r>
    </w:p>
    <w:p w:rsidR="003A5A07" w:rsidRPr="00B06331" w:rsidRDefault="003A5A07" w:rsidP="00220895">
      <w:pPr>
        <w:pStyle w:val="ListParagraph"/>
        <w:spacing w:after="0" w:line="240" w:lineRule="auto"/>
        <w:ind w:left="0"/>
        <w:jc w:val="both"/>
        <w:rPr>
          <w:rFonts w:ascii="Avenir Book" w:hAnsi="Avenir Book"/>
          <w:b/>
        </w:rPr>
      </w:pPr>
      <w:r w:rsidRPr="00B06331">
        <w:rPr>
          <w:rFonts w:ascii="Avenir Book" w:hAnsi="Avenir Book"/>
          <w:b/>
        </w:rPr>
        <w:t>Implement the Fourth Banjul port expansion project and de</w:t>
      </w:r>
      <w:r w:rsidR="00220895" w:rsidRPr="00B06331">
        <w:rPr>
          <w:rFonts w:ascii="Avenir Book" w:hAnsi="Avenir Book"/>
          <w:b/>
        </w:rPr>
        <w:t xml:space="preserve">veloping the inland water ways </w:t>
      </w:r>
    </w:p>
    <w:p w:rsidR="003A5A07" w:rsidRPr="00B06331" w:rsidRDefault="007E571F" w:rsidP="003A5A07">
      <w:pPr>
        <w:tabs>
          <w:tab w:val="left" w:pos="720"/>
        </w:tabs>
        <w:spacing w:before="120" w:after="120"/>
        <w:jc w:val="both"/>
        <w:rPr>
          <w:rFonts w:ascii="Avenir Book" w:hAnsi="Avenir Book"/>
        </w:rPr>
      </w:pPr>
      <w:r w:rsidRPr="00B06331">
        <w:rPr>
          <w:rFonts w:ascii="Avenir Book" w:hAnsi="Avenir Book"/>
        </w:rPr>
        <w:t>The key p</w:t>
      </w:r>
      <w:r w:rsidR="003A5A07" w:rsidRPr="00B06331">
        <w:rPr>
          <w:rFonts w:ascii="Avenir Book" w:hAnsi="Avenir Book"/>
        </w:rPr>
        <w:t>or</w:t>
      </w:r>
      <w:r w:rsidRPr="00B06331">
        <w:rPr>
          <w:rFonts w:ascii="Avenir Book" w:hAnsi="Avenir Book"/>
        </w:rPr>
        <w:t xml:space="preserve">t reforms scheduled for the plan </w:t>
      </w:r>
      <w:r w:rsidR="003A5A07" w:rsidRPr="00B06331">
        <w:rPr>
          <w:rFonts w:ascii="Avenir Book" w:hAnsi="Avenir Book"/>
        </w:rPr>
        <w:t xml:space="preserve">period include redefining port governance and organization to tackle emerging issues, particularly moving from a public service model to a landlord model like other regional ports; privatization and promotion of partnership between public and private sectors in order to enhance efficiency and productivity particularly with respect to the superstructure of the port; establishment of a port cluster by exploring free port system; introducing free trade zones for international logistic industry; developing industry complexes around the port, concentrating on logistics related industry – shipbuilding, ship equipment, ship spare parts; facilitating the development of intermodal infrastructures such as regional roads linking hinterland countries of the port, inland </w:t>
      </w:r>
      <w:r w:rsidR="003A5A07" w:rsidRPr="00B06331">
        <w:rPr>
          <w:rFonts w:ascii="Avenir Book" w:hAnsi="Avenir Book"/>
        </w:rPr>
        <w:lastRenderedPageBreak/>
        <w:t xml:space="preserve">waterways on the river Gambia connecting to Inland Container Depots (ICD); and strengthening  the Port Marketing Strategy to attract business to The Gambia using various modes including ICT. </w:t>
      </w:r>
    </w:p>
    <w:p w:rsidR="003A5A07" w:rsidRPr="00B06331" w:rsidRDefault="003A5A07" w:rsidP="003A5A07">
      <w:pPr>
        <w:tabs>
          <w:tab w:val="left" w:pos="720"/>
        </w:tabs>
        <w:autoSpaceDE w:val="0"/>
        <w:autoSpaceDN w:val="0"/>
        <w:adjustRightInd w:val="0"/>
        <w:spacing w:before="120" w:after="120"/>
        <w:jc w:val="both"/>
        <w:rPr>
          <w:rFonts w:ascii="Avenir Book" w:hAnsi="Avenir Book"/>
        </w:rPr>
      </w:pPr>
      <w:r w:rsidRPr="00B06331">
        <w:rPr>
          <w:rFonts w:ascii="Avenir Book" w:hAnsi="Avenir Book"/>
        </w:rPr>
        <w:t>The Ports Master Plan provides for concession of the container terminals to increase efficiency and enhance the ports competitive edge. This will address the severe infrastructural constraints including inadequate container storage, inter-modality for inland transport connections (especially for regional road networks and use of River Gambia complemented with Inland Container Depots). These facilities ar</w:t>
      </w:r>
      <w:r w:rsidR="007E571F" w:rsidRPr="00B06331">
        <w:rPr>
          <w:rFonts w:ascii="Avenir Book" w:hAnsi="Avenir Book"/>
        </w:rPr>
        <w:t>e</w:t>
      </w:r>
      <w:r w:rsidRPr="00B06331">
        <w:rPr>
          <w:rFonts w:ascii="Avenir Book" w:hAnsi="Avenir Book"/>
        </w:rPr>
        <w:t xml:space="preserve"> in disrepair and require major investments. Moreover, there is need for port reforms especially relating to the business model of the Port providing ample opportunities for private sector participation and expansion of facilities.</w:t>
      </w:r>
    </w:p>
    <w:p w:rsidR="003A5A07" w:rsidRPr="00B06331" w:rsidRDefault="003A5A07" w:rsidP="003A5A07">
      <w:pPr>
        <w:jc w:val="both"/>
        <w:rPr>
          <w:rFonts w:ascii="Avenir Book" w:hAnsi="Avenir Book"/>
        </w:rPr>
      </w:pPr>
      <w:r w:rsidRPr="00B06331">
        <w:rPr>
          <w:rFonts w:ascii="Avenir Book" w:hAnsi="Avenir Book"/>
        </w:rPr>
        <w:t xml:space="preserve">The aim of this expansion project is to increase the productivity capacity of the Port of Banjul. Its components include </w:t>
      </w:r>
      <w:r w:rsidR="007E571F" w:rsidRPr="00B06331">
        <w:rPr>
          <w:rFonts w:ascii="Avenir Book" w:hAnsi="Avenir Book"/>
        </w:rPr>
        <w:t>dredging the channel entrance d</w:t>
      </w:r>
      <w:r w:rsidRPr="00B06331">
        <w:rPr>
          <w:rFonts w:ascii="Avenir Book" w:hAnsi="Avenir Book"/>
        </w:rPr>
        <w:t>epth into Banjul from 8.5 m to 10.2m; Quay extension of capacity 200 m</w:t>
      </w:r>
      <w:r w:rsidR="007E571F" w:rsidRPr="00B06331">
        <w:rPr>
          <w:rFonts w:ascii="Avenir Book" w:hAnsi="Avenir Book"/>
        </w:rPr>
        <w:t>; r</w:t>
      </w:r>
      <w:r w:rsidRPr="00B06331">
        <w:rPr>
          <w:rFonts w:ascii="Avenir Book" w:hAnsi="Avenir Book"/>
        </w:rPr>
        <w:t>ehabilitation of the existing north and south C</w:t>
      </w:r>
      <w:r w:rsidR="007E571F" w:rsidRPr="00B06331">
        <w:rPr>
          <w:rFonts w:ascii="Avenir Book" w:hAnsi="Avenir Book"/>
        </w:rPr>
        <w:t>ontainer Terminals; r</w:t>
      </w:r>
      <w:r w:rsidRPr="00B06331">
        <w:rPr>
          <w:rFonts w:ascii="Avenir Book" w:hAnsi="Avenir Book"/>
        </w:rPr>
        <w:t>eh</w:t>
      </w:r>
      <w:r w:rsidR="007E571F" w:rsidRPr="00B06331">
        <w:rPr>
          <w:rFonts w:ascii="Avenir Book" w:hAnsi="Avenir Book"/>
        </w:rPr>
        <w:t>abilitation of existing jetty; r</w:t>
      </w:r>
      <w:r w:rsidRPr="00B06331">
        <w:rPr>
          <w:rFonts w:ascii="Avenir Book" w:hAnsi="Avenir Book"/>
        </w:rPr>
        <w:t>eh</w:t>
      </w:r>
      <w:r w:rsidR="007E571F" w:rsidRPr="00B06331">
        <w:rPr>
          <w:rFonts w:ascii="Avenir Book" w:hAnsi="Avenir Book"/>
        </w:rPr>
        <w:t>abilitation of the Ship Yard;  d</w:t>
      </w:r>
      <w:r w:rsidRPr="00B06331">
        <w:rPr>
          <w:rFonts w:ascii="Avenir Book" w:hAnsi="Avenir Book"/>
        </w:rPr>
        <w:t>redging of entrance channel (30,000 DW</w:t>
      </w:r>
      <w:r w:rsidR="007E571F" w:rsidRPr="00B06331">
        <w:rPr>
          <w:rFonts w:ascii="Avenir Book" w:hAnsi="Avenir Book"/>
        </w:rPr>
        <w:t>T two-way deep water channel); r</w:t>
      </w:r>
      <w:r w:rsidRPr="00B06331">
        <w:rPr>
          <w:rFonts w:ascii="Avenir Book" w:hAnsi="Avenir Book"/>
        </w:rPr>
        <w:t>elocation of t</w:t>
      </w:r>
      <w:r w:rsidR="007E571F" w:rsidRPr="00B06331">
        <w:rPr>
          <w:rFonts w:ascii="Avenir Book" w:hAnsi="Avenir Book"/>
        </w:rPr>
        <w:t>he Banjul Mini Stadium to allow port expansion; c</w:t>
      </w:r>
      <w:r w:rsidRPr="00B06331">
        <w:rPr>
          <w:rFonts w:ascii="Avenir Book" w:hAnsi="Avenir Book"/>
        </w:rPr>
        <w:t xml:space="preserve">ompletion of the Bund Road access </w:t>
      </w:r>
      <w:r w:rsidR="007E571F" w:rsidRPr="00B06331">
        <w:rPr>
          <w:rFonts w:ascii="Avenir Book" w:hAnsi="Avenir Book"/>
        </w:rPr>
        <w:t>road, r</w:t>
      </w:r>
      <w:r w:rsidRPr="00B06331">
        <w:rPr>
          <w:rFonts w:ascii="Avenir Book" w:hAnsi="Avenir Book"/>
        </w:rPr>
        <w:t>eclamati</w:t>
      </w:r>
      <w:r w:rsidR="007E571F" w:rsidRPr="00B06331">
        <w:rPr>
          <w:rFonts w:ascii="Avenir Book" w:hAnsi="Avenir Book"/>
        </w:rPr>
        <w:t>on of the wetland at Bund Road and c</w:t>
      </w:r>
      <w:r w:rsidRPr="00B06331">
        <w:rPr>
          <w:rFonts w:ascii="Avenir Book" w:hAnsi="Avenir Book"/>
        </w:rPr>
        <w:t>onstru</w:t>
      </w:r>
      <w:r w:rsidR="007E571F" w:rsidRPr="00B06331">
        <w:rPr>
          <w:rFonts w:ascii="Avenir Book" w:hAnsi="Avenir Book"/>
        </w:rPr>
        <w:t>ction of an off-dock terminal; r</w:t>
      </w:r>
      <w:r w:rsidRPr="00B06331">
        <w:rPr>
          <w:rFonts w:ascii="Avenir Book" w:hAnsi="Avenir Book"/>
        </w:rPr>
        <w:t>eloca</w:t>
      </w:r>
      <w:r w:rsidR="007E571F" w:rsidRPr="00B06331">
        <w:rPr>
          <w:rFonts w:ascii="Avenir Book" w:hAnsi="Avenir Book"/>
        </w:rPr>
        <w:t>tion of Banjul Ferry Terminal; economic and t</w:t>
      </w:r>
      <w:r w:rsidR="004D7165" w:rsidRPr="00B06331">
        <w:rPr>
          <w:rFonts w:ascii="Avenir Book" w:hAnsi="Avenir Book"/>
        </w:rPr>
        <w:t>echnical f</w:t>
      </w:r>
      <w:r w:rsidRPr="00B06331">
        <w:rPr>
          <w:rFonts w:ascii="Avenir Book" w:hAnsi="Avenir Book"/>
        </w:rPr>
        <w:t>easibili</w:t>
      </w:r>
      <w:r w:rsidR="004D7165" w:rsidRPr="00B06331">
        <w:rPr>
          <w:rFonts w:ascii="Avenir Book" w:hAnsi="Avenir Book"/>
        </w:rPr>
        <w:t>ty for a new deep seaport and  r</w:t>
      </w:r>
      <w:r w:rsidRPr="00B06331">
        <w:rPr>
          <w:rFonts w:ascii="Avenir Book" w:hAnsi="Avenir Book"/>
        </w:rPr>
        <w:t>elocation of the existing GPA head office.</w:t>
      </w:r>
    </w:p>
    <w:p w:rsidR="003A5A07" w:rsidRPr="00B06331" w:rsidRDefault="003A5A07" w:rsidP="008942DD">
      <w:pPr>
        <w:jc w:val="both"/>
        <w:rPr>
          <w:rFonts w:ascii="Avenir Book" w:hAnsi="Avenir Book"/>
        </w:rPr>
      </w:pPr>
      <w:r w:rsidRPr="00B06331">
        <w:rPr>
          <w:rFonts w:ascii="Avenir Book" w:hAnsi="Avenir Book"/>
        </w:rPr>
        <w:t xml:space="preserve">Government will also undertake feasibility studies for establishment of </w:t>
      </w:r>
      <w:r w:rsidRPr="00B06331">
        <w:rPr>
          <w:rFonts w:ascii="Avenir Book" w:hAnsi="Avenir Book"/>
          <w:b/>
        </w:rPr>
        <w:t>a “dry port” in Basse</w:t>
      </w:r>
      <w:r w:rsidRPr="00B06331">
        <w:rPr>
          <w:rFonts w:ascii="Avenir Book" w:hAnsi="Avenir Book"/>
        </w:rPr>
        <w:t xml:space="preserve"> to boost river transport and regional trade with the country’s landlocked neighbors.</w:t>
      </w:r>
    </w:p>
    <w:p w:rsidR="003A5A07" w:rsidRPr="00B06331" w:rsidRDefault="003A5A07" w:rsidP="003A5A07">
      <w:pPr>
        <w:pStyle w:val="ListParagraph"/>
        <w:spacing w:after="0" w:line="240" w:lineRule="auto"/>
        <w:ind w:left="0"/>
        <w:jc w:val="both"/>
        <w:rPr>
          <w:rFonts w:ascii="Avenir Book" w:hAnsi="Avenir Book"/>
        </w:rPr>
      </w:pPr>
      <w:r w:rsidRPr="00B06331">
        <w:rPr>
          <w:rFonts w:ascii="Avenir Book" w:hAnsi="Avenir Book"/>
          <w:b/>
        </w:rPr>
        <w:t>Implement the Airport Improvement Project</w:t>
      </w:r>
    </w:p>
    <w:p w:rsidR="003A5A07" w:rsidRPr="00B06331" w:rsidRDefault="003A5A07" w:rsidP="003A5A07">
      <w:pPr>
        <w:tabs>
          <w:tab w:val="left" w:pos="720"/>
        </w:tabs>
        <w:spacing w:before="120" w:after="120"/>
        <w:jc w:val="both"/>
        <w:rPr>
          <w:rFonts w:ascii="Avenir Book" w:hAnsi="Avenir Book"/>
        </w:rPr>
      </w:pPr>
      <w:r w:rsidRPr="00B06331">
        <w:rPr>
          <w:rFonts w:ascii="Avenir Book" w:hAnsi="Avenir Book"/>
        </w:rPr>
        <w:t xml:space="preserve">The Airport Master Plan costing around USD100 million would guide the expansion and development </w:t>
      </w:r>
      <w:r w:rsidR="004D7165" w:rsidRPr="00B06331">
        <w:rPr>
          <w:rFonts w:ascii="Avenir Book" w:hAnsi="Avenir Book"/>
        </w:rPr>
        <w:t>of BIA during the p</w:t>
      </w:r>
      <w:r w:rsidRPr="00B06331">
        <w:rPr>
          <w:rFonts w:ascii="Avenir Book" w:hAnsi="Avenir Book"/>
        </w:rPr>
        <w:t xml:space="preserve">lan period. Given the relatively low flow of passengers during the tourism off-season, the current capacity at the Banjul International Airport (BIA) is only optimally utilized during the tourist season of November to April each year; indicating the potential for new business during the rest of the year. Consequently, </w:t>
      </w:r>
      <w:r w:rsidR="004D7165" w:rsidRPr="00B06331">
        <w:rPr>
          <w:rFonts w:ascii="Avenir Book" w:hAnsi="Avenir Book"/>
        </w:rPr>
        <w:t>the GCAA will during the plan</w:t>
      </w:r>
      <w:r w:rsidRPr="00B06331">
        <w:rPr>
          <w:rFonts w:ascii="Avenir Book" w:hAnsi="Avenir Book"/>
        </w:rPr>
        <w:t xml:space="preserve"> period vigorously market the BIA for full capacity utilization during both the tourist and off tourist season. This will complement the Bilateral Air Service Agr</w:t>
      </w:r>
      <w:r w:rsidR="004D7165" w:rsidRPr="00B06331">
        <w:rPr>
          <w:rFonts w:ascii="Avenir Book" w:hAnsi="Avenir Book"/>
        </w:rPr>
        <w:t>eements (BASA) which BIA has</w:t>
      </w:r>
      <w:r w:rsidRPr="00B06331">
        <w:rPr>
          <w:rFonts w:ascii="Avenir Book" w:hAnsi="Avenir Book"/>
        </w:rPr>
        <w:t xml:space="preserve"> with 22 countries. Of the fourteen Airlines that currently operate into and out of the BIA, seven are scheduled air services, six non-scheduled inclusive tour charter and one non-scheduled air service.</w:t>
      </w:r>
    </w:p>
    <w:p w:rsidR="003A5A07" w:rsidRPr="00B06331" w:rsidRDefault="003A5A07" w:rsidP="00220895">
      <w:pPr>
        <w:tabs>
          <w:tab w:val="left" w:pos="720"/>
        </w:tabs>
        <w:spacing w:before="120" w:after="120"/>
        <w:jc w:val="both"/>
        <w:rPr>
          <w:rFonts w:ascii="Avenir Book" w:hAnsi="Avenir Book"/>
        </w:rPr>
      </w:pPr>
      <w:r w:rsidRPr="00B06331">
        <w:rPr>
          <w:rFonts w:ascii="Avenir Book" w:hAnsi="Avenir Book"/>
        </w:rPr>
        <w:t xml:space="preserve">To fully utilize the potential of </w:t>
      </w:r>
      <w:r w:rsidR="00CC54B7" w:rsidRPr="00B06331">
        <w:rPr>
          <w:rFonts w:ascii="Avenir Book" w:hAnsi="Avenir Book"/>
        </w:rPr>
        <w:t>BIA</w:t>
      </w:r>
      <w:r w:rsidRPr="00B06331">
        <w:rPr>
          <w:rFonts w:ascii="Avenir Book" w:hAnsi="Avenir Book"/>
        </w:rPr>
        <w:t xml:space="preserve"> and in keeping with the national vision to position The Gambia as a trading hub, the Government will continue to pursue the airport free zones agenda by expanding airport facilities supportive of agriculture and natural resource exports especi</w:t>
      </w:r>
      <w:r w:rsidR="004D7165" w:rsidRPr="00B06331">
        <w:rPr>
          <w:rFonts w:ascii="Avenir Book" w:hAnsi="Avenir Book"/>
        </w:rPr>
        <w:t>ally to the European market.</w:t>
      </w:r>
      <w:r w:rsidRPr="00B06331">
        <w:rPr>
          <w:rFonts w:ascii="Avenir Book" w:hAnsi="Avenir Book"/>
        </w:rPr>
        <w:t xml:space="preserve"> Government is conscious that Air Traffic Control, Air Navigation and Safety issue</w:t>
      </w:r>
      <w:r w:rsidR="004D7165" w:rsidRPr="00B06331">
        <w:rPr>
          <w:rFonts w:ascii="Avenir Book" w:hAnsi="Avenir Book"/>
        </w:rPr>
        <w:t>s are important and should be at</w:t>
      </w:r>
      <w:r w:rsidRPr="00B06331">
        <w:rPr>
          <w:rFonts w:ascii="Avenir Book" w:hAnsi="Avenir Book"/>
        </w:rPr>
        <w:t xml:space="preserve"> the forefront of the air transport management agenda. This is particularly so for the tourism industry - the main driver of the air transport industry in The Gambia. To this end, Government will continue to improve safety in the air transport industry by updating its equipment in line with emerging global trends. To be competitive, the Government will continue improvement of the aviation equipment, and review its tariffs and charge related policy to position the country as a hub in West Africa. It will complement the on-going expansion of the airport taxiway and apron. These </w:t>
      </w:r>
      <w:r w:rsidRPr="00B06331">
        <w:rPr>
          <w:rFonts w:ascii="Avenir Book" w:hAnsi="Avenir Book"/>
        </w:rPr>
        <w:lastRenderedPageBreak/>
        <w:t xml:space="preserve">capacity development measures are prime for PPPs and therefore, Government will undertake extensive engagements to secure effective private sector participation. </w:t>
      </w:r>
    </w:p>
    <w:p w:rsidR="003A5A07" w:rsidRPr="00B06331" w:rsidRDefault="003A5A07" w:rsidP="00047E40">
      <w:pPr>
        <w:pStyle w:val="ListParagraph"/>
        <w:spacing w:after="0" w:line="240" w:lineRule="auto"/>
        <w:ind w:left="0"/>
        <w:jc w:val="both"/>
        <w:rPr>
          <w:rFonts w:ascii="Avenir Book" w:hAnsi="Avenir Book"/>
          <w:b/>
        </w:rPr>
      </w:pPr>
      <w:r w:rsidRPr="00B06331">
        <w:rPr>
          <w:rFonts w:ascii="Avenir Book" w:hAnsi="Avenir Book"/>
          <w:b/>
        </w:rPr>
        <w:t>Implement airport hub and city plan</w:t>
      </w:r>
    </w:p>
    <w:p w:rsidR="00047E40" w:rsidRPr="00B06331" w:rsidRDefault="00047E40" w:rsidP="00047E40">
      <w:pPr>
        <w:pStyle w:val="ListParagraph"/>
        <w:spacing w:after="0" w:line="240" w:lineRule="auto"/>
        <w:ind w:left="0"/>
        <w:jc w:val="both"/>
        <w:rPr>
          <w:rFonts w:ascii="Avenir Book" w:eastAsia="MS Mincho" w:hAnsi="Avenir Book"/>
          <w:b/>
          <w:u w:val="single"/>
        </w:rPr>
      </w:pPr>
    </w:p>
    <w:p w:rsidR="003A5A07" w:rsidRPr="00B06331" w:rsidRDefault="003A5A07" w:rsidP="00220895">
      <w:pPr>
        <w:rPr>
          <w:rFonts w:ascii="Avenir Book" w:hAnsi="Avenir Book"/>
        </w:rPr>
      </w:pPr>
      <w:r w:rsidRPr="00B06331">
        <w:rPr>
          <w:rFonts w:ascii="Avenir Book" w:hAnsi="Avenir Book"/>
        </w:rPr>
        <w:t xml:space="preserve">The idea of an airport hub and city plan is to equip the Banjul International Airport with modern amenities, like hotels, etc. to cater for passengers in transit. It is also an idea to improve and modernize BIA to accommodate all the facilities of modern airservice delivery to propagate the hub concept of Banjul International </w:t>
      </w:r>
      <w:r w:rsidR="00220895" w:rsidRPr="00B06331">
        <w:rPr>
          <w:rFonts w:ascii="Avenir Book" w:hAnsi="Avenir Book"/>
        </w:rPr>
        <w:t>Airport.</w:t>
      </w:r>
    </w:p>
    <w:p w:rsidR="004D7165" w:rsidRPr="00B06331" w:rsidRDefault="004D7165" w:rsidP="00220895">
      <w:pPr>
        <w:rPr>
          <w:rFonts w:ascii="Avenir Book" w:hAnsi="Avenir Book"/>
        </w:rPr>
      </w:pPr>
    </w:p>
    <w:p w:rsidR="003A5A07" w:rsidRPr="00B06331" w:rsidRDefault="003A5A07" w:rsidP="003A5A07">
      <w:pPr>
        <w:pStyle w:val="Heading3"/>
        <w:rPr>
          <w:rFonts w:ascii="Calibri" w:hAnsi="Calibri" w:cs="Calibri"/>
          <w:b/>
          <w:sz w:val="22"/>
          <w:szCs w:val="22"/>
        </w:rPr>
      </w:pPr>
      <w:bookmarkStart w:id="142" w:name="_Toc488689343"/>
      <w:bookmarkStart w:id="143" w:name="_Toc492364787"/>
      <w:r w:rsidRPr="00B06331">
        <w:rPr>
          <w:rFonts w:ascii="Calibri" w:hAnsi="Calibri" w:cs="Calibri"/>
          <w:b/>
          <w:sz w:val="22"/>
          <w:szCs w:val="22"/>
        </w:rPr>
        <w:t>7.6.4. Public Works Infrastructure</w:t>
      </w:r>
      <w:bookmarkEnd w:id="142"/>
      <w:bookmarkEnd w:id="143"/>
    </w:p>
    <w:p w:rsidR="003A5A07" w:rsidRPr="00B06331" w:rsidRDefault="003A5A07" w:rsidP="003A5A07">
      <w:pPr>
        <w:tabs>
          <w:tab w:val="left" w:pos="1770"/>
        </w:tabs>
        <w:spacing w:after="0" w:line="240" w:lineRule="auto"/>
      </w:pPr>
    </w:p>
    <w:p w:rsidR="00047E40" w:rsidRPr="00B06331" w:rsidRDefault="00047E40" w:rsidP="003A5A07">
      <w:pPr>
        <w:pStyle w:val="ListParagraph"/>
        <w:spacing w:after="0" w:line="240" w:lineRule="auto"/>
        <w:ind w:left="0"/>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5.5: Improved Management and Provision of Public Works Infrastructure for Enhanced Socio-economic Development</w:t>
      </w:r>
    </w:p>
    <w:p w:rsidR="003A5A07" w:rsidRPr="00B06331" w:rsidRDefault="003A5A07" w:rsidP="003A5A07">
      <w:pPr>
        <w:pStyle w:val="ListParagraph"/>
        <w:spacing w:after="0" w:line="240" w:lineRule="auto"/>
        <w:ind w:left="0"/>
        <w:rPr>
          <w:rFonts w:ascii="Avenir Book" w:eastAsia="MS Mincho" w:hAnsi="Avenir Book"/>
          <w:b/>
          <w:u w:val="single"/>
        </w:rPr>
      </w:pPr>
    </w:p>
    <w:p w:rsidR="003A5A07" w:rsidRPr="00B06331" w:rsidRDefault="003A5A07" w:rsidP="003A5A07">
      <w:pPr>
        <w:pStyle w:val="ListParagraph"/>
        <w:spacing w:after="0" w:line="240" w:lineRule="auto"/>
        <w:ind w:left="0"/>
        <w:rPr>
          <w:rFonts w:ascii="Avenir Book" w:hAnsi="Avenir Book"/>
        </w:rPr>
      </w:pPr>
      <w:r w:rsidRPr="00B06331">
        <w:rPr>
          <w:rFonts w:ascii="Avenir Book" w:hAnsi="Avenir Book"/>
          <w:b/>
        </w:rPr>
        <w:t>Development of a national buildings and facilities policy (including addressing the needs of PWDs)</w:t>
      </w:r>
    </w:p>
    <w:p w:rsidR="003A5A07" w:rsidRPr="00B06331" w:rsidRDefault="003A5A07" w:rsidP="003A5A07">
      <w:pPr>
        <w:pStyle w:val="ListParagraph"/>
        <w:spacing w:after="0" w:line="240" w:lineRule="auto"/>
        <w:ind w:left="0"/>
        <w:rPr>
          <w:rFonts w:ascii="Avenir Book" w:hAnsi="Avenir Book"/>
        </w:rPr>
      </w:pPr>
    </w:p>
    <w:p w:rsidR="003A5A07" w:rsidRPr="00B06331" w:rsidRDefault="003A5A07" w:rsidP="003A5A07">
      <w:pPr>
        <w:pStyle w:val="ListParagraph"/>
        <w:spacing w:after="0"/>
        <w:ind w:left="0"/>
        <w:jc w:val="both"/>
        <w:rPr>
          <w:rFonts w:ascii="Avenir Book" w:hAnsi="Avenir Book"/>
        </w:rPr>
      </w:pPr>
      <w:r w:rsidRPr="00B06331">
        <w:rPr>
          <w:rFonts w:ascii="Avenir Book" w:hAnsi="Avenir Book"/>
        </w:rPr>
        <w:t xml:space="preserve">The challenges in construction, management and maintenance of government buildings will be addressed firstly with the formulation of a National Building Policy to guide the construction, operation, provision and maintenance of government buildings and other </w:t>
      </w:r>
      <w:r w:rsidR="004D7165" w:rsidRPr="00B06331">
        <w:rPr>
          <w:rFonts w:ascii="Avenir Book" w:hAnsi="Avenir Book"/>
        </w:rPr>
        <w:t xml:space="preserve">public works infrastructure. Government </w:t>
      </w:r>
      <w:r w:rsidRPr="00B06331">
        <w:rPr>
          <w:rFonts w:ascii="Avenir Book" w:hAnsi="Avenir Book"/>
        </w:rPr>
        <w:t xml:space="preserve">will further ensure that best practices are upheld through the provision of access points for persons with disability. </w:t>
      </w:r>
    </w:p>
    <w:p w:rsidR="003A5A07" w:rsidRPr="00B06331" w:rsidRDefault="003A5A07" w:rsidP="003A5A07">
      <w:pPr>
        <w:pStyle w:val="ListParagraph"/>
        <w:spacing w:after="0" w:line="240" w:lineRule="auto"/>
        <w:ind w:left="0"/>
        <w:rPr>
          <w:rFonts w:ascii="Avenir Book" w:hAnsi="Avenir Book"/>
        </w:rPr>
      </w:pPr>
    </w:p>
    <w:p w:rsidR="003A5A07" w:rsidRPr="00B06331" w:rsidRDefault="003A5A07" w:rsidP="003A5A07">
      <w:pPr>
        <w:pStyle w:val="ListParagraph"/>
        <w:spacing w:after="0" w:line="240" w:lineRule="auto"/>
        <w:ind w:left="0"/>
        <w:rPr>
          <w:rFonts w:ascii="Avenir Book" w:hAnsi="Avenir Book"/>
          <w:b/>
        </w:rPr>
      </w:pPr>
      <w:r w:rsidRPr="00B06331">
        <w:rPr>
          <w:rFonts w:ascii="Avenir Book" w:hAnsi="Avenir Book"/>
          <w:b/>
        </w:rPr>
        <w:t>Construction and maintenance of public buildings and infrastructure</w:t>
      </w:r>
    </w:p>
    <w:p w:rsidR="003A5A07" w:rsidRPr="00B06331" w:rsidRDefault="003A5A07" w:rsidP="003A5A07">
      <w:pPr>
        <w:tabs>
          <w:tab w:val="left" w:pos="1770"/>
        </w:tabs>
        <w:spacing w:after="0"/>
        <w:jc w:val="both"/>
        <w:rPr>
          <w:rFonts w:ascii="Avenir Book" w:hAnsi="Avenir Book"/>
        </w:rPr>
      </w:pPr>
    </w:p>
    <w:p w:rsidR="003A5A07" w:rsidRPr="00B06331" w:rsidRDefault="003A5A07" w:rsidP="003A5A07">
      <w:pPr>
        <w:tabs>
          <w:tab w:val="left" w:pos="1770"/>
        </w:tabs>
        <w:spacing w:after="0"/>
        <w:jc w:val="both"/>
        <w:rPr>
          <w:rFonts w:ascii="Avenir Book" w:hAnsi="Avenir Book"/>
        </w:rPr>
      </w:pPr>
      <w:r w:rsidRPr="00B06331">
        <w:rPr>
          <w:rFonts w:ascii="Avenir Book" w:hAnsi="Avenir Book"/>
        </w:rPr>
        <w:t>This will incl</w:t>
      </w:r>
      <w:r w:rsidR="004D7165" w:rsidRPr="00B06331">
        <w:rPr>
          <w:rFonts w:ascii="Avenir Book" w:hAnsi="Avenir Book"/>
        </w:rPr>
        <w:t>ude the c</w:t>
      </w:r>
      <w:r w:rsidRPr="00B06331">
        <w:rPr>
          <w:rFonts w:ascii="Avenir Book" w:hAnsi="Avenir Book"/>
        </w:rPr>
        <w:t xml:space="preserve">onstruction of headquarter building for Weights and Measures Bureau and The Gambia Standards Bureau. Furthermore, the present pervasive culture of poor maintenance will be corrected through regular maintenance exercises which will also include infrastructure of cultural importance. </w:t>
      </w:r>
    </w:p>
    <w:p w:rsidR="003A5A07" w:rsidRPr="00B06331" w:rsidRDefault="003A5A07" w:rsidP="003A5A07">
      <w:pPr>
        <w:pStyle w:val="Heading2"/>
        <w:rPr>
          <w:rFonts w:ascii="Calibri" w:hAnsi="Calibri" w:cs="Calibri"/>
          <w:caps/>
          <w:sz w:val="22"/>
          <w:szCs w:val="22"/>
        </w:rPr>
      </w:pPr>
      <w:bookmarkStart w:id="144" w:name="_Toc488689344"/>
      <w:bookmarkStart w:id="145" w:name="_Toc492364788"/>
      <w:r w:rsidRPr="00B06331">
        <w:rPr>
          <w:rFonts w:ascii="Calibri" w:hAnsi="Calibri" w:cs="Calibri"/>
          <w:sz w:val="22"/>
          <w:szCs w:val="22"/>
        </w:rPr>
        <w:t>7.7 Tourism &amp; Culture</w:t>
      </w:r>
      <w:bookmarkEnd w:id="144"/>
      <w:bookmarkEnd w:id="145"/>
    </w:p>
    <w:p w:rsidR="003A5A07" w:rsidRPr="00B06331" w:rsidRDefault="003A5A07" w:rsidP="003A5A07">
      <w:pPr>
        <w:jc w:val="both"/>
        <w:rPr>
          <w:rFonts w:ascii="Avenir Book" w:eastAsia="Cambria" w:hAnsi="Avenir Book"/>
        </w:rPr>
      </w:pPr>
      <w:r w:rsidRPr="00B06331">
        <w:rPr>
          <w:rFonts w:ascii="Avenir Book" w:eastAsia="Cambria" w:hAnsi="Avenir Book"/>
        </w:rPr>
        <w:t>Tourism is a major contributor to the national economy accounting for 12% - 16% of Gross Domestic Product (GDP), supporting over 35,000 direct and 40,000 indirect jobs, and generating US$ 85 million in foreign exchange earnings. However, it faces competition from other destinations that offer superior quality infrastructure, a more diversified product mix and lower prices.</w:t>
      </w:r>
    </w:p>
    <w:p w:rsidR="003A5A07" w:rsidRPr="00B06331" w:rsidRDefault="003A5A07" w:rsidP="003A5A07">
      <w:pPr>
        <w:jc w:val="both"/>
        <w:rPr>
          <w:rFonts w:ascii="Avenir Book" w:eastAsia="Cambria" w:hAnsi="Avenir Book"/>
          <w:b/>
          <w:i/>
        </w:rPr>
      </w:pPr>
      <w:r w:rsidRPr="00B06331">
        <w:rPr>
          <w:rFonts w:ascii="Avenir Book" w:eastAsia="Cambria" w:hAnsi="Avenir Book"/>
        </w:rPr>
        <w:t xml:space="preserve">Over the plan period, Government’s goal for the industry is to make tourism: </w:t>
      </w:r>
      <w:r w:rsidRPr="00B06331">
        <w:rPr>
          <w:rFonts w:ascii="Avenir Book" w:eastAsia="Cambria" w:hAnsi="Avenir Book"/>
          <w:b/>
          <w:i/>
        </w:rPr>
        <w:t>a highly competitive and sustainable industry that is people- and culture centered, that celebrates our cultural heritage and contributes to socio-economic development.</w:t>
      </w:r>
    </w:p>
    <w:p w:rsidR="00047E40" w:rsidRPr="00B06331" w:rsidRDefault="009427E4" w:rsidP="003A5A07">
      <w:pPr>
        <w:jc w:val="both"/>
        <w:rPr>
          <w:rFonts w:ascii="Avenir Book" w:eastAsia="Cambria" w:hAnsi="Avenir Book"/>
          <w:b/>
        </w:rPr>
      </w:pPr>
      <w:r w:rsidRPr="00B06331">
        <w:rPr>
          <w:rFonts w:ascii="Avenir Book" w:eastAsia="Cambria" w:hAnsi="Avenir Book"/>
          <w:b/>
        </w:rPr>
        <w:t>Table 7.10</w:t>
      </w:r>
      <w:r w:rsidR="00047E40" w:rsidRPr="00B06331">
        <w:rPr>
          <w:rFonts w:ascii="Avenir Book" w:eastAsia="Cambria" w:hAnsi="Avenir Book"/>
          <w:b/>
        </w:rPr>
        <w:t xml:space="preserve">: Key Expected Results for Tourism </w:t>
      </w:r>
    </w:p>
    <w:tbl>
      <w:tblPr>
        <w:tblStyle w:val="TableGrid"/>
        <w:tblW w:w="0" w:type="auto"/>
        <w:tblLook w:val="04A0"/>
      </w:tblPr>
      <w:tblGrid>
        <w:gridCol w:w="6835"/>
      </w:tblGrid>
      <w:tr w:rsidR="00047E40" w:rsidRPr="00B06331" w:rsidTr="00047E40">
        <w:tc>
          <w:tcPr>
            <w:tcW w:w="6835" w:type="dxa"/>
            <w:shd w:val="clear" w:color="auto" w:fill="D9E2F3" w:themeFill="accent1" w:themeFillTint="33"/>
          </w:tcPr>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lastRenderedPageBreak/>
              <w:t>Increase Tourism value added as a proportion of GDP from ≥16 % to 25%</w:t>
            </w:r>
          </w:p>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t>Increase number of Tourist arrivals by source markets from 161,127 to 350,000</w:t>
            </w:r>
          </w:p>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t>Increase Direct employment for Gambians from 35,000 to 70,000</w:t>
            </w:r>
          </w:p>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t>Increase Foreign exchange earnings from $85 million</w:t>
            </w:r>
            <w:r w:rsidRPr="00B06331">
              <w:rPr>
                <w:rFonts w:ascii="Avenir Book" w:eastAsia="Cambria" w:hAnsi="Avenir Book"/>
              </w:rPr>
              <w:tab/>
              <w:t>to $170million</w:t>
            </w:r>
          </w:p>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t>Increase amount of funds allocated to promotion of culture from D4.2million to D10million</w:t>
            </w:r>
          </w:p>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t xml:space="preserve">Increase no. of upgraded cultural heritage sites from 1 to 3 </w:t>
            </w:r>
          </w:p>
          <w:p w:rsidR="00047E40" w:rsidRPr="00B06331" w:rsidRDefault="00047E40" w:rsidP="004143E3">
            <w:pPr>
              <w:numPr>
                <w:ilvl w:val="0"/>
                <w:numId w:val="56"/>
              </w:numPr>
              <w:spacing w:after="0"/>
              <w:jc w:val="both"/>
              <w:rPr>
                <w:rFonts w:ascii="Avenir Book" w:eastAsia="Cambria" w:hAnsi="Avenir Book"/>
              </w:rPr>
            </w:pPr>
            <w:r w:rsidRPr="00B06331">
              <w:rPr>
                <w:rFonts w:ascii="Avenir Book" w:eastAsia="Cambria" w:hAnsi="Avenir Book"/>
              </w:rPr>
              <w:t>Existence of a multi-purpose cultural center</w:t>
            </w:r>
            <w:r w:rsidRPr="00B06331">
              <w:rPr>
                <w:rFonts w:ascii="Avenir Book" w:eastAsia="Cambria" w:hAnsi="Avenir Book"/>
              </w:rPr>
              <w:tab/>
            </w:r>
          </w:p>
        </w:tc>
      </w:tr>
    </w:tbl>
    <w:p w:rsidR="003A5A07" w:rsidRPr="00B06331" w:rsidRDefault="003A5A07" w:rsidP="003A5A07">
      <w:pPr>
        <w:spacing w:after="0"/>
        <w:jc w:val="both"/>
        <w:rPr>
          <w:rFonts w:ascii="Avenir Book" w:hAnsi="Avenir Book"/>
          <w:caps/>
        </w:rPr>
      </w:pPr>
    </w:p>
    <w:p w:rsidR="003A5A07" w:rsidRPr="00B06331" w:rsidRDefault="003A5A07" w:rsidP="003A5A07">
      <w:pPr>
        <w:jc w:val="both"/>
        <w:rPr>
          <w:rFonts w:ascii="Avenir Book" w:hAnsi="Avenir Book"/>
        </w:rPr>
      </w:pPr>
      <w:r w:rsidRPr="00B06331">
        <w:rPr>
          <w:rFonts w:ascii="Avenir Book" w:hAnsi="Avenir Book"/>
          <w:caps/>
        </w:rPr>
        <w:t>T</w:t>
      </w:r>
      <w:r w:rsidRPr="00B06331">
        <w:rPr>
          <w:rFonts w:ascii="Avenir Book" w:hAnsi="Avenir Book"/>
        </w:rPr>
        <w:t>hestrategicpriorityhastwooutcomestherelatedinterventionsofwhicharedetailedbelow.</w:t>
      </w:r>
    </w:p>
    <w:p w:rsidR="003A5A07" w:rsidRPr="00B06331" w:rsidRDefault="00141D9F" w:rsidP="003A5A07">
      <w:pPr>
        <w:jc w:val="both"/>
        <w:rPr>
          <w:rFonts w:ascii="Avenir Book" w:hAnsi="Avenir Book"/>
          <w:b/>
          <w:i/>
          <w:color w:val="4472C4" w:themeColor="accent1"/>
        </w:rPr>
      </w:pPr>
      <w:r w:rsidRPr="00B06331">
        <w:rPr>
          <w:rFonts w:ascii="Avenir Book" w:hAnsi="Avenir Book"/>
          <w:b/>
          <w:i/>
          <w:color w:val="4472C4" w:themeColor="accent1"/>
        </w:rPr>
        <w:t>Outcome 6.1: Enhanced Contribution of Tourism for Economic Growth and Employment Opportunities</w:t>
      </w:r>
    </w:p>
    <w:p w:rsidR="003A5A07" w:rsidRPr="00B06331" w:rsidRDefault="003A5A07" w:rsidP="003A5A07">
      <w:pPr>
        <w:pStyle w:val="ListParagraph"/>
        <w:ind w:left="0"/>
        <w:jc w:val="both"/>
        <w:rPr>
          <w:rFonts w:ascii="Avenir Book" w:hAnsi="Avenir Book"/>
          <w:caps/>
          <w:szCs w:val="24"/>
        </w:rPr>
      </w:pPr>
      <w:r w:rsidRPr="00B06331">
        <w:rPr>
          <w:b/>
          <w:color w:val="000000"/>
        </w:rPr>
        <w:t>Develop a tourism database and information system for results based management.</w:t>
      </w:r>
      <w:r w:rsidR="00047E40" w:rsidRPr="00B06331">
        <w:rPr>
          <w:rFonts w:ascii="Avenir Book" w:hAnsi="Avenir Book"/>
          <w:szCs w:val="20"/>
        </w:rPr>
        <w:t>T</w:t>
      </w:r>
      <w:r w:rsidRPr="00B06331">
        <w:rPr>
          <w:rFonts w:ascii="Avenir Book" w:hAnsi="Avenir Book"/>
          <w:szCs w:val="20"/>
        </w:rPr>
        <w:t xml:space="preserve">o </w:t>
      </w:r>
      <w:r w:rsidR="009A4E4F" w:rsidRPr="00B06331">
        <w:rPr>
          <w:rFonts w:ascii="Avenir Book" w:hAnsi="Avenir Book"/>
          <w:szCs w:val="20"/>
        </w:rPr>
        <w:t>strengthen</w:t>
      </w:r>
      <w:r w:rsidRPr="00B06331">
        <w:rPr>
          <w:rFonts w:ascii="Avenir Book" w:hAnsi="Avenir Book"/>
          <w:szCs w:val="20"/>
        </w:rPr>
        <w:t>evidence</w:t>
      </w:r>
      <w:r w:rsidR="009A4E4F" w:rsidRPr="00B06331">
        <w:rPr>
          <w:rFonts w:ascii="Avenir Book" w:hAnsi="Avenir Book"/>
          <w:szCs w:val="20"/>
        </w:rPr>
        <w:t xml:space="preserve"> -</w:t>
      </w:r>
      <w:r w:rsidRPr="00B06331">
        <w:rPr>
          <w:rFonts w:ascii="Avenir Book" w:hAnsi="Avenir Book"/>
          <w:szCs w:val="20"/>
        </w:rPr>
        <w:t xml:space="preserve"> based planning and </w:t>
      </w:r>
      <w:r w:rsidR="004F7BCE" w:rsidRPr="00B06331">
        <w:rPr>
          <w:rFonts w:ascii="Avenir Book" w:hAnsi="Avenir Book"/>
          <w:szCs w:val="20"/>
        </w:rPr>
        <w:t>programming, Government</w:t>
      </w:r>
      <w:r w:rsidRPr="00B06331">
        <w:rPr>
          <w:rFonts w:ascii="Avenir Book" w:hAnsi="Avenir Book"/>
          <w:szCs w:val="20"/>
        </w:rPr>
        <w:t xml:space="preserve"> will develop a tourism databaseand information system that supports /is aligned to a Tourism Satellite Accounts (TSA) model.  This tourism information system will be developed with the collaboration and support of both local and international partners and when functional, will use varied means to generate data, analyze, </w:t>
      </w:r>
      <w:r w:rsidR="00047E40" w:rsidRPr="00B06331">
        <w:rPr>
          <w:rFonts w:ascii="Avenir Book" w:hAnsi="Avenir Book"/>
          <w:szCs w:val="20"/>
        </w:rPr>
        <w:t>store,</w:t>
      </w:r>
      <w:r w:rsidRPr="00B06331">
        <w:rPr>
          <w:rFonts w:ascii="Avenir Book" w:hAnsi="Avenir Book"/>
          <w:szCs w:val="20"/>
        </w:rPr>
        <w:t xml:space="preserve"> and retrieve it for policy formulation, strategic planning, as well as for monitoring and evaluation of the tourism interventions. </w:t>
      </w:r>
    </w:p>
    <w:p w:rsidR="003A5A07" w:rsidRPr="00B06331" w:rsidRDefault="003A5A07" w:rsidP="003A5A07">
      <w:pPr>
        <w:pStyle w:val="ListParagraph"/>
        <w:ind w:left="0"/>
        <w:jc w:val="both"/>
        <w:rPr>
          <w:rFonts w:ascii="Avenir Book" w:hAnsi="Avenir Book"/>
          <w:b/>
          <w:szCs w:val="20"/>
        </w:rPr>
      </w:pPr>
    </w:p>
    <w:p w:rsidR="003A5A07" w:rsidRPr="00B06331" w:rsidRDefault="003A5A07" w:rsidP="003A5A07">
      <w:pPr>
        <w:pStyle w:val="ListParagraph"/>
        <w:ind w:left="0"/>
        <w:jc w:val="both"/>
        <w:rPr>
          <w:rFonts w:ascii="Avenir Book" w:hAnsi="Avenir Book"/>
          <w:szCs w:val="20"/>
        </w:rPr>
      </w:pPr>
      <w:r w:rsidRPr="00B06331">
        <w:rPr>
          <w:rFonts w:ascii="Avenir Book" w:hAnsi="Avenir Book"/>
          <w:b/>
          <w:szCs w:val="20"/>
        </w:rPr>
        <w:t>Undertake Policy Revision to drive wide ranging reforms aimed at enhanced competitiveness.</w:t>
      </w:r>
      <w:r w:rsidRPr="00B06331">
        <w:rPr>
          <w:rFonts w:ascii="Avenir Book" w:hAnsi="Avenir Book"/>
          <w:szCs w:val="20"/>
        </w:rPr>
        <w:t xml:space="preserve"> The 1996 tourism policy is no longer fully responsive to the aspirations of its stakeholders and particularly lacks the means to sustain the gains registered as well as resolve the supply and demand side challenges that continually stifles Tourism’s growth.  The policy will therefore be revised to create an enabling environment for The Gambia’s increased competitiveness as a tourist destination.  Specifically, the policy revision will address issues relating to (i) low destination recognition; (ii) poor quality; (iii) inadequate product diversificat</w:t>
      </w:r>
      <w:r w:rsidR="0073684C" w:rsidRPr="00B06331">
        <w:rPr>
          <w:rFonts w:ascii="Avenir Book" w:hAnsi="Avenir Book"/>
          <w:szCs w:val="20"/>
        </w:rPr>
        <w:t>ion (iv) limited air access;</w:t>
      </w:r>
      <w:r w:rsidRPr="00B06331">
        <w:rPr>
          <w:rFonts w:ascii="Avenir Book" w:hAnsi="Avenir Book"/>
          <w:szCs w:val="20"/>
        </w:rPr>
        <w:t xml:space="preserve"> (v) weak linkages between agriculture and tourism</w:t>
      </w:r>
      <w:r w:rsidR="0073684C" w:rsidRPr="00B06331">
        <w:rPr>
          <w:rFonts w:ascii="Avenir Book" w:hAnsi="Avenir Book"/>
          <w:szCs w:val="20"/>
        </w:rPr>
        <w:t>; (vi) environment and waste management issues; and (vii) tourism security.</w:t>
      </w:r>
    </w:p>
    <w:p w:rsidR="003A5A07" w:rsidRPr="00B06331" w:rsidRDefault="003A5A07" w:rsidP="003A5A07">
      <w:pPr>
        <w:pStyle w:val="ListParagraph"/>
        <w:ind w:left="0"/>
        <w:jc w:val="both"/>
        <w:rPr>
          <w:rFonts w:ascii="Avenir Book" w:hAnsi="Avenir Book"/>
          <w:szCs w:val="20"/>
        </w:rPr>
      </w:pPr>
    </w:p>
    <w:p w:rsidR="003A5A07" w:rsidRPr="00B06331" w:rsidRDefault="003A5A07" w:rsidP="003A5A07">
      <w:pPr>
        <w:pStyle w:val="ListParagraph"/>
        <w:ind w:left="0"/>
        <w:jc w:val="both"/>
        <w:rPr>
          <w:rFonts w:ascii="Avenir Book" w:hAnsi="Avenir Book"/>
          <w:szCs w:val="20"/>
        </w:rPr>
      </w:pPr>
      <w:r w:rsidRPr="00B06331">
        <w:rPr>
          <w:rFonts w:ascii="Avenir Book" w:hAnsi="Avenir Book"/>
          <w:szCs w:val="20"/>
        </w:rPr>
        <w:t>Government will complement the policy revision with interventions that fully or partiall</w:t>
      </w:r>
      <w:r w:rsidR="00E87B6A" w:rsidRPr="00B06331">
        <w:rPr>
          <w:rFonts w:ascii="Avenir Book" w:hAnsi="Avenir Book"/>
          <w:szCs w:val="20"/>
        </w:rPr>
        <w:t xml:space="preserve">y operationalizes </w:t>
      </w:r>
      <w:r w:rsidRPr="00B06331">
        <w:rPr>
          <w:rFonts w:ascii="Avenir Book" w:hAnsi="Avenir Book"/>
          <w:szCs w:val="20"/>
        </w:rPr>
        <w:t xml:space="preserve">the revised policy (e.g., marketing to increase destination recognition and attractiveness). </w:t>
      </w:r>
      <w:r w:rsidR="0073684C" w:rsidRPr="00B06331">
        <w:rPr>
          <w:rFonts w:ascii="Avenir Book" w:hAnsi="Avenir Book"/>
          <w:szCs w:val="20"/>
        </w:rPr>
        <w:t xml:space="preserve">Government will also partner with other stakeholders to address the coastal erosion affecting the TDA, waste management as well as the conservation of bio-diversity that serve as tourist attractions. </w:t>
      </w:r>
      <w:r w:rsidRPr="00B06331">
        <w:rPr>
          <w:rFonts w:ascii="Avenir Book" w:hAnsi="Avenir Book"/>
          <w:szCs w:val="20"/>
        </w:rPr>
        <w:t xml:space="preserve">For issues outside the scope of Government mandate, the Private sector will be sensitized on the existing incentives and benefits associated with intervening on a </w:t>
      </w:r>
      <w:r w:rsidR="00141D9F" w:rsidRPr="00B06331">
        <w:rPr>
          <w:rFonts w:ascii="Avenir Book" w:hAnsi="Avenir Book"/>
          <w:szCs w:val="20"/>
        </w:rPr>
        <w:t>segment</w:t>
      </w:r>
      <w:r w:rsidRPr="00B06331">
        <w:rPr>
          <w:rFonts w:ascii="Avenir Book" w:hAnsi="Avenir Book"/>
          <w:szCs w:val="20"/>
        </w:rPr>
        <w:t xml:space="preserve"> of the industry and encouraged to take it up (e.g., limited air access). Considering that the solution to many of the tourism </w:t>
      </w:r>
      <w:r w:rsidR="00141D9F" w:rsidRPr="00B06331">
        <w:rPr>
          <w:rFonts w:ascii="Avenir Book" w:hAnsi="Avenir Book"/>
          <w:szCs w:val="20"/>
        </w:rPr>
        <w:t>specific challenges</w:t>
      </w:r>
      <w:r w:rsidRPr="00B06331">
        <w:rPr>
          <w:rFonts w:ascii="Avenir Book" w:hAnsi="Avenir Book"/>
          <w:szCs w:val="20"/>
        </w:rPr>
        <w:t xml:space="preserve"> lies outside the scope of the sector, detailed reform issues that will be catered for in the revised policy include  inter sectoral coordination and collaboration to influence:</w:t>
      </w:r>
    </w:p>
    <w:p w:rsidR="003A5A07" w:rsidRPr="00B06331" w:rsidRDefault="003A5A07" w:rsidP="004143E3">
      <w:pPr>
        <w:pStyle w:val="ListParagraph"/>
        <w:numPr>
          <w:ilvl w:val="0"/>
          <w:numId w:val="57"/>
        </w:numPr>
        <w:jc w:val="both"/>
        <w:rPr>
          <w:rFonts w:ascii="Avenir Book" w:hAnsi="Avenir Book"/>
          <w:szCs w:val="20"/>
        </w:rPr>
      </w:pPr>
      <w:r w:rsidRPr="00B06331">
        <w:rPr>
          <w:rFonts w:ascii="Avenir Book" w:hAnsi="Avenir Book"/>
          <w:szCs w:val="20"/>
        </w:rPr>
        <w:t xml:space="preserve">a tourism sensitive macroeconomics (taxation and credit); </w:t>
      </w:r>
    </w:p>
    <w:p w:rsidR="003A5A07" w:rsidRPr="00B06331" w:rsidRDefault="003A5A07" w:rsidP="004143E3">
      <w:pPr>
        <w:pStyle w:val="ListParagraph"/>
        <w:numPr>
          <w:ilvl w:val="0"/>
          <w:numId w:val="57"/>
        </w:numPr>
        <w:jc w:val="both"/>
        <w:rPr>
          <w:rFonts w:ascii="Avenir Book" w:hAnsi="Avenir Book"/>
          <w:szCs w:val="20"/>
        </w:rPr>
      </w:pPr>
      <w:r w:rsidRPr="00B06331">
        <w:rPr>
          <w:rFonts w:ascii="Avenir Book" w:hAnsi="Avenir Book"/>
          <w:szCs w:val="20"/>
        </w:rPr>
        <w:lastRenderedPageBreak/>
        <w:t xml:space="preserve">Unfulfilled demand and economic opportunities concerning tourism and horticulture; tourism and poultry; tourism and community based philanthropy and fund raising; tourism and cross border trading communities; tourism and wildlife; tourism and crafts; </w:t>
      </w:r>
    </w:p>
    <w:p w:rsidR="003A5A07" w:rsidRPr="00B06331" w:rsidRDefault="003A5A07" w:rsidP="004143E3">
      <w:pPr>
        <w:pStyle w:val="ListParagraph"/>
        <w:numPr>
          <w:ilvl w:val="0"/>
          <w:numId w:val="57"/>
        </w:numPr>
        <w:jc w:val="both"/>
        <w:rPr>
          <w:rFonts w:ascii="Avenir Book" w:hAnsi="Avenir Book"/>
          <w:szCs w:val="20"/>
        </w:rPr>
      </w:pPr>
      <w:r w:rsidRPr="00B06331">
        <w:rPr>
          <w:rFonts w:ascii="Avenir Book" w:hAnsi="Avenir Book"/>
          <w:szCs w:val="20"/>
        </w:rPr>
        <w:t xml:space="preserve">safety of tourists and security of tourism related installations; </w:t>
      </w:r>
    </w:p>
    <w:p w:rsidR="003A5A07" w:rsidRPr="00B06331" w:rsidRDefault="003A5A07" w:rsidP="004143E3">
      <w:pPr>
        <w:pStyle w:val="ListParagraph"/>
        <w:numPr>
          <w:ilvl w:val="0"/>
          <w:numId w:val="57"/>
        </w:numPr>
        <w:jc w:val="both"/>
        <w:rPr>
          <w:rFonts w:ascii="Avenir Book" w:hAnsi="Avenir Book"/>
          <w:szCs w:val="20"/>
        </w:rPr>
      </w:pPr>
      <w:r w:rsidRPr="00B06331">
        <w:rPr>
          <w:rFonts w:ascii="Avenir Book" w:hAnsi="Avenir Book"/>
          <w:szCs w:val="20"/>
        </w:rPr>
        <w:t xml:space="preserve">provision of energy, pipe borne water, </w:t>
      </w:r>
      <w:r w:rsidR="00141D9F" w:rsidRPr="00B06331">
        <w:rPr>
          <w:rFonts w:ascii="Avenir Book" w:hAnsi="Avenir Book"/>
          <w:szCs w:val="20"/>
        </w:rPr>
        <w:t>telecommunications,</w:t>
      </w:r>
      <w:r w:rsidRPr="00B06331">
        <w:rPr>
          <w:rFonts w:ascii="Avenir Book" w:hAnsi="Avenir Book"/>
          <w:szCs w:val="20"/>
        </w:rPr>
        <w:t xml:space="preserve"> and other infrastructure </w:t>
      </w:r>
    </w:p>
    <w:p w:rsidR="003A5A07" w:rsidRPr="00B06331" w:rsidRDefault="003A5A07" w:rsidP="004143E3">
      <w:pPr>
        <w:pStyle w:val="ListParagraph"/>
        <w:numPr>
          <w:ilvl w:val="0"/>
          <w:numId w:val="57"/>
        </w:numPr>
        <w:jc w:val="both"/>
        <w:rPr>
          <w:rFonts w:ascii="Avenir Book" w:hAnsi="Avenir Book"/>
          <w:szCs w:val="20"/>
        </w:rPr>
      </w:pPr>
      <w:r w:rsidRPr="00B06331">
        <w:rPr>
          <w:rFonts w:ascii="Avenir Book" w:hAnsi="Avenir Book"/>
          <w:szCs w:val="20"/>
        </w:rPr>
        <w:t xml:space="preserve">transportation especially the ferry service to the North Bank Region where the well sought after interests of Jufureh, Albreda, Kunta Kinteh Island, Fort Bullen, the World Heritage Wassu Stone Circles </w:t>
      </w:r>
      <w:r w:rsidR="00CC54B7" w:rsidRPr="00B06331">
        <w:rPr>
          <w:rFonts w:ascii="Avenir Book" w:hAnsi="Avenir Book"/>
          <w:szCs w:val="20"/>
        </w:rPr>
        <w:t>etc.</w:t>
      </w:r>
      <w:r w:rsidRPr="00B06331">
        <w:rPr>
          <w:rFonts w:ascii="Avenir Book" w:hAnsi="Avenir Book"/>
          <w:szCs w:val="20"/>
        </w:rPr>
        <w:t xml:space="preserve"> and other attractions are located; as well as </w:t>
      </w:r>
    </w:p>
    <w:p w:rsidR="00F17737" w:rsidRPr="00B06331" w:rsidRDefault="00CC54B7" w:rsidP="004143E3">
      <w:pPr>
        <w:pStyle w:val="ListParagraph"/>
        <w:numPr>
          <w:ilvl w:val="0"/>
          <w:numId w:val="57"/>
        </w:numPr>
        <w:jc w:val="both"/>
        <w:rPr>
          <w:rFonts w:ascii="Avenir Book" w:hAnsi="Avenir Book"/>
          <w:szCs w:val="20"/>
        </w:rPr>
      </w:pPr>
      <w:r w:rsidRPr="00B06331">
        <w:rPr>
          <w:rFonts w:ascii="Avenir Book" w:hAnsi="Avenir Book"/>
          <w:szCs w:val="20"/>
        </w:rPr>
        <w:t>The</w:t>
      </w:r>
      <w:r w:rsidR="003A5A07" w:rsidRPr="00B06331">
        <w:rPr>
          <w:rFonts w:ascii="Avenir Book" w:hAnsi="Avenir Book"/>
          <w:szCs w:val="20"/>
        </w:rPr>
        <w:t xml:space="preserve"> optimal use of ICT to drive the e-tourism agenda including an e-visa system and visa upon arrival policy to facilitate and ease travel to the Gambia.</w:t>
      </w:r>
    </w:p>
    <w:p w:rsidR="00F17737" w:rsidRPr="00B06331" w:rsidRDefault="00F17737" w:rsidP="00F17737">
      <w:pPr>
        <w:jc w:val="both"/>
        <w:rPr>
          <w:rFonts w:ascii="Avenir Book" w:hAnsi="Avenir Book"/>
          <w:szCs w:val="20"/>
        </w:rPr>
      </w:pPr>
      <w:r w:rsidRPr="00B06331">
        <w:rPr>
          <w:rFonts w:ascii="Avenir Book" w:hAnsi="Avenir Book"/>
          <w:szCs w:val="20"/>
        </w:rPr>
        <w:t xml:space="preserve">Given that marketing is an expensive venture, government will partner with private operators to make sure that the cost is shared for the mutual benefit of all parties. A comprehensive rolling plan for marketing that ranges over the short, </w:t>
      </w:r>
      <w:r w:rsidR="009A4E4F" w:rsidRPr="00B06331">
        <w:rPr>
          <w:rFonts w:ascii="Avenir Book" w:hAnsi="Avenir Book"/>
          <w:szCs w:val="20"/>
        </w:rPr>
        <w:t>medium,</w:t>
      </w:r>
      <w:r w:rsidRPr="00B06331">
        <w:rPr>
          <w:rFonts w:ascii="Avenir Book" w:hAnsi="Avenir Book"/>
          <w:szCs w:val="20"/>
        </w:rPr>
        <w:t xml:space="preserve"> and long term will also be formulated and implemented for effectiveness and efficiency in marketing destination Gambia.</w:t>
      </w:r>
    </w:p>
    <w:p w:rsidR="003A5A07" w:rsidRPr="00B06331" w:rsidRDefault="00F17737" w:rsidP="00F17737">
      <w:pPr>
        <w:jc w:val="both"/>
        <w:rPr>
          <w:rFonts w:ascii="Avenir Book" w:hAnsi="Avenir Book"/>
          <w:szCs w:val="20"/>
        </w:rPr>
      </w:pPr>
      <w:r w:rsidRPr="00B06331">
        <w:rPr>
          <w:rFonts w:ascii="Avenir Book" w:hAnsi="Avenir Book"/>
          <w:szCs w:val="20"/>
        </w:rPr>
        <w:t>Government will also revitalize the public-private sector product development committee with a robust mandate to revisit the tourism product portfolio and roll out project proposals for donor funding of especially star products while at the same time revamping tourism products that are deemed ready for change.</w:t>
      </w:r>
    </w:p>
    <w:p w:rsidR="00E87B6A" w:rsidRPr="00B06331" w:rsidRDefault="003A5A07" w:rsidP="003A5A07">
      <w:pPr>
        <w:pStyle w:val="Default"/>
        <w:jc w:val="both"/>
        <w:rPr>
          <w:rFonts w:ascii="Avenir Book" w:hAnsi="Avenir Book"/>
          <w:sz w:val="22"/>
          <w:szCs w:val="20"/>
        </w:rPr>
      </w:pPr>
      <w:r w:rsidRPr="00B06331">
        <w:rPr>
          <w:rFonts w:ascii="Avenir Book" w:hAnsi="Avenir Book"/>
          <w:b/>
          <w:sz w:val="22"/>
          <w:szCs w:val="20"/>
        </w:rPr>
        <w:t>Strengthen quality service delivery</w:t>
      </w:r>
      <w:r w:rsidRPr="00B06331">
        <w:rPr>
          <w:rFonts w:ascii="Avenir Book" w:hAnsi="Avenir Book"/>
          <w:sz w:val="22"/>
          <w:szCs w:val="20"/>
        </w:rPr>
        <w:t xml:space="preserve">. Although hoteliers and other service providers play an equally important role in quality service delivery, Government will during the NDP period contribute its quota by ensuring a steady supply of qualified human resource for the industry. Government recognizes that for marketing to be effective, it must be preceded by quality improvements. </w:t>
      </w:r>
      <w:r w:rsidR="00F17737" w:rsidRPr="00B06331">
        <w:rPr>
          <w:rFonts w:ascii="Avenir Book" w:hAnsi="Avenir Book"/>
          <w:sz w:val="22"/>
          <w:szCs w:val="20"/>
        </w:rPr>
        <w:t xml:space="preserve">Remedial measures will include training and refresher courses across the board on quality service delivery, more budgetary allocations to the GTHI to support its evolution into a center of excellence that produces high caliber professionals, including the GT Board Quality Control personnel. </w:t>
      </w:r>
      <w:r w:rsidR="009A4E4F" w:rsidRPr="00B06331">
        <w:rPr>
          <w:rFonts w:ascii="Avenir Book" w:hAnsi="Avenir Book"/>
          <w:sz w:val="22"/>
          <w:szCs w:val="20"/>
        </w:rPr>
        <w:t>Government</w:t>
      </w:r>
      <w:r w:rsidRPr="00B06331">
        <w:rPr>
          <w:rFonts w:ascii="Avenir Book" w:hAnsi="Avenir Book"/>
          <w:sz w:val="22"/>
          <w:szCs w:val="20"/>
        </w:rPr>
        <w:t xml:space="preserve">will thus strengthen the curriculum of the Gambia Tourism Hospitality Institute (GTHI) to emphasize quality while also expanding the scope of the curriculum to cater for the diversification agenda in new niche products such as conference tourism, Islamic tourism, eco-tourism and so forth. </w:t>
      </w:r>
    </w:p>
    <w:p w:rsidR="00E87B6A" w:rsidRPr="00B06331" w:rsidRDefault="00E87B6A" w:rsidP="003A5A07">
      <w:pPr>
        <w:pStyle w:val="Default"/>
        <w:jc w:val="both"/>
        <w:rPr>
          <w:rFonts w:ascii="Avenir Book" w:hAnsi="Avenir Book"/>
          <w:sz w:val="22"/>
          <w:szCs w:val="20"/>
        </w:rPr>
      </w:pPr>
    </w:p>
    <w:p w:rsidR="003A5A07" w:rsidRPr="00B06331" w:rsidRDefault="003A5A07" w:rsidP="003A5A07">
      <w:pPr>
        <w:pStyle w:val="Default"/>
        <w:jc w:val="both"/>
        <w:rPr>
          <w:rFonts w:ascii="Avenir Book" w:hAnsi="Avenir Book"/>
          <w:sz w:val="22"/>
          <w:szCs w:val="20"/>
        </w:rPr>
      </w:pPr>
      <w:r w:rsidRPr="00B06331">
        <w:rPr>
          <w:rFonts w:ascii="Avenir Book" w:hAnsi="Avenir Book"/>
          <w:sz w:val="22"/>
          <w:szCs w:val="20"/>
        </w:rPr>
        <w:t xml:space="preserve">GHTI will undertake proactive measures to attract students from the rural areas who are expected to return to their home regions after graduation to serve in the rural based tourism facilities. This is considered a short to medium term measure while the Ministry of Tourism collaborates with the Ministry of Education to provide vocational training facilities in rural Gambia as a means of capacity building for staff and training to ensure acceptable levels of service and maintenance of rural tourism facilities. </w:t>
      </w:r>
    </w:p>
    <w:p w:rsidR="00A4700E" w:rsidRPr="00B06331" w:rsidRDefault="00A4700E" w:rsidP="003A5A07">
      <w:pPr>
        <w:pStyle w:val="Default"/>
        <w:jc w:val="both"/>
        <w:rPr>
          <w:rFonts w:ascii="Avenir Book" w:hAnsi="Avenir Book"/>
          <w:sz w:val="22"/>
          <w:szCs w:val="20"/>
        </w:rPr>
      </w:pPr>
    </w:p>
    <w:p w:rsidR="00A4700E" w:rsidRPr="00B06331" w:rsidRDefault="00A4700E" w:rsidP="003A5A07">
      <w:pPr>
        <w:pStyle w:val="Default"/>
        <w:jc w:val="both"/>
        <w:rPr>
          <w:rFonts w:ascii="Avenir Book" w:hAnsi="Avenir Book"/>
          <w:sz w:val="22"/>
          <w:szCs w:val="20"/>
        </w:rPr>
      </w:pPr>
      <w:r w:rsidRPr="00B06331">
        <w:rPr>
          <w:rFonts w:ascii="Avenir Book" w:hAnsi="Avenir Book"/>
          <w:b/>
          <w:sz w:val="22"/>
          <w:szCs w:val="20"/>
        </w:rPr>
        <w:t>Revamp and strengthen Tourism security</w:t>
      </w:r>
      <w:r w:rsidRPr="00B06331">
        <w:rPr>
          <w:rFonts w:ascii="Avenir Book" w:hAnsi="Avenir Book"/>
          <w:sz w:val="22"/>
          <w:szCs w:val="20"/>
        </w:rPr>
        <w:t xml:space="preserve">: </w:t>
      </w:r>
      <w:r w:rsidR="009A4E4F" w:rsidRPr="00B06331">
        <w:rPr>
          <w:rFonts w:ascii="Avenir Book" w:hAnsi="Avenir Book"/>
          <w:sz w:val="22"/>
          <w:szCs w:val="20"/>
        </w:rPr>
        <w:t>given its important role, government will also adopt a comprehensive security programme which addresses airport security, “bomsters” and also strengthen the skills of the tourism security unit of The Gambia Police Force, with a view to making them better serve all tourism stakeholders.</w:t>
      </w:r>
    </w:p>
    <w:p w:rsidR="003A5A07" w:rsidRPr="00B06331" w:rsidRDefault="003A5A07" w:rsidP="003A5A07">
      <w:pPr>
        <w:pStyle w:val="ListParagraph"/>
        <w:jc w:val="both"/>
        <w:rPr>
          <w:rFonts w:ascii="Avenir Book" w:hAnsi="Avenir Book" w:cs="Arial"/>
          <w:color w:val="000000"/>
          <w:sz w:val="24"/>
          <w:szCs w:val="20"/>
        </w:rPr>
      </w:pPr>
    </w:p>
    <w:p w:rsidR="003A5A07" w:rsidRPr="00B06331" w:rsidRDefault="003A5A07" w:rsidP="003A5A07">
      <w:pPr>
        <w:pStyle w:val="ListParagraph"/>
        <w:ind w:left="0"/>
        <w:jc w:val="both"/>
        <w:rPr>
          <w:rFonts w:ascii="Avenir Book" w:hAnsi="Avenir Book"/>
          <w:caps/>
          <w:szCs w:val="24"/>
        </w:rPr>
      </w:pPr>
      <w:r w:rsidRPr="00B06331">
        <w:rPr>
          <w:rFonts w:ascii="Avenir Book" w:hAnsi="Avenir Book"/>
          <w:b/>
          <w:szCs w:val="20"/>
        </w:rPr>
        <w:lastRenderedPageBreak/>
        <w:t>Build the Capacity of GTB Staff on Hotel Classification, Standards, and Quality Services.</w:t>
      </w:r>
      <w:r w:rsidRPr="00B06331">
        <w:rPr>
          <w:rFonts w:ascii="Avenir Book" w:hAnsi="Avenir Book"/>
          <w:szCs w:val="20"/>
        </w:rPr>
        <w:t xml:space="preserve">To ensure effective classification of hotels, and the proper regulation of standards and quality services, Government will provide training to the GTB staff on these areas. The training will focus on standards as it relates to the traditional sea, sand and beach category as well as to emerging, non- traditional categories such as Islamic tourism, cultural tourism and eco-tourism.  </w:t>
      </w:r>
    </w:p>
    <w:p w:rsidR="003A5A07" w:rsidRPr="00B06331" w:rsidRDefault="003A5A07" w:rsidP="003A5A07">
      <w:pPr>
        <w:pStyle w:val="ListParagraph"/>
        <w:ind w:left="0"/>
        <w:jc w:val="both"/>
        <w:rPr>
          <w:rFonts w:ascii="Avenir Book" w:hAnsi="Avenir Book"/>
          <w:caps/>
          <w:szCs w:val="24"/>
        </w:rPr>
      </w:pPr>
    </w:p>
    <w:p w:rsidR="00E87B6A" w:rsidRPr="00B06331" w:rsidRDefault="003A5A07" w:rsidP="003A5A07">
      <w:pPr>
        <w:pStyle w:val="ListParagraph"/>
        <w:ind w:left="0"/>
        <w:jc w:val="both"/>
        <w:rPr>
          <w:rFonts w:ascii="Avenir Book" w:hAnsi="Avenir Book"/>
          <w:szCs w:val="20"/>
        </w:rPr>
      </w:pPr>
      <w:r w:rsidRPr="00B06331">
        <w:rPr>
          <w:rFonts w:ascii="Avenir Book" w:hAnsi="Avenir Book"/>
          <w:b/>
          <w:szCs w:val="20"/>
        </w:rPr>
        <w:t>Demarcate and lease out four Tourism Development Areas (TDAs) to promote product diversification and inclusive tourism</w:t>
      </w:r>
      <w:r w:rsidRPr="00B06331">
        <w:rPr>
          <w:rFonts w:ascii="Avenir Book" w:hAnsi="Avenir Book"/>
          <w:szCs w:val="20"/>
        </w:rPr>
        <w:t xml:space="preserve">. Government will use inter sector collaboration to demarcate and lease out four Tourism Development Areas (TDAs), provide amenities within these areasand thus promote inclusive tourism. It is envisaged that with the establishment of TDAs in some rural areas and the simultaneous/prior provision of the right infrastructure (roads, electricity, telecommunications and pipe borne water) investors will be motivated to develop facilities in them, create employment for the communities, contribute to rural development and foster linkages between tourism and agriculture.  This measure will decongest the industry from its Banjul – Bijilo coastal strip where nearly 90% of the major hotels are located and where the major entertainment occurs. This demarcation process will mark a significant milestone in Government’s desire for the decentralization of tourism.  </w:t>
      </w:r>
    </w:p>
    <w:p w:rsidR="00E87B6A" w:rsidRPr="00B06331" w:rsidRDefault="00E87B6A" w:rsidP="003A5A07">
      <w:pPr>
        <w:pStyle w:val="ListParagraph"/>
        <w:ind w:left="0"/>
        <w:jc w:val="both"/>
        <w:rPr>
          <w:rFonts w:ascii="Avenir Book" w:hAnsi="Avenir Book"/>
          <w:szCs w:val="20"/>
        </w:rPr>
      </w:pPr>
    </w:p>
    <w:p w:rsidR="003A5A07" w:rsidRPr="00B06331" w:rsidRDefault="009A4E4F" w:rsidP="003A5A07">
      <w:pPr>
        <w:pStyle w:val="ListParagraph"/>
        <w:ind w:left="0"/>
        <w:jc w:val="both"/>
        <w:rPr>
          <w:rFonts w:ascii="Avenir Book" w:hAnsi="Avenir Book"/>
          <w:szCs w:val="20"/>
        </w:rPr>
      </w:pPr>
      <w:r w:rsidRPr="00B06331">
        <w:rPr>
          <w:rFonts w:ascii="Avenir Book" w:hAnsi="Avenir Book"/>
          <w:szCs w:val="20"/>
        </w:rPr>
        <w:t>To cater for both repeat tourists, diaspora, as well as new visitors, government will organize and facilitate festivals and events that have the potential to spice up the tourism product. These will be held in all TDAs</w:t>
      </w:r>
      <w:r w:rsidR="00AF6A3C" w:rsidRPr="00B06331">
        <w:rPr>
          <w:rFonts w:ascii="Avenir Book" w:hAnsi="Avenir Book"/>
          <w:szCs w:val="20"/>
        </w:rPr>
        <w:t xml:space="preserve"> and future a strong infusion of cultural manifestations to make the destination not only interesting but exciting. To </w:t>
      </w:r>
      <w:r w:rsidR="00CC54B7" w:rsidRPr="00B06331">
        <w:rPr>
          <w:rFonts w:ascii="Avenir Book" w:hAnsi="Avenir Book"/>
          <w:szCs w:val="20"/>
        </w:rPr>
        <w:t>cater</w:t>
      </w:r>
      <w:r w:rsidR="00AF6A3C" w:rsidRPr="00B06331">
        <w:rPr>
          <w:rFonts w:ascii="Avenir Book" w:hAnsi="Avenir Book"/>
          <w:szCs w:val="20"/>
        </w:rPr>
        <w:t xml:space="preserve"> for changing life styles and ensure that visitors stay in touch, government will strive to make internet connectivity reliable while also fostering inter sectoral partnerships to ensure that all work in unison for the provision of tourism supportive infrastructure.</w:t>
      </w:r>
    </w:p>
    <w:p w:rsidR="003A5A07" w:rsidRPr="00B06331" w:rsidRDefault="003A5A07" w:rsidP="003A5A07">
      <w:pPr>
        <w:pStyle w:val="ListParagraph"/>
        <w:ind w:left="0"/>
        <w:jc w:val="both"/>
        <w:rPr>
          <w:rFonts w:ascii="Avenir Book" w:hAnsi="Avenir Book"/>
          <w:b/>
          <w:szCs w:val="20"/>
        </w:rPr>
      </w:pPr>
    </w:p>
    <w:p w:rsidR="003A5A07" w:rsidRPr="00B06331" w:rsidRDefault="003A5A07" w:rsidP="003A5A07">
      <w:pPr>
        <w:pStyle w:val="ListParagraph"/>
        <w:ind w:left="0"/>
        <w:jc w:val="both"/>
        <w:rPr>
          <w:rFonts w:ascii="Avenir Book" w:hAnsi="Avenir Book"/>
          <w:szCs w:val="20"/>
        </w:rPr>
      </w:pPr>
      <w:r w:rsidRPr="00B06331">
        <w:rPr>
          <w:rFonts w:ascii="Avenir Book" w:hAnsi="Avenir Book"/>
          <w:b/>
          <w:szCs w:val="20"/>
        </w:rPr>
        <w:t>Increase Recognition/Attractiveness of Destination Gambia through Marketing.</w:t>
      </w:r>
      <w:r w:rsidRPr="00B06331">
        <w:rPr>
          <w:rFonts w:ascii="Avenir Book" w:hAnsi="Avenir Book"/>
          <w:szCs w:val="20"/>
        </w:rPr>
        <w:t xml:space="preserve"> In the drive to increase arrival numbers to 350,000 during the plan period, Government will undertake vibrant marketing campaigns that targets traditional and non- traditional markets. In traditional markets, the emphasis will be on </w:t>
      </w:r>
      <w:r w:rsidR="004E6604" w:rsidRPr="00B06331">
        <w:rPr>
          <w:rFonts w:ascii="Avenir Book" w:hAnsi="Avenir Book"/>
          <w:szCs w:val="20"/>
        </w:rPr>
        <w:t>mid-range</w:t>
      </w:r>
      <w:r w:rsidRPr="00B06331">
        <w:rPr>
          <w:rFonts w:ascii="Avenir Book" w:hAnsi="Avenir Book"/>
          <w:szCs w:val="20"/>
        </w:rPr>
        <w:t xml:space="preserve"> packages, high end packages, eco-tourism, and cultural tourism. In this market, Government will undertake additional efforts to not only increase arrivals within the normal tourist/high season, but to also extend the season to include the summer period and thus beat off competition from southern European destinations which offer operators higher profit margins due to relatively shor</w:t>
      </w:r>
      <w:r w:rsidR="00E87B6A" w:rsidRPr="00B06331">
        <w:rPr>
          <w:rFonts w:ascii="Avenir Book" w:hAnsi="Avenir Book"/>
          <w:szCs w:val="20"/>
        </w:rPr>
        <w:t>t flight hauls. O</w:t>
      </w:r>
      <w:r w:rsidRPr="00B06331">
        <w:rPr>
          <w:rFonts w:ascii="Avenir Book" w:hAnsi="Avenir Book"/>
          <w:szCs w:val="20"/>
        </w:rPr>
        <w:t>ne key selling poin</w:t>
      </w:r>
      <w:r w:rsidR="00E87B6A" w:rsidRPr="00B06331">
        <w:rPr>
          <w:rFonts w:ascii="Avenir Book" w:hAnsi="Avenir Book"/>
          <w:szCs w:val="20"/>
        </w:rPr>
        <w:t xml:space="preserve">t </w:t>
      </w:r>
      <w:r w:rsidRPr="00B06331">
        <w:rPr>
          <w:rFonts w:ascii="Avenir Book" w:hAnsi="Avenir Book"/>
          <w:szCs w:val="20"/>
        </w:rPr>
        <w:t xml:space="preserve">will be the promotion of the diverse range of tourism products. </w:t>
      </w:r>
    </w:p>
    <w:p w:rsidR="003A5A07" w:rsidRPr="00B06331" w:rsidRDefault="003A5A07" w:rsidP="003A5A07">
      <w:pPr>
        <w:pStyle w:val="ListParagraph"/>
        <w:ind w:left="0"/>
        <w:jc w:val="both"/>
        <w:rPr>
          <w:rFonts w:ascii="Avenir Book" w:hAnsi="Avenir Book"/>
          <w:szCs w:val="20"/>
        </w:rPr>
      </w:pPr>
    </w:p>
    <w:p w:rsidR="003A5A07" w:rsidRPr="00B06331" w:rsidRDefault="003A5A07" w:rsidP="003A5A07">
      <w:pPr>
        <w:pStyle w:val="ListParagraph"/>
        <w:ind w:left="0"/>
        <w:jc w:val="both"/>
        <w:rPr>
          <w:rFonts w:ascii="Avenir Book" w:hAnsi="Avenir Book"/>
          <w:szCs w:val="20"/>
        </w:rPr>
      </w:pPr>
      <w:r w:rsidRPr="00B06331">
        <w:rPr>
          <w:rFonts w:ascii="Avenir Book" w:hAnsi="Avenir Book"/>
          <w:szCs w:val="20"/>
        </w:rPr>
        <w:t>The marketing of destination Gambia in non- t</w:t>
      </w:r>
      <w:r w:rsidR="00E87B6A" w:rsidRPr="00B06331">
        <w:rPr>
          <w:rFonts w:ascii="Avenir Book" w:hAnsi="Avenir Book"/>
          <w:szCs w:val="20"/>
        </w:rPr>
        <w:t>raditional markets will assume</w:t>
      </w:r>
      <w:r w:rsidRPr="00B06331">
        <w:rPr>
          <w:rFonts w:ascii="Avenir Book" w:hAnsi="Avenir Book"/>
          <w:szCs w:val="20"/>
        </w:rPr>
        <w:t xml:space="preserve"> lesser intensity and w</w:t>
      </w:r>
      <w:r w:rsidR="00E87B6A" w:rsidRPr="00B06331">
        <w:rPr>
          <w:rFonts w:ascii="Avenir Book" w:hAnsi="Avenir Book"/>
          <w:szCs w:val="20"/>
        </w:rPr>
        <w:t xml:space="preserve">ill promote niche products such as </w:t>
      </w:r>
      <w:r w:rsidRPr="00B06331">
        <w:rPr>
          <w:rFonts w:ascii="Avenir Book" w:hAnsi="Avenir Book"/>
          <w:szCs w:val="20"/>
        </w:rPr>
        <w:t xml:space="preserve">conference tourism, Islamic tourism and theme packages that target sub regional and Diaspora tourists and is anchored on the Gambia’ s unique cultural heritage.  </w:t>
      </w:r>
    </w:p>
    <w:p w:rsidR="003A5A07" w:rsidRPr="00B06331" w:rsidRDefault="003A5A07" w:rsidP="003A5A07">
      <w:pPr>
        <w:pStyle w:val="ListParagraph"/>
        <w:ind w:left="0"/>
        <w:jc w:val="both"/>
        <w:rPr>
          <w:rFonts w:ascii="Avenir Book" w:hAnsi="Avenir Book"/>
          <w:szCs w:val="20"/>
        </w:rPr>
      </w:pPr>
    </w:p>
    <w:p w:rsidR="003A5A07" w:rsidRPr="00B06331" w:rsidRDefault="003A5A07" w:rsidP="003A5A07">
      <w:pPr>
        <w:pStyle w:val="ListParagraph"/>
        <w:ind w:left="0"/>
        <w:jc w:val="both"/>
        <w:rPr>
          <w:rFonts w:ascii="Avenir Book" w:hAnsi="Avenir Book"/>
          <w:szCs w:val="20"/>
        </w:rPr>
      </w:pPr>
      <w:r w:rsidRPr="00B06331">
        <w:rPr>
          <w:rFonts w:ascii="Avenir Book" w:hAnsi="Avenir Book"/>
          <w:szCs w:val="20"/>
        </w:rPr>
        <w:t xml:space="preserve">The marketing process will include the use of trade fairs especially outside mainland Europe, PR Marketing, print and media based marketing as well as e-marketing to leverage on the internet as a key marketing medium. </w:t>
      </w:r>
    </w:p>
    <w:p w:rsidR="003A5A07" w:rsidRPr="00B06331" w:rsidRDefault="003A5A07" w:rsidP="003A5A07">
      <w:pPr>
        <w:pStyle w:val="ListParagraph"/>
        <w:ind w:left="0"/>
        <w:jc w:val="both"/>
        <w:rPr>
          <w:rFonts w:ascii="Avenir Book" w:hAnsi="Avenir Book"/>
          <w:caps/>
          <w:szCs w:val="24"/>
        </w:rPr>
      </w:pPr>
    </w:p>
    <w:p w:rsidR="003A5A07" w:rsidRPr="00B06331" w:rsidRDefault="003A5A07" w:rsidP="003A5A07">
      <w:pPr>
        <w:pStyle w:val="ListParagraph"/>
        <w:ind w:left="0"/>
        <w:jc w:val="both"/>
        <w:rPr>
          <w:rFonts w:ascii="Avenir Book" w:hAnsi="Avenir Book"/>
          <w:szCs w:val="20"/>
        </w:rPr>
      </w:pPr>
      <w:r w:rsidRPr="00B06331">
        <w:rPr>
          <w:rFonts w:ascii="Avenir Book" w:hAnsi="Avenir Book"/>
          <w:b/>
          <w:szCs w:val="20"/>
        </w:rPr>
        <w:t>Undertake Research and Development to continually improve Competitiveness</w:t>
      </w:r>
      <w:r w:rsidRPr="00B06331">
        <w:rPr>
          <w:rFonts w:ascii="Avenir Book" w:hAnsi="Avenir Book"/>
          <w:szCs w:val="20"/>
        </w:rPr>
        <w:t>. Tou</w:t>
      </w:r>
      <w:r w:rsidR="00E87B6A" w:rsidRPr="00B06331">
        <w:rPr>
          <w:rFonts w:ascii="Avenir Book" w:hAnsi="Avenir Book"/>
          <w:szCs w:val="20"/>
        </w:rPr>
        <w:t xml:space="preserve">rism is dynamic and to </w:t>
      </w:r>
      <w:r w:rsidRPr="00B06331">
        <w:rPr>
          <w:rFonts w:ascii="Avenir Book" w:hAnsi="Avenir Book"/>
          <w:szCs w:val="20"/>
        </w:rPr>
        <w:t xml:space="preserve">keep up with the evolving preferences of stakeholders as well as trends, Government recognizes that it must undertake research and development. In this NDP, Government will strengthen the human and system resources of the Research Unit of the Gambia Tourism Board (GT Board) to engage in market research togauge users perceptions of destination Gambia, the changing market trends, changing consumer behavior, </w:t>
      </w:r>
      <w:r w:rsidR="00141D9F" w:rsidRPr="00B06331">
        <w:rPr>
          <w:rFonts w:ascii="Avenir Book" w:hAnsi="Avenir Book"/>
          <w:szCs w:val="20"/>
        </w:rPr>
        <w:t>impact of</w:t>
      </w:r>
      <w:r w:rsidR="006F3A32" w:rsidRPr="00B06331">
        <w:rPr>
          <w:rFonts w:ascii="Avenir Book" w:hAnsi="Avenir Book"/>
          <w:szCs w:val="20"/>
        </w:rPr>
        <w:t>regulations, and</w:t>
      </w:r>
      <w:r w:rsidRPr="00B06331">
        <w:rPr>
          <w:rFonts w:ascii="Avenir Book" w:hAnsi="Avenir Book"/>
          <w:szCs w:val="20"/>
        </w:rPr>
        <w:t xml:space="preserve"> the impact of changes in the macroeconomic environment (recessions, exchange rate, health concerns). </w:t>
      </w:r>
      <w:r w:rsidR="006F3A32" w:rsidRPr="00B06331">
        <w:rPr>
          <w:rFonts w:ascii="Avenir Book" w:hAnsi="Avenir Book"/>
          <w:szCs w:val="20"/>
        </w:rPr>
        <w:t>These</w:t>
      </w:r>
      <w:r w:rsidRPr="00B06331">
        <w:rPr>
          <w:rFonts w:ascii="Avenir Book" w:hAnsi="Avenir Book"/>
          <w:szCs w:val="20"/>
        </w:rPr>
        <w:t xml:space="preserve"> aim at improving The Gambia’s competitiveness. The research interventions in this plan will also be geared towards benefiting environmental conservation, and the management of our artifacts and cultural heritage. </w:t>
      </w:r>
    </w:p>
    <w:p w:rsidR="003A5A07" w:rsidRPr="00B06331" w:rsidRDefault="003A5A07" w:rsidP="003A5A07">
      <w:pPr>
        <w:pStyle w:val="ListParagraph"/>
        <w:ind w:left="0"/>
        <w:jc w:val="both"/>
        <w:rPr>
          <w:rFonts w:ascii="Avenir Book" w:hAnsi="Avenir Book"/>
          <w:szCs w:val="20"/>
        </w:rPr>
      </w:pPr>
    </w:p>
    <w:p w:rsidR="004E6604" w:rsidRPr="00B06331" w:rsidRDefault="00E87B6A" w:rsidP="003A5A07">
      <w:pPr>
        <w:pStyle w:val="ListParagraph"/>
        <w:ind w:left="0"/>
        <w:jc w:val="both"/>
        <w:rPr>
          <w:rFonts w:ascii="Avenir Book" w:hAnsi="Avenir Book"/>
          <w:szCs w:val="20"/>
        </w:rPr>
      </w:pPr>
      <w:r w:rsidRPr="00B06331">
        <w:rPr>
          <w:rFonts w:ascii="Avenir Book" w:hAnsi="Avenir Book"/>
          <w:szCs w:val="20"/>
        </w:rPr>
        <w:t>T</w:t>
      </w:r>
      <w:r w:rsidR="003A5A07" w:rsidRPr="00B06331">
        <w:rPr>
          <w:rFonts w:ascii="Avenir Book" w:hAnsi="Avenir Book"/>
          <w:szCs w:val="20"/>
        </w:rPr>
        <w:t>o influence demand side challenges such as tourist out of pocket spending and low occupancy rates, Government will conduct research on the consequences of tourist purchasing and consumption behaviors. Generally, these visitors lack information on product origin and poverty reduction opportunities inherent in tourism and need to be better informed</w:t>
      </w:r>
      <w:r w:rsidR="00DD4B70" w:rsidRPr="00B06331">
        <w:rPr>
          <w:rFonts w:ascii="Avenir Book" w:hAnsi="Avenir Book"/>
          <w:szCs w:val="20"/>
        </w:rPr>
        <w:t xml:space="preserve">. </w:t>
      </w:r>
    </w:p>
    <w:p w:rsidR="00C7179F" w:rsidRPr="00B06331" w:rsidRDefault="00C7179F" w:rsidP="003A5A07">
      <w:pPr>
        <w:pStyle w:val="ListParagraph"/>
        <w:ind w:left="0"/>
        <w:jc w:val="both"/>
        <w:rPr>
          <w:rFonts w:ascii="Avenir Book" w:hAnsi="Avenir Book"/>
          <w:szCs w:val="20"/>
        </w:rPr>
      </w:pPr>
    </w:p>
    <w:p w:rsidR="00141D9F" w:rsidRPr="00B06331" w:rsidRDefault="00141D9F" w:rsidP="003A5A07">
      <w:pPr>
        <w:pStyle w:val="ListParagraph"/>
        <w:ind w:left="0"/>
        <w:jc w:val="both"/>
        <w:rPr>
          <w:rFonts w:ascii="Avenir Book" w:hAnsi="Avenir Book"/>
          <w:b/>
          <w:i/>
          <w:color w:val="4472C4" w:themeColor="accent1"/>
          <w:szCs w:val="20"/>
        </w:rPr>
      </w:pPr>
      <w:r w:rsidRPr="00B06331">
        <w:rPr>
          <w:rFonts w:ascii="Avenir Book" w:hAnsi="Avenir Book"/>
          <w:b/>
          <w:i/>
          <w:color w:val="4472C4" w:themeColor="accent1"/>
          <w:szCs w:val="20"/>
        </w:rPr>
        <w:t>Outcome 6.2: Cultural Assets Integrated into the Tourism Industry and Promoted</w:t>
      </w:r>
    </w:p>
    <w:p w:rsidR="00141D9F" w:rsidRPr="00B06331" w:rsidRDefault="00141D9F" w:rsidP="003A5A07">
      <w:pPr>
        <w:pStyle w:val="ListParagraph"/>
        <w:ind w:left="0"/>
        <w:jc w:val="both"/>
        <w:rPr>
          <w:b/>
        </w:rPr>
      </w:pPr>
    </w:p>
    <w:p w:rsidR="003A5A07" w:rsidRPr="00B06331" w:rsidRDefault="003A5A07" w:rsidP="003A5A07">
      <w:pPr>
        <w:pStyle w:val="ListParagraph"/>
        <w:ind w:left="0"/>
        <w:jc w:val="both"/>
        <w:rPr>
          <w:rFonts w:ascii="Avenir Book" w:hAnsi="Avenir Book"/>
          <w:caps/>
          <w:szCs w:val="24"/>
        </w:rPr>
      </w:pPr>
      <w:r w:rsidRPr="00B06331">
        <w:rPr>
          <w:b/>
        </w:rPr>
        <w:t xml:space="preserve">Conserve and Promote The </w:t>
      </w:r>
      <w:r w:rsidR="00CC54B7" w:rsidRPr="00B06331">
        <w:rPr>
          <w:b/>
        </w:rPr>
        <w:t>Gambia‘s</w:t>
      </w:r>
      <w:r w:rsidRPr="00B06331">
        <w:rPr>
          <w:rFonts w:ascii="Avenir Book" w:hAnsi="Avenir Book"/>
          <w:b/>
          <w:szCs w:val="20"/>
        </w:rPr>
        <w:t>Tangible and Intangible Cultural Heritage for enhanced competitiveness.</w:t>
      </w:r>
      <w:r w:rsidRPr="00B06331">
        <w:rPr>
          <w:rFonts w:ascii="Avenir Book" w:hAnsi="Avenir Book"/>
          <w:szCs w:val="20"/>
        </w:rPr>
        <w:t xml:space="preserve">  The i</w:t>
      </w:r>
      <w:r w:rsidRPr="00B06331">
        <w:t>ntegration through promotion of hitherto neglected cultural assets is a sin quo non for tourism development. During the plan period, Government will safeguard, conserve</w:t>
      </w:r>
      <w:r w:rsidR="006F3A32" w:rsidRPr="00B06331">
        <w:t>and promote</w:t>
      </w:r>
      <w:r w:rsidRPr="00B06331">
        <w:t xml:space="preserve"> allthe country’s t</w:t>
      </w:r>
      <w:r w:rsidRPr="00B06331">
        <w:rPr>
          <w:rFonts w:ascii="Avenir Book" w:hAnsi="Avenir Book"/>
          <w:szCs w:val="20"/>
        </w:rPr>
        <w:t xml:space="preserve">angible and intangible cultural </w:t>
      </w:r>
      <w:r w:rsidR="006F3A32" w:rsidRPr="00B06331">
        <w:rPr>
          <w:rFonts w:ascii="Avenir Book" w:hAnsi="Avenir Book"/>
          <w:szCs w:val="20"/>
        </w:rPr>
        <w:t>heritage, and</w:t>
      </w:r>
      <w:r w:rsidRPr="00B06331">
        <w:rPr>
          <w:rFonts w:ascii="Avenir Book" w:hAnsi="Avenir Book"/>
          <w:szCs w:val="20"/>
        </w:rPr>
        <w:t>the unspoiled natural environment</w:t>
      </w:r>
      <w:r w:rsidRPr="00B06331">
        <w:rPr>
          <w:rFonts w:ascii="Avenir Book" w:hAnsi="Avenir Book"/>
          <w:szCs w:val="24"/>
        </w:rPr>
        <w:t xml:space="preserve">to support the quest for product diversification. Though partnership with allies like </w:t>
      </w:r>
      <w:r w:rsidRPr="00B06331">
        <w:t>UNESCO</w:t>
      </w:r>
      <w:r w:rsidRPr="00B06331">
        <w:rPr>
          <w:rFonts w:ascii="Avenir Book" w:hAnsi="Avenir Book"/>
          <w:szCs w:val="20"/>
        </w:rPr>
        <w:t xml:space="preserve">and Local Government Authorities (LGAs), National Cultural Festivals will be held and thematic engagements will be promoted for uptake by LGAs or private sector operators. </w:t>
      </w:r>
    </w:p>
    <w:p w:rsidR="003A5A07" w:rsidRPr="00B06331" w:rsidRDefault="003A5A07" w:rsidP="003A5A07">
      <w:pPr>
        <w:pStyle w:val="ListParagraph"/>
        <w:jc w:val="both"/>
      </w:pPr>
    </w:p>
    <w:p w:rsidR="003A5A07" w:rsidRPr="00B06331" w:rsidRDefault="003A5A07" w:rsidP="003A5A07">
      <w:pPr>
        <w:pStyle w:val="ListParagraph"/>
        <w:spacing w:after="0"/>
        <w:ind w:left="0"/>
        <w:jc w:val="both"/>
        <w:rPr>
          <w:rFonts w:ascii="Avenir Book" w:hAnsi="Avenir Book"/>
          <w:szCs w:val="20"/>
        </w:rPr>
      </w:pPr>
      <w:r w:rsidRPr="00B06331">
        <w:rPr>
          <w:rFonts w:ascii="Avenir Book" w:hAnsi="Avenir Book"/>
          <w:b/>
          <w:szCs w:val="20"/>
        </w:rPr>
        <w:t>Implement the mandate of the Collecting Society of The Gambia.</w:t>
      </w:r>
      <w:r w:rsidRPr="00B06331">
        <w:rPr>
          <w:rFonts w:ascii="Avenir Book" w:hAnsi="Avenir Book"/>
          <w:szCs w:val="20"/>
        </w:rPr>
        <w:t xml:space="preserve"> To boost creativity in the arts and culture sub sectors and promote the tourism diversification agenda, Government will implement the mandate of the Collecting Society of The Gambia, including the copyright laws of the Gambia, thus protecting, rewarding and motivating the artistes that perform at hotels, bars and restaurants across the tourism industry. </w:t>
      </w:r>
    </w:p>
    <w:p w:rsidR="006F3A32" w:rsidRPr="00B06331" w:rsidRDefault="006F3A32" w:rsidP="003A5A07">
      <w:pPr>
        <w:pStyle w:val="ListParagraph"/>
        <w:spacing w:after="0"/>
        <w:ind w:left="0"/>
        <w:jc w:val="both"/>
        <w:rPr>
          <w:sz w:val="23"/>
          <w:szCs w:val="23"/>
        </w:rPr>
      </w:pPr>
    </w:p>
    <w:p w:rsidR="003A5A07" w:rsidRPr="00B06331" w:rsidRDefault="003A5A07" w:rsidP="003A5A07">
      <w:pPr>
        <w:pStyle w:val="ListParagraph"/>
        <w:spacing w:after="0"/>
        <w:ind w:left="0"/>
        <w:jc w:val="both"/>
        <w:rPr>
          <w:rFonts w:ascii="Avenir Book" w:hAnsi="Avenir Book"/>
          <w:szCs w:val="20"/>
        </w:rPr>
      </w:pPr>
      <w:r w:rsidRPr="00B06331">
        <w:rPr>
          <w:sz w:val="23"/>
          <w:szCs w:val="23"/>
        </w:rPr>
        <w:t>Given that crafts and souvenirs receive the l</w:t>
      </w:r>
      <w:r w:rsidR="00CC54B7" w:rsidRPr="00B06331">
        <w:rPr>
          <w:sz w:val="23"/>
          <w:szCs w:val="23"/>
        </w:rPr>
        <w:t>owest proportion of tourist out-of-</w:t>
      </w:r>
      <w:r w:rsidRPr="00B06331">
        <w:rPr>
          <w:sz w:val="23"/>
          <w:szCs w:val="23"/>
        </w:rPr>
        <w:t>pocket expenditure</w:t>
      </w:r>
      <w:r w:rsidR="00E87B6A" w:rsidRPr="00B06331">
        <w:rPr>
          <w:sz w:val="23"/>
          <w:szCs w:val="23"/>
        </w:rPr>
        <w:t>s</w:t>
      </w:r>
      <w:r w:rsidRPr="00B06331">
        <w:rPr>
          <w:sz w:val="23"/>
          <w:szCs w:val="23"/>
        </w:rPr>
        <w:t xml:space="preserve"> Government will sensitize the craftsmen on the need for frequent renewal of souvenirs.</w:t>
      </w:r>
    </w:p>
    <w:p w:rsidR="003A5A07" w:rsidRPr="00B06331" w:rsidRDefault="003A5A07" w:rsidP="003A5A07">
      <w:pPr>
        <w:pStyle w:val="ListParagraph"/>
        <w:rPr>
          <w:rFonts w:ascii="Avenir Book" w:hAnsi="Avenir Book"/>
          <w:szCs w:val="20"/>
        </w:rPr>
      </w:pPr>
    </w:p>
    <w:p w:rsidR="009427E4" w:rsidRPr="00B06331" w:rsidRDefault="003A5A07" w:rsidP="003A5A07">
      <w:pPr>
        <w:pStyle w:val="ListParagraph"/>
        <w:spacing w:after="0"/>
        <w:ind w:left="0"/>
        <w:jc w:val="both"/>
        <w:rPr>
          <w:rFonts w:ascii="Avenir Book" w:hAnsi="Avenir Book"/>
          <w:szCs w:val="20"/>
        </w:rPr>
      </w:pPr>
      <w:r w:rsidRPr="00B06331">
        <w:rPr>
          <w:rFonts w:ascii="Avenir Book" w:hAnsi="Avenir Book"/>
          <w:b/>
          <w:szCs w:val="20"/>
        </w:rPr>
        <w:t>Construction of a multi-purpose cultural center to promote and support Gambia’s Creative industries</w:t>
      </w:r>
      <w:r w:rsidRPr="00B06331">
        <w:rPr>
          <w:rFonts w:ascii="Avenir Book" w:hAnsi="Avenir Book"/>
          <w:szCs w:val="20"/>
        </w:rPr>
        <w:t>. This will also boost the sector and promote product diversification and quality. Government will build a Multi-purpose Cultural Centre that is will be positioned as  a Centre of Excellence to show cases  diverse cultural manifestations (local and international)  in line with The Gambia</w:t>
      </w:r>
      <w:r w:rsidRPr="00B06331">
        <w:rPr>
          <w:rFonts w:ascii="Arial" w:hAnsi="Arial" w:cs="Arial"/>
          <w:szCs w:val="20"/>
        </w:rPr>
        <w:t>’</w:t>
      </w:r>
      <w:r w:rsidRPr="00B06331">
        <w:rPr>
          <w:rFonts w:ascii="Avenir Book" w:hAnsi="Avenir Book"/>
          <w:szCs w:val="20"/>
        </w:rPr>
        <w:t xml:space="preserve">s commitment to its bilateral and multi-lateral protocols and agreements on cultural cooperation and exchange. </w:t>
      </w:r>
    </w:p>
    <w:p w:rsidR="00772C6A" w:rsidRPr="00B06331" w:rsidRDefault="00772C6A" w:rsidP="003A5A07">
      <w:pPr>
        <w:pStyle w:val="ListParagraph"/>
        <w:spacing w:after="0"/>
        <w:ind w:left="0"/>
        <w:jc w:val="both"/>
        <w:rPr>
          <w:rFonts w:ascii="Avenir Book" w:hAnsi="Avenir Book"/>
          <w:szCs w:val="20"/>
        </w:rPr>
      </w:pPr>
    </w:p>
    <w:p w:rsidR="003A5A07" w:rsidRPr="00B06331" w:rsidRDefault="003A5A07" w:rsidP="003A5A07">
      <w:pPr>
        <w:pStyle w:val="ListParagraph"/>
        <w:spacing w:after="0"/>
        <w:ind w:left="0"/>
        <w:jc w:val="both"/>
        <w:rPr>
          <w:rFonts w:ascii="Avenir Book" w:hAnsi="Avenir Book"/>
          <w:szCs w:val="20"/>
        </w:rPr>
      </w:pPr>
      <w:r w:rsidRPr="00B06331">
        <w:rPr>
          <w:rFonts w:ascii="Avenir Book" w:hAnsi="Avenir Book"/>
          <w:szCs w:val="20"/>
        </w:rPr>
        <w:lastRenderedPageBreak/>
        <w:t>In summary, the Gambia’s agenda for the development of Tourism is illustrated by the figure below:</w:t>
      </w:r>
    </w:p>
    <w:p w:rsidR="003A5A07" w:rsidRPr="00B06331" w:rsidRDefault="003A5A07" w:rsidP="003A5A07">
      <w:pPr>
        <w:jc w:val="center"/>
        <w:rPr>
          <w:rFonts w:ascii="Avenir Book" w:hAnsi="Avenir Book"/>
          <w:caps/>
          <w:noProof/>
          <w:sz w:val="24"/>
          <w:szCs w:val="24"/>
        </w:rPr>
      </w:pPr>
      <w:r w:rsidRPr="00B06331">
        <w:rPr>
          <w:rFonts w:ascii="Avenir Book" w:hAnsi="Avenir Book"/>
          <w:caps/>
          <w:noProof/>
          <w:sz w:val="24"/>
          <w:szCs w:val="24"/>
        </w:rPr>
        <w:drawing>
          <wp:inline distT="0" distB="0" distL="0" distR="0">
            <wp:extent cx="3714748" cy="2419350"/>
            <wp:effectExtent l="19050" t="0" r="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8270" cy="2421644"/>
                    </a:xfrm>
                    <a:prstGeom prst="rect">
                      <a:avLst/>
                    </a:prstGeom>
                    <a:noFill/>
                    <a:ln>
                      <a:noFill/>
                    </a:ln>
                  </pic:spPr>
                </pic:pic>
              </a:graphicData>
            </a:graphic>
          </wp:inline>
        </w:drawing>
      </w:r>
    </w:p>
    <w:p w:rsidR="003A5A07" w:rsidRPr="00B06331" w:rsidRDefault="003A5A07" w:rsidP="009427E4">
      <w:pPr>
        <w:jc w:val="center"/>
        <w:rPr>
          <w:rFonts w:ascii="Avenir Book" w:hAnsi="Avenir Book"/>
          <w:b/>
          <w:sz w:val="12"/>
          <w:szCs w:val="24"/>
        </w:rPr>
      </w:pPr>
      <w:r w:rsidRPr="00B06331">
        <w:rPr>
          <w:rFonts w:ascii="Avenir Book" w:hAnsi="Avenir Book"/>
          <w:b/>
          <w:sz w:val="12"/>
          <w:szCs w:val="24"/>
        </w:rPr>
        <w:t>Courtesy: World Bank 2015</w:t>
      </w:r>
      <w:bookmarkStart w:id="146" w:name="_Toc488689345"/>
    </w:p>
    <w:p w:rsidR="003A5A07" w:rsidRPr="00B06331" w:rsidRDefault="003A5A07" w:rsidP="003A5A07">
      <w:pPr>
        <w:pStyle w:val="Heading2"/>
        <w:rPr>
          <w:rFonts w:ascii="Calibri" w:hAnsi="Calibri" w:cs="Calibri"/>
          <w:sz w:val="22"/>
          <w:szCs w:val="22"/>
        </w:rPr>
      </w:pPr>
      <w:bookmarkStart w:id="147" w:name="_Toc492364789"/>
      <w:bookmarkStart w:id="148" w:name="_Toc488689346"/>
      <w:bookmarkEnd w:id="146"/>
      <w:r w:rsidRPr="00B06331">
        <w:rPr>
          <w:rFonts w:ascii="Calibri" w:hAnsi="Calibri" w:cs="Calibri"/>
          <w:sz w:val="22"/>
          <w:szCs w:val="22"/>
        </w:rPr>
        <w:t>7.8. Youth Empowerment and Development</w:t>
      </w:r>
      <w:bookmarkEnd w:id="147"/>
    </w:p>
    <w:p w:rsidR="003A5A07" w:rsidRPr="00B06331" w:rsidRDefault="003A5A07" w:rsidP="003A5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venir Book" w:hAnsi="Avenir Book"/>
          <w:color w:val="000000"/>
          <w:szCs w:val="20"/>
        </w:rPr>
      </w:pPr>
      <w:r w:rsidRPr="00B06331">
        <w:rPr>
          <w:rFonts w:ascii="Avenir Book" w:hAnsi="Avenir Book"/>
          <w:color w:val="000000"/>
          <w:szCs w:val="20"/>
        </w:rPr>
        <w:t>Government is determined to realize its commitment to “leave no youth behind” as it recognizes that the youth are the engines of growth and wil</w:t>
      </w:r>
      <w:r w:rsidR="004D7165" w:rsidRPr="00B06331">
        <w:rPr>
          <w:rFonts w:ascii="Avenir Book" w:hAnsi="Avenir Book"/>
          <w:color w:val="000000"/>
          <w:szCs w:val="20"/>
        </w:rPr>
        <w:t>l be the cardinal pillar</w:t>
      </w:r>
      <w:r w:rsidRPr="00B06331">
        <w:rPr>
          <w:rFonts w:ascii="Avenir Book" w:hAnsi="Avenir Book"/>
          <w:color w:val="000000"/>
          <w:szCs w:val="20"/>
        </w:rPr>
        <w:t xml:space="preserve"> for any development The Gambia aims to achieve. Equity in resource allocation and a nationwide approach to national development through investment in youth will thus be adopted at all levels of Government. </w:t>
      </w:r>
    </w:p>
    <w:p w:rsidR="003A5A07" w:rsidRPr="00B06331" w:rsidRDefault="003A5A07" w:rsidP="003A5A07">
      <w:pPr>
        <w:autoSpaceDE w:val="0"/>
        <w:autoSpaceDN w:val="0"/>
        <w:adjustRightInd w:val="0"/>
        <w:spacing w:after="0" w:line="240" w:lineRule="auto"/>
        <w:jc w:val="both"/>
        <w:rPr>
          <w:rFonts w:ascii="Avenir Book" w:hAnsi="Avenir Book"/>
          <w:b/>
          <w:color w:val="000000"/>
          <w:szCs w:val="20"/>
        </w:rPr>
      </w:pPr>
      <w:r w:rsidRPr="00B06331">
        <w:rPr>
          <w:rFonts w:ascii="Avenir Book" w:hAnsi="Avenir Book"/>
          <w:color w:val="000000"/>
          <w:szCs w:val="20"/>
        </w:rPr>
        <w:t xml:space="preserve">As a result, Government’s goal for the sector premised on </w:t>
      </w:r>
      <w:r w:rsidRPr="00B06331">
        <w:rPr>
          <w:rFonts w:ascii="Avenir Book" w:hAnsi="Avenir Book"/>
          <w:b/>
          <w:color w:val="000000"/>
          <w:szCs w:val="20"/>
        </w:rPr>
        <w:t>“Secured sustainable livelihood for youths through skills development, descent work and excellence in sports”.</w:t>
      </w: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p>
    <w:p w:rsidR="003A5A07" w:rsidRPr="00B06331" w:rsidRDefault="009427E4" w:rsidP="003A5A07">
      <w:pPr>
        <w:jc w:val="both"/>
        <w:rPr>
          <w:rFonts w:ascii="Avenir Book" w:hAnsi="Avenir Book"/>
          <w:b/>
          <w:color w:val="000000"/>
          <w:szCs w:val="20"/>
        </w:rPr>
      </w:pPr>
      <w:r w:rsidRPr="00B06331">
        <w:rPr>
          <w:rFonts w:ascii="Avenir Book" w:hAnsi="Avenir Book"/>
          <w:b/>
          <w:color w:val="000000"/>
          <w:szCs w:val="20"/>
        </w:rPr>
        <w:t>Table 7.11</w:t>
      </w:r>
      <w:r w:rsidR="00141D9F" w:rsidRPr="00B06331">
        <w:rPr>
          <w:rFonts w:ascii="Avenir Book" w:hAnsi="Avenir Book"/>
          <w:b/>
          <w:color w:val="000000"/>
          <w:szCs w:val="20"/>
        </w:rPr>
        <w:t>: Key Expected Results for Youth Empowermen</w:t>
      </w:r>
      <w:r w:rsidR="00772C6A" w:rsidRPr="00B06331">
        <w:rPr>
          <w:rFonts w:ascii="Avenir Book" w:hAnsi="Avenir Book"/>
          <w:b/>
          <w:color w:val="000000"/>
          <w:szCs w:val="20"/>
        </w:rPr>
        <w:t xml:space="preserve">t and Development </w:t>
      </w:r>
    </w:p>
    <w:tbl>
      <w:tblPr>
        <w:tblStyle w:val="TableGrid"/>
        <w:tblW w:w="0" w:type="auto"/>
        <w:tblLook w:val="04A0"/>
      </w:tblPr>
      <w:tblGrid>
        <w:gridCol w:w="6295"/>
      </w:tblGrid>
      <w:tr w:rsidR="00141D9F" w:rsidRPr="00B06331" w:rsidTr="00141D9F">
        <w:tc>
          <w:tcPr>
            <w:tcW w:w="6295" w:type="dxa"/>
            <w:shd w:val="clear" w:color="auto" w:fill="D9E2F3" w:themeFill="accent1" w:themeFillTint="33"/>
          </w:tcPr>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Availability of  revised National Sports policy and Act</w:t>
            </w:r>
            <w:r w:rsidRPr="00B06331">
              <w:rPr>
                <w:rFonts w:ascii="Avenir Book" w:hAnsi="Avenir Book"/>
                <w:color w:val="000000"/>
              </w:rPr>
              <w:tab/>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Existence of regulatory standards for Youth  organizations and facilities</w:t>
            </w:r>
            <w:r w:rsidRPr="00B06331">
              <w:rPr>
                <w:rFonts w:ascii="Avenir Book" w:hAnsi="Avenir Book"/>
                <w:color w:val="000000"/>
              </w:rPr>
              <w:tab/>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Existence of regulatory standard for  Sports organizations and facilities</w:t>
            </w:r>
            <w:r w:rsidRPr="00B06331">
              <w:rPr>
                <w:rFonts w:ascii="Avenir Book" w:hAnsi="Avenir Book"/>
                <w:color w:val="000000"/>
              </w:rPr>
              <w:tab/>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Reduce youth unemployment (15-35yrs) from 35.3% to 25%</w:t>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Existence of a youth development fund</w:t>
            </w:r>
            <w:r w:rsidRPr="00B06331">
              <w:rPr>
                <w:rFonts w:ascii="Avenir Book" w:hAnsi="Avenir Book"/>
                <w:color w:val="000000"/>
              </w:rPr>
              <w:tab/>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Increase number of sports academies established from 0 to 2</w:t>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Existence of a Sports Department at UTG</w:t>
            </w:r>
            <w:r w:rsidRPr="00B06331">
              <w:rPr>
                <w:rFonts w:ascii="Avenir Book" w:hAnsi="Avenir Book"/>
                <w:color w:val="000000"/>
              </w:rPr>
              <w:tab/>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Existence of a multi-purpose indoor sports facility</w:t>
            </w:r>
          </w:p>
          <w:p w:rsidR="00141D9F" w:rsidRPr="00B06331" w:rsidRDefault="00141D9F" w:rsidP="004143E3">
            <w:pPr>
              <w:numPr>
                <w:ilvl w:val="0"/>
                <w:numId w:val="50"/>
              </w:numPr>
              <w:spacing w:after="0" w:line="240" w:lineRule="auto"/>
              <w:jc w:val="both"/>
              <w:rPr>
                <w:rFonts w:ascii="Avenir Book" w:hAnsi="Avenir Book"/>
                <w:color w:val="000000"/>
              </w:rPr>
            </w:pPr>
            <w:r w:rsidRPr="00B06331">
              <w:rPr>
                <w:rFonts w:ascii="Avenir Book" w:hAnsi="Avenir Book"/>
                <w:color w:val="000000"/>
              </w:rPr>
              <w:t>Availability of revised National Youth policy and Act</w:t>
            </w:r>
            <w:r w:rsidRPr="00B06331">
              <w:rPr>
                <w:rFonts w:ascii="Avenir Book" w:hAnsi="Avenir Book"/>
                <w:color w:val="000000"/>
              </w:rPr>
              <w:tab/>
            </w:r>
          </w:p>
        </w:tc>
      </w:tr>
    </w:tbl>
    <w:p w:rsidR="003A5A07" w:rsidRPr="00B06331" w:rsidRDefault="003A5A07" w:rsidP="00141D9F">
      <w:pPr>
        <w:spacing w:after="0" w:line="240" w:lineRule="auto"/>
        <w:jc w:val="both"/>
        <w:rPr>
          <w:rFonts w:ascii="Avenir Book" w:hAnsi="Avenir Book"/>
          <w:color w:val="000000"/>
          <w:szCs w:val="20"/>
        </w:rPr>
      </w:pP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r w:rsidRPr="00B06331">
        <w:rPr>
          <w:rFonts w:ascii="Avenir Book" w:hAnsi="Avenir Book"/>
          <w:color w:val="000000"/>
          <w:szCs w:val="20"/>
        </w:rPr>
        <w:t>To be successfully implemented the following plan interventions would be underpinned by an enabling environment of well-functioning government mechanisms, championing good governance, with progressive economic policies. Building upon the Governments compact for youth empowerment, the proposed goal will focus on the following outcomes and interventions:</w:t>
      </w:r>
    </w:p>
    <w:p w:rsidR="00141D9F" w:rsidRPr="00B06331" w:rsidRDefault="00141D9F" w:rsidP="003A5A07">
      <w:pPr>
        <w:autoSpaceDE w:val="0"/>
        <w:autoSpaceDN w:val="0"/>
        <w:adjustRightInd w:val="0"/>
        <w:spacing w:after="0" w:line="240" w:lineRule="auto"/>
        <w:jc w:val="both"/>
        <w:rPr>
          <w:rFonts w:ascii="Avenir Book" w:hAnsi="Avenir Book"/>
          <w:color w:val="000000"/>
          <w:szCs w:val="20"/>
        </w:rPr>
      </w:pPr>
    </w:p>
    <w:p w:rsidR="00141D9F" w:rsidRPr="00B06331" w:rsidRDefault="00141D9F" w:rsidP="003A5A07">
      <w:pPr>
        <w:autoSpaceDE w:val="0"/>
        <w:autoSpaceDN w:val="0"/>
        <w:adjustRightInd w:val="0"/>
        <w:spacing w:after="0" w:line="240" w:lineRule="auto"/>
        <w:jc w:val="both"/>
        <w:rPr>
          <w:rFonts w:ascii="Avenir Book" w:hAnsi="Avenir Book"/>
          <w:b/>
          <w:i/>
          <w:color w:val="4472C4" w:themeColor="accent1"/>
          <w:szCs w:val="20"/>
        </w:rPr>
      </w:pPr>
      <w:r w:rsidRPr="00B06331">
        <w:rPr>
          <w:rFonts w:ascii="Avenir Book" w:hAnsi="Avenir Book"/>
          <w:b/>
          <w:i/>
          <w:color w:val="4472C4" w:themeColor="accent1"/>
          <w:szCs w:val="20"/>
        </w:rPr>
        <w:lastRenderedPageBreak/>
        <w:t>Outcome 7.1: Gainful Employment opportunities created and Entrepreneur</w:t>
      </w:r>
      <w:r w:rsidR="00484D65" w:rsidRPr="00B06331">
        <w:rPr>
          <w:rFonts w:ascii="Avenir Book" w:hAnsi="Avenir Book"/>
          <w:b/>
          <w:i/>
          <w:color w:val="4472C4" w:themeColor="accent1"/>
          <w:szCs w:val="20"/>
        </w:rPr>
        <w:t>ial skills developed for Gambian Youth</w:t>
      </w:r>
    </w:p>
    <w:p w:rsidR="003A5A07" w:rsidRPr="00B06331" w:rsidRDefault="003A5A07" w:rsidP="003A5A07">
      <w:pPr>
        <w:autoSpaceDE w:val="0"/>
        <w:autoSpaceDN w:val="0"/>
        <w:adjustRightInd w:val="0"/>
        <w:spacing w:after="0" w:line="240" w:lineRule="auto"/>
        <w:jc w:val="both"/>
        <w:rPr>
          <w:rFonts w:ascii="Avenir Book" w:hAnsi="Avenir Book"/>
          <w:b/>
          <w:color w:val="000000"/>
        </w:rPr>
      </w:pPr>
    </w:p>
    <w:p w:rsidR="003A5A07" w:rsidRPr="00B06331" w:rsidRDefault="003A5A07" w:rsidP="003A5A07">
      <w:pPr>
        <w:autoSpaceDE w:val="0"/>
        <w:autoSpaceDN w:val="0"/>
        <w:adjustRightInd w:val="0"/>
        <w:spacing w:after="0" w:line="240" w:lineRule="auto"/>
        <w:jc w:val="both"/>
        <w:rPr>
          <w:rFonts w:ascii="Avenir Book" w:hAnsi="Avenir Book"/>
          <w:color w:val="000000"/>
        </w:rPr>
      </w:pPr>
      <w:r w:rsidRPr="00B06331">
        <w:rPr>
          <w:rFonts w:ascii="Avenir Book" w:hAnsi="Avenir Book"/>
          <w:b/>
          <w:color w:val="000000"/>
        </w:rPr>
        <w:t>Undertake entrepreneurship and skills development in priority sectors such as agricultur</w:t>
      </w:r>
      <w:r w:rsidR="00141D9F" w:rsidRPr="00B06331">
        <w:rPr>
          <w:rFonts w:ascii="Avenir Book" w:hAnsi="Avenir Book"/>
          <w:b/>
          <w:color w:val="000000"/>
        </w:rPr>
        <w:t xml:space="preserve">e, fisheries, tourism, ICT, </w:t>
      </w:r>
      <w:r w:rsidRPr="00B06331">
        <w:rPr>
          <w:rFonts w:ascii="Avenir Book" w:hAnsi="Avenir Book"/>
          <w:b/>
          <w:color w:val="000000"/>
        </w:rPr>
        <w:t>including the formation of youth-led commodity cooperatives.</w:t>
      </w:r>
    </w:p>
    <w:p w:rsidR="003A5A07" w:rsidRPr="00B06331" w:rsidRDefault="003A5A07" w:rsidP="003A5A07">
      <w:pPr>
        <w:autoSpaceDE w:val="0"/>
        <w:autoSpaceDN w:val="0"/>
        <w:adjustRightInd w:val="0"/>
        <w:spacing w:after="0" w:line="240" w:lineRule="auto"/>
        <w:jc w:val="both"/>
        <w:rPr>
          <w:rFonts w:ascii="Avenir Book" w:hAnsi="Avenir Book"/>
          <w:color w:val="000000"/>
        </w:rPr>
      </w:pPr>
    </w:p>
    <w:p w:rsidR="003A5A07" w:rsidRPr="00B06331" w:rsidRDefault="003A5A07" w:rsidP="003A5A07">
      <w:pPr>
        <w:autoSpaceDE w:val="0"/>
        <w:autoSpaceDN w:val="0"/>
        <w:adjustRightInd w:val="0"/>
        <w:spacing w:after="0"/>
        <w:jc w:val="both"/>
        <w:rPr>
          <w:rFonts w:ascii="Avenir Book" w:hAnsi="Avenir Book"/>
          <w:color w:val="000000"/>
        </w:rPr>
      </w:pPr>
      <w:r w:rsidRPr="00B06331">
        <w:rPr>
          <w:rFonts w:ascii="Avenir Book" w:hAnsi="Avenir Book"/>
          <w:color w:val="000000"/>
        </w:rPr>
        <w:t>To maximize on the development impact of priority sector investments, Government recognizes that i</w:t>
      </w:r>
      <w:r w:rsidR="004D7165" w:rsidRPr="00B06331">
        <w:rPr>
          <w:rFonts w:ascii="Avenir Book" w:hAnsi="Avenir Book"/>
          <w:color w:val="000000"/>
        </w:rPr>
        <w:t>t must involve</w:t>
      </w:r>
      <w:r w:rsidRPr="00B06331">
        <w:rPr>
          <w:rFonts w:ascii="Avenir Book" w:hAnsi="Avenir Book"/>
          <w:color w:val="000000"/>
        </w:rPr>
        <w:t xml:space="preserve"> the youth segment of the population. In this regard, it will ensure that from the stage of conceptualization, through implementation and final evaluation, the Gambian youth are mobilized to participate meaningfully in programmes of key sectors such as agriculture, fisheries, tourism, ICT. In addition, the youth will be supported to overcome the challenges related to jobs, market access, land and other productive assets, education, information and skills, and their participation in policy dialogue and decision making (</w:t>
      </w:r>
      <w:r w:rsidRPr="00B06331">
        <w:rPr>
          <w:rFonts w:ascii="Avenir Book" w:hAnsi="Avenir Book"/>
          <w:i/>
          <w:color w:val="000000"/>
        </w:rPr>
        <w:t>these last three will be discussed separately under respective interventions</w:t>
      </w:r>
      <w:r w:rsidRPr="00B06331">
        <w:rPr>
          <w:rFonts w:ascii="Avenir Book" w:hAnsi="Avenir Book"/>
          <w:color w:val="000000"/>
        </w:rPr>
        <w:t xml:space="preserve">).  </w:t>
      </w:r>
    </w:p>
    <w:p w:rsidR="003A5A07" w:rsidRPr="00B06331" w:rsidRDefault="003A5A07" w:rsidP="003A5A07">
      <w:pPr>
        <w:autoSpaceDE w:val="0"/>
        <w:autoSpaceDN w:val="0"/>
        <w:adjustRightInd w:val="0"/>
        <w:spacing w:after="0"/>
        <w:jc w:val="both"/>
        <w:rPr>
          <w:rFonts w:ascii="Avenir Book" w:hAnsi="Avenir Book"/>
          <w:color w:val="000000"/>
        </w:rPr>
      </w:pPr>
    </w:p>
    <w:p w:rsidR="003A5A07" w:rsidRPr="00B06331" w:rsidRDefault="003A5A07" w:rsidP="003A5A07">
      <w:pPr>
        <w:autoSpaceDE w:val="0"/>
        <w:autoSpaceDN w:val="0"/>
        <w:adjustRightInd w:val="0"/>
        <w:spacing w:after="0"/>
        <w:jc w:val="both"/>
        <w:rPr>
          <w:rFonts w:ascii="Avenir Book" w:hAnsi="Avenir Book"/>
          <w:color w:val="000000"/>
        </w:rPr>
      </w:pPr>
      <w:r w:rsidRPr="00B06331">
        <w:rPr>
          <w:rFonts w:ascii="Avenir Book" w:hAnsi="Avenir Book"/>
          <w:color w:val="000000"/>
        </w:rPr>
        <w:t xml:space="preserve">To improve access to land for the youth, inter –sectoral platforms will be forged to champion land reforms in the Gambia. Youth participants will be capacitated to lobby and negotiate land ownership while Government explores the option of rehabilitating (e.g., using irrigation, soil and water conservation structures) unutilized agricultural lands; facilitating short-medium  term leases to enable youth use unutilized community land; and the provision of loans to assist youth acquire land. </w:t>
      </w:r>
    </w:p>
    <w:p w:rsidR="003A5A07" w:rsidRPr="00B06331" w:rsidRDefault="003A5A07" w:rsidP="003A5A07">
      <w:pPr>
        <w:autoSpaceDE w:val="0"/>
        <w:autoSpaceDN w:val="0"/>
        <w:adjustRightInd w:val="0"/>
        <w:spacing w:after="0"/>
        <w:jc w:val="both"/>
        <w:rPr>
          <w:rFonts w:ascii="Avenir Book" w:hAnsi="Avenir Book"/>
          <w:color w:val="000000"/>
        </w:rPr>
      </w:pPr>
    </w:p>
    <w:p w:rsidR="003A5A07" w:rsidRPr="00B06331" w:rsidRDefault="003A5A07" w:rsidP="003A5A07">
      <w:pPr>
        <w:autoSpaceDE w:val="0"/>
        <w:autoSpaceDN w:val="0"/>
        <w:adjustRightInd w:val="0"/>
        <w:spacing w:after="0"/>
        <w:jc w:val="both"/>
        <w:rPr>
          <w:rFonts w:ascii="Avenir Book" w:hAnsi="Avenir Book"/>
          <w:color w:val="000000"/>
          <w:szCs w:val="20"/>
        </w:rPr>
      </w:pPr>
      <w:r w:rsidRPr="00B06331">
        <w:rPr>
          <w:rFonts w:ascii="Avenir Book" w:hAnsi="Avenir Book"/>
          <w:color w:val="000000"/>
        </w:rPr>
        <w:t>S</w:t>
      </w:r>
      <w:r w:rsidR="004D7165" w:rsidRPr="00B06331">
        <w:rPr>
          <w:rFonts w:ascii="Avenir Book" w:hAnsi="Avenir Book"/>
          <w:color w:val="000000"/>
        </w:rPr>
        <w:t xml:space="preserve">imilarly, </w:t>
      </w:r>
      <w:r w:rsidRPr="00B06331">
        <w:rPr>
          <w:rFonts w:ascii="Avenir Book" w:hAnsi="Avenir Book"/>
          <w:color w:val="000000"/>
        </w:rPr>
        <w:t xml:space="preserve">youth engaged in the agriculture and natural resources sector will be formed into cooperatives to ensure rationalization of government and development partners support as well as to derive benefits from economics of scale and market access. Sustainable access to markets is required to guarantee smallholders an increase in income and to lift them out of poverty. During the plan period, Government will thus engage the private sector to help Gambian youths access markets through the acquisition of inputs and services to generate a product-  agricultural or otherwise-, and the capability to deliver that produce/product to buyers. Emphasis will be placed on standards and certification, market price information, consistency of supply etc. </w:t>
      </w:r>
      <w:r w:rsidRPr="00B06331">
        <w:rPr>
          <w:rFonts w:ascii="Avenir Book" w:hAnsi="Avenir Book"/>
          <w:color w:val="000000"/>
          <w:szCs w:val="20"/>
        </w:rPr>
        <w:t xml:space="preserve">In a collaborative venture between the Trade and Youth Ministries, young people will be mobilized into professional clusters within which they can further develop their produce and market them. The youth will be mobilized to deepen their participation in the Gambia’s </w:t>
      </w:r>
      <w:r w:rsidR="00141D9F" w:rsidRPr="00B06331">
        <w:rPr>
          <w:rFonts w:ascii="Avenir Book" w:hAnsi="Avenir Book"/>
          <w:color w:val="000000"/>
          <w:szCs w:val="20"/>
        </w:rPr>
        <w:t>home-grown</w:t>
      </w:r>
      <w:r w:rsidRPr="00B06331">
        <w:rPr>
          <w:rFonts w:ascii="Avenir Book" w:hAnsi="Avenir Book"/>
          <w:color w:val="000000"/>
          <w:szCs w:val="20"/>
        </w:rPr>
        <w:t xml:space="preserve"> school feeding programme. </w:t>
      </w:r>
    </w:p>
    <w:p w:rsidR="003A5A07" w:rsidRPr="00B06331" w:rsidRDefault="003A5A07" w:rsidP="003A5A07">
      <w:pPr>
        <w:autoSpaceDE w:val="0"/>
        <w:autoSpaceDN w:val="0"/>
        <w:adjustRightInd w:val="0"/>
        <w:spacing w:after="0"/>
        <w:jc w:val="both"/>
        <w:rPr>
          <w:rFonts w:ascii="Avenir Book" w:hAnsi="Avenir Book"/>
          <w:color w:val="000000"/>
          <w:szCs w:val="20"/>
        </w:rPr>
      </w:pPr>
    </w:p>
    <w:p w:rsidR="003A5A07" w:rsidRPr="00B06331" w:rsidRDefault="003A5A07" w:rsidP="004D7165">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 xml:space="preserve">Modern ICTs such as mobile phones and the Internet are appealing to the youth and have high potential for facilitating access to information to enhance </w:t>
      </w:r>
      <w:r w:rsidR="00CC54B7" w:rsidRPr="00B06331">
        <w:rPr>
          <w:rFonts w:ascii="Avenir Book" w:hAnsi="Avenir Book"/>
          <w:color w:val="000000"/>
          <w:szCs w:val="20"/>
        </w:rPr>
        <w:t>productivity on the farm,</w:t>
      </w:r>
      <w:r w:rsidRPr="00B06331">
        <w:rPr>
          <w:rFonts w:ascii="Avenir Book" w:hAnsi="Avenir Book"/>
          <w:color w:val="000000"/>
          <w:szCs w:val="20"/>
        </w:rPr>
        <w:t xml:space="preserve"> enabling agricultural innovatio</w:t>
      </w:r>
      <w:r w:rsidR="00CC54B7" w:rsidRPr="00B06331">
        <w:rPr>
          <w:rFonts w:ascii="Avenir Book" w:hAnsi="Avenir Book"/>
          <w:color w:val="000000"/>
          <w:szCs w:val="20"/>
        </w:rPr>
        <w:t>n,</w:t>
      </w:r>
      <w:r w:rsidRPr="00B06331">
        <w:rPr>
          <w:rFonts w:ascii="Avenir Book" w:hAnsi="Avenir Book"/>
          <w:color w:val="000000"/>
          <w:szCs w:val="20"/>
        </w:rPr>
        <w:t xml:space="preserve"> and providing access to financial services and markets. While mobile technology is generally widely diffused in the Gambia, the Internet is not </w:t>
      </w:r>
      <w:r w:rsidR="00CC54B7" w:rsidRPr="00B06331">
        <w:rPr>
          <w:rFonts w:ascii="Avenir Book" w:hAnsi="Avenir Book"/>
          <w:color w:val="000000"/>
          <w:szCs w:val="20"/>
        </w:rPr>
        <w:t>largely accessible because</w:t>
      </w:r>
      <w:r w:rsidRPr="00B06331">
        <w:rPr>
          <w:rFonts w:ascii="Avenir Book" w:hAnsi="Avenir Book"/>
          <w:color w:val="000000"/>
          <w:szCs w:val="20"/>
        </w:rPr>
        <w:t xml:space="preserve"> of high prices of computers and the Internet, combined with lack of electricity. Government will facilitate the use of offline mobile phone processes to link in an interactive manner, the “agripreneurs” and other sector entrepreneurs with knowledge resources, and connect value chain actors. Considering that youth pick up technology more easily, Government will actively seek improved and modern technologies/ appropriate technologies and avail it to the youth for increased production. </w:t>
      </w:r>
    </w:p>
    <w:p w:rsidR="003A5A07" w:rsidRPr="00B06331" w:rsidRDefault="003A5A07" w:rsidP="00484D65">
      <w:pPr>
        <w:autoSpaceDE w:val="0"/>
        <w:autoSpaceDN w:val="0"/>
        <w:adjustRightInd w:val="0"/>
        <w:spacing w:after="0" w:line="240" w:lineRule="auto"/>
        <w:jc w:val="both"/>
        <w:rPr>
          <w:rFonts w:ascii="Avenir Book" w:hAnsi="Avenir Book"/>
          <w:color w:val="000000"/>
        </w:rPr>
      </w:pPr>
    </w:p>
    <w:p w:rsidR="003A5A07" w:rsidRPr="00B06331" w:rsidRDefault="003A5A07" w:rsidP="003A5A07">
      <w:pPr>
        <w:spacing w:after="0" w:line="240" w:lineRule="auto"/>
        <w:jc w:val="both"/>
        <w:rPr>
          <w:rFonts w:ascii="Avenir Book" w:hAnsi="Avenir Book"/>
          <w:b/>
          <w:color w:val="000000"/>
        </w:rPr>
      </w:pPr>
      <w:r w:rsidRPr="00B06331">
        <w:rPr>
          <w:rFonts w:ascii="Avenir Book" w:hAnsi="Avenir Book"/>
          <w:b/>
          <w:color w:val="000000"/>
        </w:rPr>
        <w:lastRenderedPageBreak/>
        <w:t>Strengthen institutional and technical capacity of youth services agencies s</w:t>
      </w:r>
      <w:r w:rsidR="00141D9F" w:rsidRPr="00B06331">
        <w:rPr>
          <w:rFonts w:ascii="Avenir Book" w:hAnsi="Avenir Book"/>
          <w:b/>
          <w:color w:val="000000"/>
        </w:rPr>
        <w:t xml:space="preserve">uch as NYSS, NEDI, NYC, </w:t>
      </w:r>
      <w:r w:rsidR="00CC54B7" w:rsidRPr="00B06331">
        <w:rPr>
          <w:rFonts w:ascii="Avenir Book" w:hAnsi="Avenir Book"/>
          <w:b/>
          <w:color w:val="000000"/>
        </w:rPr>
        <w:t>and PIA</w:t>
      </w:r>
      <w:r w:rsidR="00141D9F" w:rsidRPr="00B06331">
        <w:rPr>
          <w:rFonts w:ascii="Avenir Book" w:hAnsi="Avenir Book"/>
          <w:b/>
          <w:color w:val="000000"/>
        </w:rPr>
        <w:t>.</w:t>
      </w:r>
    </w:p>
    <w:p w:rsidR="006F3A32" w:rsidRPr="00B06331" w:rsidRDefault="006F3A32" w:rsidP="003A5A07">
      <w:pPr>
        <w:jc w:val="both"/>
        <w:rPr>
          <w:rFonts w:ascii="Avenir Book" w:hAnsi="Avenir Book"/>
          <w:color w:val="000000"/>
          <w:szCs w:val="20"/>
        </w:rPr>
      </w:pP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Government will support institutional capacity building of the Ministry of Youth and Sports and its satellite agencies to </w:t>
      </w:r>
      <w:r w:rsidR="00141D9F" w:rsidRPr="00B06331">
        <w:rPr>
          <w:rFonts w:ascii="Avenir Book" w:hAnsi="Avenir Book"/>
          <w:color w:val="000000"/>
          <w:szCs w:val="20"/>
        </w:rPr>
        <w:t>address youth effectively and efficiently</w:t>
      </w:r>
      <w:r w:rsidRPr="00B06331">
        <w:rPr>
          <w:rFonts w:ascii="Avenir Book" w:hAnsi="Avenir Book"/>
          <w:color w:val="000000"/>
          <w:szCs w:val="20"/>
        </w:rPr>
        <w:t xml:space="preserve"> empowerment and development programmes. This capacity building process will feature capacity gap assessment, trainings, institutional restructuring, and the development of tools, systems and procedures for the management of human, financial and material resources.</w:t>
      </w:r>
    </w:p>
    <w:p w:rsidR="003A5A07" w:rsidRPr="00B06331" w:rsidRDefault="006C2AE4" w:rsidP="003A5A07">
      <w:pPr>
        <w:jc w:val="both"/>
        <w:rPr>
          <w:rFonts w:ascii="Avenir Book" w:hAnsi="Avenir Book"/>
          <w:b/>
          <w:color w:val="000000"/>
        </w:rPr>
      </w:pPr>
      <w:r w:rsidRPr="00B06331">
        <w:rPr>
          <w:rFonts w:ascii="Avenir Book" w:hAnsi="Avenir Book"/>
          <w:b/>
          <w:color w:val="000000"/>
        </w:rPr>
        <w:t xml:space="preserve">Strengthen </w:t>
      </w:r>
      <w:r w:rsidR="003A5A07" w:rsidRPr="00B06331">
        <w:rPr>
          <w:rFonts w:ascii="Avenir Book" w:hAnsi="Avenir Book"/>
          <w:b/>
          <w:color w:val="000000"/>
        </w:rPr>
        <w:t>existing youth employment and entrepreneurship programmes</w:t>
      </w: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r w:rsidRPr="00B06331">
        <w:rPr>
          <w:rFonts w:ascii="Avenir Book" w:hAnsi="Avenir Book"/>
          <w:color w:val="000000"/>
          <w:szCs w:val="20"/>
        </w:rPr>
        <w:t xml:space="preserve">Over the past years, Government has established many youth employment and entrepreneurship programmes under the aegis of the NYSS, NEDI, NYC, PIA and the Gambia- Songhaï Initiative. In this NDP, Government will continue implementation of these programmes while emphasizing “sustainable socio-economic entrepreneurship”, including the development of human skills (e.g. cultural, social, technical, </w:t>
      </w:r>
      <w:r w:rsidR="00141D9F" w:rsidRPr="00B06331">
        <w:rPr>
          <w:rFonts w:ascii="Avenir Book" w:hAnsi="Avenir Book"/>
          <w:color w:val="000000"/>
          <w:szCs w:val="20"/>
        </w:rPr>
        <w:t>organizational,</w:t>
      </w:r>
      <w:r w:rsidRPr="00B06331">
        <w:rPr>
          <w:rFonts w:ascii="Avenir Book" w:hAnsi="Avenir Book"/>
          <w:color w:val="000000"/>
          <w:szCs w:val="20"/>
        </w:rPr>
        <w:t xml:space="preserve"> and economic) and the linking of agriculture, tourism, retail, sports </w:t>
      </w:r>
      <w:r w:rsidR="00CC54B7" w:rsidRPr="00B06331">
        <w:rPr>
          <w:rFonts w:ascii="Avenir Book" w:hAnsi="Avenir Book"/>
          <w:color w:val="000000"/>
          <w:szCs w:val="20"/>
        </w:rPr>
        <w:t>etc.</w:t>
      </w:r>
      <w:r w:rsidRPr="00B06331">
        <w:rPr>
          <w:rFonts w:ascii="Avenir Book" w:hAnsi="Avenir Book"/>
          <w:color w:val="000000"/>
          <w:szCs w:val="20"/>
        </w:rPr>
        <w:t>, education to industry and services.</w:t>
      </w: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p>
    <w:p w:rsidR="003A5A07" w:rsidRPr="00B06331" w:rsidRDefault="00141D9F" w:rsidP="003A5A07">
      <w:pPr>
        <w:jc w:val="both"/>
        <w:rPr>
          <w:rFonts w:ascii="Avenir Book" w:hAnsi="Avenir Book"/>
          <w:color w:val="000000"/>
          <w:szCs w:val="20"/>
        </w:rPr>
      </w:pPr>
      <w:r w:rsidRPr="00B06331">
        <w:rPr>
          <w:rFonts w:ascii="Avenir Book" w:hAnsi="Avenir Book"/>
          <w:color w:val="000000"/>
          <w:szCs w:val="20"/>
        </w:rPr>
        <w:t>Government</w:t>
      </w:r>
      <w:r w:rsidR="003A5A07" w:rsidRPr="00B06331">
        <w:rPr>
          <w:rFonts w:ascii="Avenir Book" w:hAnsi="Avenir Book"/>
          <w:color w:val="000000"/>
          <w:szCs w:val="20"/>
        </w:rPr>
        <w:t xml:space="preserve"> will continue the NYSS and PIA youth skills development </w:t>
      </w:r>
      <w:r w:rsidRPr="00B06331">
        <w:rPr>
          <w:rFonts w:ascii="Avenir Book" w:hAnsi="Avenir Book"/>
          <w:color w:val="000000"/>
          <w:szCs w:val="20"/>
        </w:rPr>
        <w:t>programme and</w:t>
      </w:r>
      <w:r w:rsidR="003A5A07" w:rsidRPr="00B06331">
        <w:rPr>
          <w:rFonts w:ascii="Avenir Book" w:hAnsi="Avenir Book"/>
          <w:color w:val="000000"/>
          <w:szCs w:val="20"/>
        </w:rPr>
        <w:t xml:space="preserve"> incorporate internships for those that graduate from the skill Acquisitions programme so they may ultimately acquire producti</w:t>
      </w:r>
      <w:r w:rsidR="004D7165" w:rsidRPr="00B06331">
        <w:rPr>
          <w:rFonts w:ascii="Avenir Book" w:hAnsi="Avenir Book"/>
          <w:color w:val="000000"/>
          <w:szCs w:val="20"/>
        </w:rPr>
        <w:t xml:space="preserve">ve employment. </w:t>
      </w:r>
      <w:r w:rsidR="003A5A07" w:rsidRPr="00B06331">
        <w:rPr>
          <w:rFonts w:ascii="Avenir Book" w:hAnsi="Avenir Book"/>
          <w:color w:val="000000"/>
          <w:szCs w:val="20"/>
        </w:rPr>
        <w:t xml:space="preserve">Similarly, Government will continue the NEDI Youth Entrepreneurship programme, including youth apprenticeship programmes and roll out the Gambia Songhai Initiative to enhanced youth employment in all sectors. Business development services, micro-loans, Agripreneurship, will be emphasized in this programme. </w:t>
      </w: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The National Youth Service Scheme will roll out its formalized apprenticeship programme as mandated by the NYSS Act. This programme will target out of school youths or those that drop out of primary and informal education. The programme will also promote and implement a national service corps programme targeting new tertiary and university graduates who will be deployed into ministries, departments, and agencies to volunteer for a year of service as a civic responsibility to the State. This will avail new graduates an opportunity for hands- on job experience.  </w:t>
      </w: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Government will also scale out the Gambia Songhai Initiative in other four regions of the country namely West Coast, Upper River, Central River and Lower River Regions and this will be managed by the National Youth Service Scheme.</w:t>
      </w: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Government will conduct a review of the National Entrepreneurship Action Plan (NEAP) for inclusiveness of youth development and employability while strengthening the entrepreneurship spirit in all spheres of the economy. The youth will be exposed to economic opportunities and capacitated through technical and financial means to be able to participate. </w:t>
      </w:r>
    </w:p>
    <w:p w:rsidR="003A5A07" w:rsidRPr="00B06331" w:rsidRDefault="003A5A07" w:rsidP="00484D65">
      <w:pPr>
        <w:jc w:val="both"/>
        <w:rPr>
          <w:rFonts w:ascii="Avenir Book" w:hAnsi="Avenir Book"/>
          <w:color w:val="000000"/>
          <w:szCs w:val="20"/>
        </w:rPr>
      </w:pPr>
      <w:r w:rsidRPr="00B06331">
        <w:rPr>
          <w:rFonts w:ascii="Avenir Book" w:hAnsi="Avenir Book"/>
          <w:color w:val="000000"/>
          <w:szCs w:val="20"/>
        </w:rPr>
        <w:t xml:space="preserve">In </w:t>
      </w:r>
      <w:r w:rsidR="00141D9F" w:rsidRPr="00B06331">
        <w:rPr>
          <w:rFonts w:ascii="Avenir Book" w:hAnsi="Avenir Book"/>
          <w:color w:val="000000"/>
          <w:szCs w:val="20"/>
        </w:rPr>
        <w:t>addition,</w:t>
      </w:r>
      <w:r w:rsidRPr="00B06331">
        <w:rPr>
          <w:rFonts w:ascii="Avenir Book" w:hAnsi="Avenir Book"/>
          <w:color w:val="000000"/>
          <w:szCs w:val="20"/>
        </w:rPr>
        <w:t xml:space="preserve"> Government will projectize the entrepreneurship policy and action plan</w:t>
      </w:r>
      <w:r w:rsidR="00CC54B7" w:rsidRPr="00B06331">
        <w:rPr>
          <w:rFonts w:ascii="Avenir Book" w:hAnsi="Avenir Book"/>
          <w:color w:val="000000"/>
          <w:szCs w:val="20"/>
        </w:rPr>
        <w:t>- although</w:t>
      </w:r>
      <w:r w:rsidRPr="00B06331">
        <w:rPr>
          <w:rFonts w:ascii="Avenir Book" w:hAnsi="Avenir Book"/>
          <w:color w:val="000000"/>
          <w:szCs w:val="20"/>
        </w:rPr>
        <w:t xml:space="preserve"> many projects and programmes have been developed from the entrepreneurship policy, there exist a huge opportunity to develop additional programmes based on the same policy. Therefore, government will </w:t>
      </w:r>
      <w:r w:rsidRPr="00B06331">
        <w:rPr>
          <w:rFonts w:ascii="Avenir Book" w:hAnsi="Avenir Book"/>
          <w:color w:val="000000"/>
          <w:szCs w:val="20"/>
        </w:rPr>
        <w:lastRenderedPageBreak/>
        <w:t>continue to work with its development partners to projectize in a sustainable manner the entrepreneurship policy and action plan in line with emerging youth</w:t>
      </w:r>
      <w:r w:rsidR="00484D65" w:rsidRPr="00B06331">
        <w:rPr>
          <w:rFonts w:ascii="Avenir Book" w:hAnsi="Avenir Book"/>
          <w:color w:val="000000"/>
          <w:szCs w:val="20"/>
        </w:rPr>
        <w:t xml:space="preserve"> challenges and opportunities.</w:t>
      </w:r>
    </w:p>
    <w:p w:rsidR="003A5A07" w:rsidRPr="00B06331" w:rsidRDefault="003A5A07" w:rsidP="003A5A07">
      <w:pPr>
        <w:spacing w:after="0" w:line="240" w:lineRule="auto"/>
        <w:jc w:val="both"/>
        <w:rPr>
          <w:rFonts w:ascii="Avenir Book" w:hAnsi="Avenir Book"/>
          <w:b/>
          <w:color w:val="000000"/>
          <w:szCs w:val="20"/>
        </w:rPr>
      </w:pPr>
      <w:r w:rsidRPr="00B06331">
        <w:rPr>
          <w:rFonts w:ascii="Avenir Book" w:hAnsi="Avenir Book"/>
          <w:b/>
          <w:color w:val="000000"/>
          <w:szCs w:val="20"/>
        </w:rPr>
        <w:t xml:space="preserve">Formulate and implement advocacy programmes and policy dialogue platforms on youth employment and entrepreneurship  </w:t>
      </w: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p>
    <w:p w:rsidR="00141D9F" w:rsidRPr="00B06331" w:rsidRDefault="00471449" w:rsidP="00484D65">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 xml:space="preserve">Government </w:t>
      </w:r>
      <w:r w:rsidR="003A5A07" w:rsidRPr="00B06331">
        <w:rPr>
          <w:rFonts w:ascii="Avenir Book" w:hAnsi="Avenir Book"/>
          <w:color w:val="000000"/>
          <w:szCs w:val="20"/>
        </w:rPr>
        <w:t>acknowledges that youth participation has an important role in decision-making and policy dialogue, and is therefore committed to wor</w:t>
      </w:r>
      <w:r w:rsidRPr="00B06331">
        <w:rPr>
          <w:rFonts w:ascii="Avenir Book" w:hAnsi="Avenir Book"/>
          <w:color w:val="000000"/>
          <w:szCs w:val="20"/>
        </w:rPr>
        <w:t xml:space="preserve">k not only for but with youth. </w:t>
      </w:r>
      <w:r w:rsidR="003A5A07" w:rsidRPr="00B06331">
        <w:rPr>
          <w:rFonts w:ascii="Avenir Book" w:hAnsi="Avenir Book"/>
          <w:color w:val="000000"/>
          <w:szCs w:val="20"/>
        </w:rPr>
        <w:t xml:space="preserve">However, there is still a long way to go to ensure the active participation of youth in policy processes. Too </w:t>
      </w:r>
      <w:r w:rsidR="00CC54B7" w:rsidRPr="00B06331">
        <w:rPr>
          <w:rFonts w:ascii="Avenir Book" w:hAnsi="Avenir Book"/>
          <w:color w:val="000000"/>
          <w:szCs w:val="20"/>
        </w:rPr>
        <w:t>often,</w:t>
      </w:r>
      <w:r w:rsidR="003A5A07" w:rsidRPr="00B06331">
        <w:rPr>
          <w:rFonts w:ascii="Avenir Book" w:hAnsi="Avenir Book"/>
          <w:color w:val="000000"/>
          <w:szCs w:val="20"/>
        </w:rPr>
        <w:t xml:space="preserve"> their participation remains token or passive. Seniority is frequentlyassociated with authority, and youth are not expected or allowed to speak out or voice theirconcerns, let alone have a role in policy devel</w:t>
      </w:r>
      <w:r w:rsidRPr="00B06331">
        <w:rPr>
          <w:rFonts w:ascii="Avenir Book" w:hAnsi="Avenir Book"/>
          <w:color w:val="000000"/>
          <w:szCs w:val="20"/>
        </w:rPr>
        <w:t>opment processes</w:t>
      </w:r>
      <w:r w:rsidR="003A5A07" w:rsidRPr="00B06331">
        <w:rPr>
          <w:rFonts w:ascii="Avenir Book" w:hAnsi="Avenir Book"/>
          <w:color w:val="000000"/>
          <w:szCs w:val="20"/>
        </w:rPr>
        <w:t xml:space="preserve">. In many developingcountries, young women’s participation in policy-making is particularly challenging </w:t>
      </w:r>
      <w:r w:rsidR="00484D65" w:rsidRPr="00B06331">
        <w:rPr>
          <w:rFonts w:ascii="Avenir Book" w:hAnsi="Avenir Book"/>
          <w:color w:val="000000"/>
          <w:szCs w:val="20"/>
        </w:rPr>
        <w:t>because of</w:t>
      </w:r>
      <w:r w:rsidR="003A5A07" w:rsidRPr="00B06331">
        <w:rPr>
          <w:rFonts w:ascii="Avenir Book" w:hAnsi="Avenir Book"/>
          <w:color w:val="000000"/>
          <w:szCs w:val="20"/>
        </w:rPr>
        <w:t xml:space="preserve"> traditional beliefs about the suitability of women to hold decision-making positions and thepersistence of gender inequalities at househo</w:t>
      </w:r>
      <w:r w:rsidRPr="00B06331">
        <w:rPr>
          <w:rFonts w:ascii="Avenir Book" w:hAnsi="Avenir Book"/>
          <w:color w:val="000000"/>
          <w:szCs w:val="20"/>
        </w:rPr>
        <w:t>ld level</w:t>
      </w:r>
      <w:r w:rsidR="003A5A07" w:rsidRPr="00B06331">
        <w:rPr>
          <w:rFonts w:ascii="Avenir Book" w:hAnsi="Avenir Book"/>
          <w:color w:val="000000"/>
          <w:szCs w:val="20"/>
        </w:rPr>
        <w:t>.</w:t>
      </w:r>
    </w:p>
    <w:p w:rsidR="00484D65" w:rsidRPr="00B06331" w:rsidRDefault="00484D65" w:rsidP="00484D65">
      <w:pPr>
        <w:autoSpaceDE w:val="0"/>
        <w:autoSpaceDN w:val="0"/>
        <w:adjustRightInd w:val="0"/>
        <w:spacing w:after="0"/>
        <w:jc w:val="both"/>
        <w:rPr>
          <w:rFonts w:ascii="Avenir Book" w:hAnsi="Avenir Book"/>
          <w:color w:val="000000"/>
          <w:szCs w:val="20"/>
        </w:rPr>
      </w:pP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Government will establish policy dialogue forums to give voice to the youth on the Gambia’s development agenda and encourage the subsequent formation of thematic platforms to further promote the youth empowerment agenda. Donor institutions will be encouraged to partner with the youths in creating thematic platforms that promote the dialogue on issues important to youth development. </w:t>
      </w:r>
    </w:p>
    <w:p w:rsidR="00471449"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Specifically, multi- sectoral collaborations will be forged to ensure that firstly the youth acquire the right skills to be effective rights holders while simultaneously creating the environment (as duty bearers) by among others targeting the rural youth and using local languages in all consultations. To this end, the youth groups will be trained on organizational and financial management so that their governance mechanisms are effective and based on accountability and transparency. Other specialist camps will be held to broaden knowledge on issues such as climate change so that youth can make meaningful contributions in policy making </w:t>
      </w:r>
      <w:r w:rsidR="00CC54B7" w:rsidRPr="00B06331">
        <w:rPr>
          <w:rFonts w:ascii="Avenir Book" w:hAnsi="Avenir Book"/>
          <w:color w:val="000000"/>
          <w:szCs w:val="20"/>
        </w:rPr>
        <w:t>and</w:t>
      </w:r>
      <w:r w:rsidRPr="00B06331">
        <w:rPr>
          <w:rFonts w:ascii="Avenir Book" w:hAnsi="Avenir Book"/>
          <w:color w:val="000000"/>
          <w:szCs w:val="20"/>
        </w:rPr>
        <w:t xml:space="preserve"> make informed decisions. </w:t>
      </w: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The policy dialogue and </w:t>
      </w:r>
      <w:r w:rsidR="00141D9F" w:rsidRPr="00B06331">
        <w:rPr>
          <w:rFonts w:ascii="Avenir Book" w:hAnsi="Avenir Book"/>
          <w:color w:val="000000"/>
          <w:szCs w:val="20"/>
        </w:rPr>
        <w:t>decision-making</w:t>
      </w:r>
      <w:r w:rsidRPr="00B06331">
        <w:rPr>
          <w:rFonts w:ascii="Avenir Book" w:hAnsi="Avenir Book"/>
          <w:color w:val="000000"/>
          <w:szCs w:val="20"/>
        </w:rPr>
        <w:t xml:space="preserve"> process will be made gender friendly by targeting the female youths with education, confidence building trainings, holding meetings in nearby locations to reduce travel, and convened at times that do not clash with the household roles of the women. Additional opportunities for youth organizations to network with each other and collaborate to achieve results more effectively will also be provided while also promoting peace building. </w:t>
      </w: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As a key complement of the policy dialogue process, the results of the </w:t>
      </w:r>
      <w:r w:rsidR="00CC54B7" w:rsidRPr="00B06331">
        <w:rPr>
          <w:rFonts w:ascii="Avenir Book" w:hAnsi="Avenir Book"/>
          <w:color w:val="000000"/>
          <w:szCs w:val="20"/>
        </w:rPr>
        <w:t>labor</w:t>
      </w:r>
      <w:r w:rsidRPr="00B06331">
        <w:rPr>
          <w:rFonts w:ascii="Avenir Book" w:hAnsi="Avenir Book"/>
          <w:color w:val="000000"/>
          <w:szCs w:val="20"/>
        </w:rPr>
        <w:t xml:space="preserve"> management information system among the youth populationwill be popularized. To correct the mismatch between skills possessed by youths and the labor market requirements, effective linkages will be established between the Ministry of Youth and the Ministry of Trade to generate and present the results from the </w:t>
      </w:r>
      <w:r w:rsidR="00CC54B7" w:rsidRPr="00B06331">
        <w:rPr>
          <w:rFonts w:ascii="Avenir Book" w:hAnsi="Avenir Book"/>
          <w:color w:val="000000"/>
          <w:szCs w:val="20"/>
        </w:rPr>
        <w:t>labor</w:t>
      </w:r>
      <w:r w:rsidRPr="00B06331">
        <w:rPr>
          <w:rFonts w:ascii="Avenir Book" w:hAnsi="Avenir Book"/>
          <w:color w:val="000000"/>
          <w:szCs w:val="20"/>
        </w:rPr>
        <w:t xml:space="preserve"> market information in a </w:t>
      </w:r>
      <w:r w:rsidR="00141D9F" w:rsidRPr="00B06331">
        <w:rPr>
          <w:rFonts w:ascii="Avenir Book" w:hAnsi="Avenir Book"/>
          <w:color w:val="000000"/>
          <w:szCs w:val="20"/>
        </w:rPr>
        <w:t>user-friendly</w:t>
      </w:r>
      <w:r w:rsidRPr="00B06331">
        <w:rPr>
          <w:rFonts w:ascii="Avenir Book" w:hAnsi="Avenir Book"/>
          <w:color w:val="000000"/>
          <w:szCs w:val="20"/>
        </w:rPr>
        <w:t xml:space="preserve"> format. This information will be disseminated among young people to influence their career and capacity building choices as well as their contributions to the policy dialogues and subsequent thematic platforms that emerge. Additional opportunities for youth organizations to network with each other and collaborate to achieve results more effectively will also </w:t>
      </w:r>
      <w:r w:rsidRPr="00B06331">
        <w:rPr>
          <w:rFonts w:ascii="Avenir Book" w:hAnsi="Avenir Book"/>
          <w:color w:val="000000"/>
          <w:szCs w:val="20"/>
        </w:rPr>
        <w:lastRenderedPageBreak/>
        <w:t xml:space="preserve">be provided while also promoting peace building. Furthermore, Government will partner with donor institutions to create thematic platforms that promote the dialogue on issues important to youth development. </w:t>
      </w: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To ensure evidence based advocacy, the research skills of the youth will be </w:t>
      </w:r>
      <w:r w:rsidR="00484D65" w:rsidRPr="00B06331">
        <w:rPr>
          <w:rFonts w:ascii="Avenir Book" w:hAnsi="Avenir Book"/>
          <w:color w:val="000000"/>
          <w:szCs w:val="20"/>
        </w:rPr>
        <w:t>strengthened</w:t>
      </w:r>
      <w:r w:rsidRPr="00B06331">
        <w:rPr>
          <w:rFonts w:ascii="Avenir Book" w:hAnsi="Avenir Book"/>
          <w:color w:val="000000"/>
          <w:szCs w:val="20"/>
        </w:rPr>
        <w:t xml:space="preserve"> to comprehensively capture the voices of the youth, document them and present them to multi stakeholders in a coherent manner while using them as the basis for advocacy. Among others, Government will conduct research on the changing dynamics and needs of the labour market and what actions can be taken to improve youth employment opportunities. Thereafter Advocacy activities would be formulated to address the findings of the research including challenges faced by youth when they are trying to establish themselves in the priority sectors of the economy.</w:t>
      </w:r>
    </w:p>
    <w:p w:rsidR="003A5A07" w:rsidRPr="00B06331" w:rsidRDefault="003A5A07" w:rsidP="003A5A07">
      <w:pPr>
        <w:ind w:right="112"/>
        <w:jc w:val="both"/>
        <w:rPr>
          <w:rFonts w:ascii="Avenir Book" w:hAnsi="Avenir Book"/>
          <w:color w:val="000000"/>
          <w:szCs w:val="20"/>
        </w:rPr>
      </w:pPr>
      <w:r w:rsidRPr="00B06331">
        <w:rPr>
          <w:rFonts w:ascii="Avenir Book" w:hAnsi="Avenir Book"/>
          <w:color w:val="000000"/>
          <w:szCs w:val="20"/>
        </w:rPr>
        <w:t>A communication strategy will be developed and implemented to boost effective and efficient promotion of youth empowerment initiatives. Most often, the multiple challenges confronting the youth leads to disenfranchisement and frustrations which if not adequately addressed threatens social cohesion, peace and security of the society. Therefore, with this comprehensive communication strategy, a two-way system will be created that is premised on the enjoyment, protection and respect for fundamental civil, political and socio-economic rights of young people including young women, who experience dire rights-based challenges. Further to this, it will ensure effective management of diversity and divergent views through the provision of safe spaces for responsible engagement between the rights holders and the duty bearers.</w:t>
      </w:r>
    </w:p>
    <w:p w:rsidR="003A5A07" w:rsidRPr="00B06331" w:rsidRDefault="003A5A07" w:rsidP="00141D9F">
      <w:pPr>
        <w:ind w:right="112"/>
        <w:jc w:val="both"/>
        <w:rPr>
          <w:rFonts w:ascii="Avenir Book" w:hAnsi="Avenir Book"/>
          <w:color w:val="000000"/>
          <w:szCs w:val="20"/>
        </w:rPr>
      </w:pPr>
      <w:r w:rsidRPr="00B06331">
        <w:rPr>
          <w:rFonts w:ascii="Avenir Book" w:hAnsi="Avenir Book"/>
          <w:color w:val="000000"/>
          <w:szCs w:val="20"/>
        </w:rPr>
        <w:t xml:space="preserve">Thecommunication strategy will be anchored on a comprehensive information management system and </w:t>
      </w:r>
      <w:r w:rsidR="006078C5" w:rsidRPr="00B06331">
        <w:rPr>
          <w:rFonts w:ascii="Avenir Book" w:hAnsi="Avenir Book"/>
          <w:color w:val="000000"/>
          <w:szCs w:val="20"/>
        </w:rPr>
        <w:t>will</w:t>
      </w:r>
      <w:r w:rsidRPr="00B06331">
        <w:rPr>
          <w:rFonts w:ascii="Avenir Book" w:hAnsi="Avenir Book"/>
          <w:color w:val="000000"/>
          <w:szCs w:val="20"/>
        </w:rPr>
        <w:t xml:space="preserve"> draw reference from the LMIS. It is envisaged that when properly executed, the youth will have information relating to employment opportunities, skills development, civic education, and sports while equally having an organized mode for giving feedback.</w:t>
      </w:r>
    </w:p>
    <w:p w:rsidR="003A5A07" w:rsidRPr="00B06331" w:rsidRDefault="003A5A07" w:rsidP="003A5A07">
      <w:pPr>
        <w:spacing w:after="0" w:line="240" w:lineRule="auto"/>
        <w:jc w:val="both"/>
        <w:rPr>
          <w:rFonts w:ascii="Avenir Book" w:hAnsi="Avenir Book"/>
          <w:b/>
          <w:color w:val="000000"/>
          <w:szCs w:val="20"/>
        </w:rPr>
      </w:pPr>
      <w:r w:rsidRPr="00B06331">
        <w:rPr>
          <w:rFonts w:ascii="Avenir Book" w:hAnsi="Avenir Book"/>
          <w:b/>
          <w:color w:val="000000"/>
          <w:szCs w:val="20"/>
        </w:rPr>
        <w:t>Establish and operationalize a national youth development fund</w:t>
      </w:r>
    </w:p>
    <w:p w:rsidR="003A5A07" w:rsidRPr="00B06331" w:rsidRDefault="003A5A07" w:rsidP="003A5A07">
      <w:pPr>
        <w:spacing w:after="0" w:line="240" w:lineRule="auto"/>
        <w:jc w:val="both"/>
        <w:rPr>
          <w:rFonts w:ascii="Avenir Book" w:hAnsi="Avenir Book"/>
          <w:color w:val="000000"/>
          <w:szCs w:val="20"/>
        </w:rPr>
      </w:pP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A basket fund will be established to address the access to finance challenge </w:t>
      </w:r>
      <w:r w:rsidR="006078C5" w:rsidRPr="00B06331">
        <w:rPr>
          <w:rFonts w:ascii="Avenir Book" w:hAnsi="Avenir Book"/>
          <w:color w:val="000000"/>
          <w:szCs w:val="20"/>
        </w:rPr>
        <w:t>and</w:t>
      </w:r>
      <w:r w:rsidRPr="00B06331">
        <w:rPr>
          <w:rFonts w:ascii="Avenir Book" w:hAnsi="Avenir Book"/>
          <w:color w:val="000000"/>
          <w:szCs w:val="20"/>
        </w:rPr>
        <w:t xml:space="preserve">support the growth of viable and sustainable SMEs (small and medium enterprises) in the private sector.This fund will be managed by the Ministry of Youth and Sports and all development partners will be encouraged to </w:t>
      </w:r>
      <w:r w:rsidR="00471449" w:rsidRPr="00B06331">
        <w:rPr>
          <w:rFonts w:ascii="Avenir Book" w:hAnsi="Avenir Book"/>
          <w:color w:val="000000"/>
          <w:szCs w:val="20"/>
        </w:rPr>
        <w:t>subscribe to the fund. T</w:t>
      </w:r>
      <w:r w:rsidRPr="00B06331">
        <w:rPr>
          <w:rFonts w:ascii="Avenir Book" w:hAnsi="Avenir Book"/>
          <w:color w:val="000000"/>
          <w:szCs w:val="20"/>
        </w:rPr>
        <w:t>he youth development fund will harmonize/rationalize financial support, avoid duplication and in essence contribute to aid effectiveness.</w:t>
      </w:r>
    </w:p>
    <w:p w:rsidR="003A5A07" w:rsidRPr="00B06331" w:rsidRDefault="003A5A07" w:rsidP="003A5A07">
      <w:pPr>
        <w:ind w:right="112"/>
        <w:jc w:val="both"/>
        <w:rPr>
          <w:rFonts w:ascii="Avenir Book" w:hAnsi="Avenir Book"/>
          <w:color w:val="000000"/>
          <w:szCs w:val="20"/>
        </w:rPr>
      </w:pPr>
      <w:r w:rsidRPr="00B06331">
        <w:rPr>
          <w:rFonts w:ascii="Avenir Book" w:hAnsi="Avenir Book"/>
          <w:color w:val="000000"/>
          <w:szCs w:val="20"/>
        </w:rPr>
        <w:t>In support of this fund, Government will formulate and implement a resource mobilization strategy for youth development, which will additionally feature strategies for increased private sector involvement and participation. The resource mobilization strategy will be supported by dedicated personnel, who will target local and international partners while maintaining a flexible mode that responds to emerg</w:t>
      </w:r>
      <w:r w:rsidR="00471449" w:rsidRPr="00B06331">
        <w:rPr>
          <w:rFonts w:ascii="Avenir Book" w:hAnsi="Avenir Book"/>
          <w:color w:val="000000"/>
          <w:szCs w:val="20"/>
        </w:rPr>
        <w:t xml:space="preserve">ing opportunities and threats. </w:t>
      </w:r>
      <w:r w:rsidRPr="00B06331">
        <w:rPr>
          <w:rFonts w:ascii="Avenir Book" w:hAnsi="Avenir Book"/>
          <w:color w:val="000000"/>
          <w:szCs w:val="20"/>
        </w:rPr>
        <w:t xml:space="preserve">In addition, Government will facilitate access to other complementary mechanisms such as mobile banking, savings and loan schemes, financial adviser/mentors as well as insurance schemes. </w:t>
      </w:r>
    </w:p>
    <w:p w:rsidR="003A5A07" w:rsidRPr="00B06331" w:rsidRDefault="003A5A07" w:rsidP="003A5A07">
      <w:pPr>
        <w:pStyle w:val="ListParagraph"/>
        <w:spacing w:after="0" w:line="240" w:lineRule="auto"/>
        <w:ind w:left="0"/>
        <w:jc w:val="both"/>
        <w:rPr>
          <w:rFonts w:ascii="Avenir Book" w:hAnsi="Avenir Book"/>
          <w:b/>
          <w:color w:val="000000"/>
        </w:rPr>
      </w:pPr>
    </w:p>
    <w:p w:rsidR="003A5A07" w:rsidRPr="00B06331" w:rsidRDefault="003A5A07" w:rsidP="003A5A07">
      <w:pPr>
        <w:ind w:right="112"/>
        <w:jc w:val="both"/>
        <w:rPr>
          <w:rFonts w:ascii="Avenir Book" w:hAnsi="Avenir Book"/>
          <w:b/>
          <w:color w:val="000000"/>
          <w:szCs w:val="20"/>
        </w:rPr>
      </w:pPr>
      <w:r w:rsidRPr="00B06331">
        <w:rPr>
          <w:rFonts w:ascii="Avenir Book" w:hAnsi="Avenir Book"/>
          <w:b/>
          <w:color w:val="000000"/>
          <w:szCs w:val="20"/>
        </w:rPr>
        <w:lastRenderedPageBreak/>
        <w:t>Formulate and implement entrepreneurship and skills development programmes for person with disabilities</w:t>
      </w:r>
      <w:r w:rsidR="006C2AE4" w:rsidRPr="00B06331">
        <w:rPr>
          <w:rFonts w:ascii="Avenir Book" w:hAnsi="Avenir Book"/>
          <w:b/>
          <w:color w:val="000000"/>
          <w:szCs w:val="20"/>
        </w:rPr>
        <w:t>,</w:t>
      </w:r>
      <w:r w:rsidRPr="00B06331">
        <w:rPr>
          <w:rFonts w:ascii="Avenir Book" w:hAnsi="Avenir Book"/>
          <w:b/>
          <w:color w:val="000000"/>
          <w:szCs w:val="20"/>
        </w:rPr>
        <w:t xml:space="preserve"> including financing</w:t>
      </w:r>
    </w:p>
    <w:p w:rsidR="003A5A07" w:rsidRPr="00B06331" w:rsidRDefault="003A5A07" w:rsidP="00141D9F">
      <w:pPr>
        <w:ind w:right="112"/>
        <w:jc w:val="both"/>
        <w:rPr>
          <w:rFonts w:ascii="Avenir Book" w:hAnsi="Avenir Book"/>
          <w:color w:val="000000"/>
          <w:szCs w:val="20"/>
        </w:rPr>
      </w:pPr>
      <w:r w:rsidRPr="00B06331">
        <w:rPr>
          <w:rFonts w:ascii="Avenir Book" w:hAnsi="Avenir Book"/>
          <w:color w:val="000000"/>
          <w:szCs w:val="20"/>
        </w:rPr>
        <w:t xml:space="preserve">Government recognizes the need to integrate and mainstream people with disabilities in all youth and sports initiatives as a means of economic empowerment and financial independence. This way PWD will have their contributions valued, their dignity respected and receive a fair share of the economic growth envisaged. To this end, representative bodies for people with disabilities will be continually engaged in </w:t>
      </w:r>
      <w:r w:rsidR="006078C5" w:rsidRPr="00B06331">
        <w:rPr>
          <w:rFonts w:ascii="Avenir Book" w:hAnsi="Avenir Book"/>
          <w:color w:val="000000"/>
          <w:szCs w:val="20"/>
        </w:rPr>
        <w:t>programmer</w:t>
      </w:r>
      <w:r w:rsidRPr="00B06331">
        <w:rPr>
          <w:rFonts w:ascii="Avenir Book" w:hAnsi="Avenir Book"/>
          <w:color w:val="000000"/>
          <w:szCs w:val="20"/>
        </w:rPr>
        <w:t xml:space="preserve"> formulation, implementation, and monitoring. Specifically, Government recognizes that disability comes in varied forms, one cap does not fit all and will therefore facilitate the inclusion of youth with disabilities in mainstream economic empowerment initiatives but also provide targeted support where required to address their specific needs and interests. In partnership with Civil Society Organizations, Government’s theory of change for empowering youth with disability will be anchored on vocational training, combating stigma and discrimination, financial inclusion and strengthening organizations working with PWDs (organizational development for dis</w:t>
      </w:r>
      <w:r w:rsidR="00141D9F" w:rsidRPr="00B06331">
        <w:rPr>
          <w:rFonts w:ascii="Avenir Book" w:hAnsi="Avenir Book"/>
          <w:color w:val="000000"/>
          <w:szCs w:val="20"/>
        </w:rPr>
        <w:t xml:space="preserve">ability support institutions). </w:t>
      </w:r>
    </w:p>
    <w:p w:rsidR="003A5A07" w:rsidRPr="00B06331" w:rsidRDefault="003A5A07" w:rsidP="003A5A07">
      <w:pPr>
        <w:spacing w:after="0" w:line="240" w:lineRule="auto"/>
        <w:jc w:val="both"/>
        <w:rPr>
          <w:rFonts w:ascii="Avenir Book" w:hAnsi="Avenir Book"/>
          <w:b/>
          <w:color w:val="000000"/>
          <w:szCs w:val="20"/>
        </w:rPr>
      </w:pPr>
      <w:r w:rsidRPr="00B06331">
        <w:rPr>
          <w:rFonts w:ascii="Avenir Book" w:hAnsi="Avenir Book"/>
          <w:b/>
          <w:color w:val="000000"/>
          <w:szCs w:val="20"/>
        </w:rPr>
        <w:t xml:space="preserve">Expand and revitalize multi- purpose youth friendly service centers across the country </w:t>
      </w:r>
    </w:p>
    <w:p w:rsidR="003A5A07" w:rsidRPr="00B06331" w:rsidRDefault="003A5A07" w:rsidP="003A5A07">
      <w:pPr>
        <w:spacing w:after="0" w:line="240" w:lineRule="auto"/>
        <w:jc w:val="both"/>
        <w:rPr>
          <w:rFonts w:ascii="Avenir Book" w:hAnsi="Avenir Book"/>
          <w:color w:val="000000"/>
          <w:szCs w:val="20"/>
        </w:rPr>
      </w:pP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Government will build or refurbish all multi-purpose youth friendly service </w:t>
      </w:r>
      <w:r w:rsidR="006078C5" w:rsidRPr="00B06331">
        <w:rPr>
          <w:rFonts w:ascii="Avenir Book" w:hAnsi="Avenir Book"/>
          <w:color w:val="000000"/>
          <w:szCs w:val="20"/>
        </w:rPr>
        <w:t>centers</w:t>
      </w:r>
      <w:r w:rsidRPr="00B06331">
        <w:rPr>
          <w:rFonts w:ascii="Avenir Book" w:hAnsi="Avenir Book"/>
          <w:color w:val="000000"/>
          <w:szCs w:val="20"/>
        </w:rPr>
        <w:t xml:space="preserve"> throughout the country to support opportunities for the youth to develop their physical, social, emotional, and cognitive abilities and to experience achievement, leadership, leisure friendship and recognition. These centers will serve as the host for engaging youth on sexual and reproductive health issues, alcohol and drug abuse, governance and civic participation, career guidance and counseling as well as other emerging youth challenges and opportunities. The centers will used for intergenerational mutual learning and collaboration that will provide leadership and mentorship opportunities for the emerging leaders on whose shoulders the sustenance of the modest gains the nation has achieved rests.</w:t>
      </w:r>
    </w:p>
    <w:p w:rsidR="00772C6A" w:rsidRPr="00B06331" w:rsidRDefault="003A5A07" w:rsidP="003A5A07">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The youth center will offer organized instructional programmes for physical activities and for academic and arts programmes such as science, crafts and theater. It will also offer opportunities for unstructured activities such as game playing, socializing, club meetings and outdoor play. All youth centers will have dedicated computer room</w:t>
      </w:r>
      <w:r w:rsidR="00471449" w:rsidRPr="00B06331">
        <w:rPr>
          <w:rFonts w:ascii="Avenir Book" w:hAnsi="Avenir Book"/>
          <w:color w:val="000000"/>
          <w:szCs w:val="20"/>
        </w:rPr>
        <w:t xml:space="preserve">s for supervised internet use. </w:t>
      </w:r>
      <w:r w:rsidRPr="00B06331">
        <w:rPr>
          <w:rFonts w:ascii="Avenir Book" w:hAnsi="Avenir Book"/>
          <w:color w:val="000000"/>
          <w:szCs w:val="20"/>
        </w:rPr>
        <w:t>Government will also ensure that the centers are safeguarded against unauthorized access by potentially dangerous persons and are in a healthy environment.</w:t>
      </w:r>
    </w:p>
    <w:p w:rsidR="00EB7E8A" w:rsidRPr="00B06331" w:rsidRDefault="00EB7E8A" w:rsidP="003A5A07">
      <w:pPr>
        <w:spacing w:after="0" w:line="240" w:lineRule="auto"/>
        <w:jc w:val="both"/>
        <w:rPr>
          <w:rFonts w:ascii="Avenir Book" w:hAnsi="Avenir Book"/>
          <w:b/>
          <w:color w:val="000000"/>
          <w:szCs w:val="20"/>
        </w:rPr>
      </w:pPr>
    </w:p>
    <w:p w:rsidR="003A5A07" w:rsidRPr="00B06331" w:rsidRDefault="003A5A07" w:rsidP="003A5A07">
      <w:pPr>
        <w:spacing w:after="0" w:line="240" w:lineRule="auto"/>
        <w:jc w:val="both"/>
        <w:rPr>
          <w:rFonts w:ascii="Avenir Book" w:hAnsi="Avenir Book"/>
          <w:b/>
          <w:color w:val="000000"/>
          <w:szCs w:val="20"/>
        </w:rPr>
      </w:pPr>
      <w:r w:rsidRPr="00B06331">
        <w:rPr>
          <w:rFonts w:ascii="Avenir Book" w:hAnsi="Avenir Book"/>
          <w:b/>
          <w:color w:val="000000"/>
          <w:szCs w:val="20"/>
        </w:rPr>
        <w:t>Promote international exchange programs for youth development</w:t>
      </w:r>
    </w:p>
    <w:p w:rsidR="003A5A07" w:rsidRPr="00B06331" w:rsidRDefault="003A5A07" w:rsidP="003A5A07">
      <w:pPr>
        <w:spacing w:after="0"/>
        <w:jc w:val="both"/>
        <w:rPr>
          <w:rFonts w:ascii="Avenir Book" w:hAnsi="Avenir Book"/>
          <w:color w:val="000000"/>
          <w:szCs w:val="20"/>
        </w:rPr>
      </w:pPr>
    </w:p>
    <w:p w:rsidR="003A5A07" w:rsidRPr="00B06331" w:rsidRDefault="003A5A07" w:rsidP="006C2AE4">
      <w:pPr>
        <w:jc w:val="both"/>
        <w:rPr>
          <w:rFonts w:ascii="Avenir Book" w:hAnsi="Avenir Book"/>
          <w:color w:val="000000"/>
          <w:szCs w:val="20"/>
        </w:rPr>
      </w:pPr>
      <w:r w:rsidRPr="00B06331">
        <w:rPr>
          <w:rFonts w:ascii="Avenir Book" w:hAnsi="Avenir Book"/>
          <w:color w:val="000000"/>
          <w:szCs w:val="20"/>
        </w:rPr>
        <w:t>International collaboration at the sub-regional, regional and global levels will constitute a major strategy in this plan. Subsequently, government will initiate and facilitate youth participation in exchange programmes that will: (i) expose them to different environments thereby learning and sharing best practices; (ii) build youth networks to implement international initiatives; (iii) contribute to the country’s resources mobilization efforts and (iv) serve as a major avenue for behavioral change communication by  mentors and opinion leaders to the youth who are expected to assume the mant</w:t>
      </w:r>
      <w:r w:rsidR="006C2AE4" w:rsidRPr="00B06331">
        <w:rPr>
          <w:rFonts w:ascii="Avenir Book" w:hAnsi="Avenir Book"/>
          <w:color w:val="000000"/>
          <w:szCs w:val="20"/>
        </w:rPr>
        <w:t>le of leadership in the future.</w:t>
      </w:r>
    </w:p>
    <w:p w:rsidR="003A5A07" w:rsidRPr="00B06331" w:rsidRDefault="003A5A07" w:rsidP="003A5A07">
      <w:pPr>
        <w:spacing w:after="0" w:line="240" w:lineRule="auto"/>
        <w:jc w:val="both"/>
        <w:rPr>
          <w:rFonts w:ascii="Avenir Book" w:hAnsi="Avenir Book"/>
          <w:b/>
          <w:color w:val="000000"/>
        </w:rPr>
      </w:pPr>
      <w:r w:rsidRPr="00B06331">
        <w:rPr>
          <w:rFonts w:ascii="Avenir Book" w:hAnsi="Avenir Book"/>
          <w:b/>
          <w:color w:val="000000"/>
        </w:rPr>
        <w:lastRenderedPageBreak/>
        <w:t>Promote inclusion of vocational and entrepreneurial skills training to match economic opportunities and the needs of the labor market</w:t>
      </w:r>
    </w:p>
    <w:p w:rsidR="003A5A07" w:rsidRPr="00B06331" w:rsidRDefault="003A5A07" w:rsidP="003A5A07">
      <w:pPr>
        <w:autoSpaceDE w:val="0"/>
        <w:autoSpaceDN w:val="0"/>
        <w:adjustRightInd w:val="0"/>
        <w:spacing w:after="0" w:line="240" w:lineRule="auto"/>
        <w:rPr>
          <w:rFonts w:ascii="Avenir Book" w:hAnsi="Avenir Book"/>
          <w:color w:val="000000"/>
          <w:szCs w:val="20"/>
        </w:rPr>
      </w:pPr>
    </w:p>
    <w:p w:rsidR="003A5A07" w:rsidRPr="00B06331" w:rsidRDefault="003A5A07" w:rsidP="003A5A07">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 xml:space="preserve">Although well intentioned, the pursuitof youth empowerment and financial independence will remain elusive without the provision </w:t>
      </w:r>
      <w:r w:rsidR="00471449" w:rsidRPr="00B06331">
        <w:rPr>
          <w:rFonts w:ascii="Avenir Book" w:hAnsi="Avenir Book"/>
          <w:color w:val="000000"/>
          <w:szCs w:val="20"/>
        </w:rPr>
        <w:t xml:space="preserve">of </w:t>
      </w:r>
      <w:r w:rsidRPr="00B06331">
        <w:rPr>
          <w:rFonts w:ascii="Avenir Book" w:hAnsi="Avenir Book"/>
          <w:color w:val="000000"/>
          <w:szCs w:val="20"/>
        </w:rPr>
        <w:t xml:space="preserve">relevant education to the youth population.  Government will use multi-sectoral platforms to provide young people with an education that improves their basic numeracy and literacy, managerial, leadership and business skills, and introduce them to sector specific knowledge such as agriculture, tourism and other sector knowledge. At the basic and secondary education level, young people will be provided with TVET education early on so to ensure uptake and a structured/formal pursuit within the school system.  Opportunities for apprenticeship will also be provided for the youth in collaboration with the private sector. Given that young women’s access to training are often restricted by mobility, young motherhood and limited schooling levels, Government will improve chances for women education by enforcing the re-entry education policy, locating schools closer to communities and advocating for the adoption of the baby friendly initiative in work places. </w:t>
      </w:r>
    </w:p>
    <w:p w:rsidR="003A5A07" w:rsidRPr="00B06331" w:rsidRDefault="003A5A07" w:rsidP="003A5A07">
      <w:pPr>
        <w:autoSpaceDE w:val="0"/>
        <w:autoSpaceDN w:val="0"/>
        <w:adjustRightInd w:val="0"/>
        <w:spacing w:after="0"/>
        <w:jc w:val="both"/>
        <w:rPr>
          <w:rFonts w:ascii="Avenir Book" w:hAnsi="Avenir Book"/>
          <w:color w:val="000000"/>
          <w:szCs w:val="20"/>
        </w:rPr>
      </w:pPr>
    </w:p>
    <w:p w:rsidR="003A5A07" w:rsidRPr="00B06331" w:rsidRDefault="003A5A07" w:rsidP="003A5A07">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 xml:space="preserve">To improve the relevance of the education offered to the youth, Government will connect the University of The Gambia and other major TVET institutions with the communities to additionally broaden knowledge, increase research and development dissemination and enhance local problem-solving. Moreover, Government will connect educational institutions with labour market information systems and build strong partnerships with employers to ensure that the TVET trainings respond to labour market needs. </w:t>
      </w:r>
    </w:p>
    <w:p w:rsidR="003A5A07" w:rsidRPr="00B06331" w:rsidRDefault="003A5A07" w:rsidP="003A5A07">
      <w:pPr>
        <w:autoSpaceDE w:val="0"/>
        <w:autoSpaceDN w:val="0"/>
        <w:adjustRightInd w:val="0"/>
        <w:spacing w:after="0"/>
        <w:jc w:val="both"/>
        <w:rPr>
          <w:rFonts w:ascii="Avenir Book" w:hAnsi="Avenir Book"/>
          <w:color w:val="000000"/>
          <w:szCs w:val="20"/>
        </w:rPr>
      </w:pPr>
    </w:p>
    <w:p w:rsidR="003A5A07" w:rsidRPr="00B06331" w:rsidRDefault="003A5A07" w:rsidP="003A5A07">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 xml:space="preserve">Premised on a revitalized collaboration between the Ministry of Education, Ministry of Youth and Development Partners, the youth will be provided opportunities to attain post graduate education that are closely aligned to community action research. This is ongoing within the purview of the higher education Ministry and will be scaled up to include other sectors like tourism and finance.  </w:t>
      </w:r>
    </w:p>
    <w:p w:rsidR="003A5A07" w:rsidRPr="00B06331" w:rsidRDefault="003A5A07" w:rsidP="003A5A07">
      <w:pPr>
        <w:autoSpaceDE w:val="0"/>
        <w:autoSpaceDN w:val="0"/>
        <w:adjustRightInd w:val="0"/>
        <w:spacing w:after="0"/>
        <w:jc w:val="both"/>
        <w:rPr>
          <w:rFonts w:ascii="Avenir Book" w:hAnsi="Avenir Book"/>
          <w:color w:val="000000"/>
          <w:szCs w:val="20"/>
        </w:rPr>
      </w:pPr>
    </w:p>
    <w:p w:rsidR="003A5A07" w:rsidRPr="00B06331" w:rsidRDefault="003A5A07" w:rsidP="003A5A07">
      <w:pPr>
        <w:spacing w:after="0"/>
        <w:jc w:val="both"/>
        <w:rPr>
          <w:rFonts w:ascii="Avenir Book" w:hAnsi="Avenir Book"/>
          <w:b/>
          <w:color w:val="000000"/>
          <w:szCs w:val="20"/>
        </w:rPr>
      </w:pPr>
      <w:r w:rsidRPr="00B06331">
        <w:rPr>
          <w:rFonts w:ascii="Avenir Book" w:hAnsi="Avenir Book"/>
          <w:b/>
          <w:color w:val="000000"/>
          <w:szCs w:val="20"/>
        </w:rPr>
        <w:t>Establish a Youth Enterprise Palace</w:t>
      </w:r>
    </w:p>
    <w:p w:rsidR="003A5A07" w:rsidRPr="00B06331" w:rsidRDefault="003A5A07" w:rsidP="003A5A07">
      <w:pPr>
        <w:pStyle w:val="ListParagraph"/>
        <w:spacing w:after="0"/>
        <w:jc w:val="both"/>
        <w:rPr>
          <w:rFonts w:ascii="Avenir Book" w:hAnsi="Avenir Book"/>
          <w:color w:val="000000"/>
        </w:rPr>
      </w:pPr>
    </w:p>
    <w:p w:rsidR="003A5A07" w:rsidRPr="00B06331" w:rsidRDefault="003A5A07" w:rsidP="003A5A07">
      <w:pPr>
        <w:autoSpaceDE w:val="0"/>
        <w:autoSpaceDN w:val="0"/>
        <w:adjustRightInd w:val="0"/>
        <w:spacing w:after="0"/>
        <w:jc w:val="both"/>
        <w:rPr>
          <w:rFonts w:ascii="Avenir Book" w:hAnsi="Avenir Book"/>
          <w:color w:val="000000"/>
          <w:szCs w:val="20"/>
        </w:rPr>
      </w:pPr>
      <w:r w:rsidRPr="00B06331">
        <w:rPr>
          <w:rFonts w:ascii="Avenir Book" w:hAnsi="Avenir Book"/>
          <w:color w:val="000000"/>
          <w:szCs w:val="20"/>
        </w:rPr>
        <w:t xml:space="preserve">Government will seek private partnerships to establish this one stop shop for (I) linking young people with business ideas with mentors/ guest experts committedto helping the young innovators convert their dreams into reality; (ii) providing them with Internet access and trainingto improve their ICT skills; (iii)providing business incubation machines/equipment; (iv) providing concrete advice on how to market their ideas and produce; (v) a market place for displaying and sale of produce; as well as (vi)  guidance on how to access venture capital. The business plans developed by teams of youth and mentors will cover a range of sectors,including ICT applications for agriculture. </w:t>
      </w:r>
    </w:p>
    <w:p w:rsidR="00484D65" w:rsidRPr="00B06331" w:rsidRDefault="00484D65" w:rsidP="003A5A07">
      <w:pPr>
        <w:autoSpaceDE w:val="0"/>
        <w:autoSpaceDN w:val="0"/>
        <w:adjustRightInd w:val="0"/>
        <w:spacing w:after="0"/>
        <w:jc w:val="both"/>
        <w:rPr>
          <w:rFonts w:ascii="Avenir Book" w:hAnsi="Avenir Book"/>
          <w:color w:val="000000"/>
          <w:szCs w:val="20"/>
        </w:rPr>
      </w:pPr>
    </w:p>
    <w:p w:rsidR="00484D65" w:rsidRPr="00B06331" w:rsidRDefault="00484D65" w:rsidP="003A5A07">
      <w:pPr>
        <w:autoSpaceDE w:val="0"/>
        <w:autoSpaceDN w:val="0"/>
        <w:adjustRightInd w:val="0"/>
        <w:spacing w:after="0"/>
        <w:jc w:val="both"/>
        <w:rPr>
          <w:rFonts w:ascii="Avenir Book" w:hAnsi="Avenir Book"/>
          <w:b/>
          <w:i/>
          <w:color w:val="000000"/>
          <w:szCs w:val="20"/>
        </w:rPr>
      </w:pPr>
      <w:r w:rsidRPr="00B06331">
        <w:rPr>
          <w:rFonts w:ascii="Avenir Book" w:hAnsi="Avenir Book"/>
          <w:b/>
          <w:i/>
          <w:color w:val="4472C4" w:themeColor="accent1"/>
          <w:szCs w:val="20"/>
        </w:rPr>
        <w:t>Outcome 7.2: Physical, mental, social wellbeing, sexual and reproductive health and rights is improved for young people, including persons with disability in the Gambia</w:t>
      </w:r>
    </w:p>
    <w:p w:rsidR="003A5A07" w:rsidRPr="00B06331" w:rsidRDefault="003A5A07" w:rsidP="003A5A07">
      <w:pPr>
        <w:autoSpaceDE w:val="0"/>
        <w:autoSpaceDN w:val="0"/>
        <w:adjustRightInd w:val="0"/>
        <w:spacing w:after="0"/>
        <w:jc w:val="both"/>
        <w:rPr>
          <w:rFonts w:ascii="Avenir Book" w:hAnsi="Avenir Book"/>
          <w:color w:val="000000"/>
          <w:szCs w:val="20"/>
        </w:rPr>
      </w:pPr>
    </w:p>
    <w:p w:rsidR="003A5A07" w:rsidRPr="00B06331" w:rsidRDefault="003A5A07" w:rsidP="003A5A07">
      <w:pPr>
        <w:autoSpaceDE w:val="0"/>
        <w:autoSpaceDN w:val="0"/>
        <w:adjustRightInd w:val="0"/>
        <w:spacing w:after="0" w:line="240" w:lineRule="auto"/>
        <w:jc w:val="both"/>
        <w:rPr>
          <w:rFonts w:ascii="Avenir Book" w:hAnsi="Avenir Book"/>
          <w:b/>
          <w:color w:val="000000"/>
        </w:rPr>
      </w:pPr>
      <w:r w:rsidRPr="00B06331">
        <w:rPr>
          <w:rFonts w:ascii="Avenir Book" w:hAnsi="Avenir Book"/>
          <w:b/>
          <w:color w:val="000000"/>
        </w:rPr>
        <w:lastRenderedPageBreak/>
        <w:t>Increase and improve young people’s access to quality health services, by working with Government and CSOs to identify alternative ways to reach young people with SRH and Family Planning services</w:t>
      </w:r>
    </w:p>
    <w:p w:rsidR="003A5A07" w:rsidRPr="00B06331" w:rsidRDefault="003A5A07" w:rsidP="003A5A07">
      <w:pPr>
        <w:autoSpaceDE w:val="0"/>
        <w:autoSpaceDN w:val="0"/>
        <w:adjustRightInd w:val="0"/>
        <w:spacing w:after="0" w:line="240" w:lineRule="auto"/>
        <w:jc w:val="both"/>
        <w:rPr>
          <w:rFonts w:ascii="Avenir Book" w:hAnsi="Avenir Book"/>
          <w:color w:val="000000"/>
          <w:szCs w:val="20"/>
        </w:rPr>
      </w:pPr>
    </w:p>
    <w:p w:rsidR="003A5A07" w:rsidRPr="00B06331" w:rsidRDefault="003A5A07" w:rsidP="003A5A07">
      <w:pPr>
        <w:autoSpaceDE w:val="0"/>
        <w:autoSpaceDN w:val="0"/>
        <w:adjustRightInd w:val="0"/>
        <w:spacing w:after="0"/>
        <w:jc w:val="both"/>
        <w:rPr>
          <w:rFonts w:ascii="Avenir Book" w:hAnsi="Avenir Book" w:cs="Arial"/>
          <w:szCs w:val="24"/>
        </w:rPr>
      </w:pPr>
      <w:r w:rsidRPr="00B06331">
        <w:rPr>
          <w:rFonts w:ascii="Avenir Book" w:hAnsi="Avenir Book" w:cs="Arial"/>
          <w:szCs w:val="24"/>
        </w:rPr>
        <w:t xml:space="preserve">Good health is cardinal to reducing youth vulnerability and to maximizing human capital investment. To harness the demographic dividend, Government will make strategic investments that would improve health outcomes especially as it relates to access to sexual and reproductive health and family planning.  Government will use multiple means to ensure that the youth have access to a relevant and high quality health care system that responds to their specific health needs including through partnerships with CSOs on SRH and family planning services. Young people’s ability, knowledge and use of health services will also be promoted during the plan period. </w:t>
      </w:r>
    </w:p>
    <w:p w:rsidR="003A5A07" w:rsidRPr="00B06331" w:rsidRDefault="003A5A07" w:rsidP="003A5A07">
      <w:pPr>
        <w:autoSpaceDE w:val="0"/>
        <w:autoSpaceDN w:val="0"/>
        <w:adjustRightInd w:val="0"/>
        <w:spacing w:after="0" w:line="240" w:lineRule="auto"/>
        <w:jc w:val="both"/>
        <w:rPr>
          <w:rFonts w:ascii="Avenir Book" w:hAnsi="Avenir Book"/>
          <w:color w:val="000000"/>
          <w:sz w:val="20"/>
          <w:szCs w:val="20"/>
        </w:rPr>
      </w:pPr>
    </w:p>
    <w:p w:rsidR="003A5A07" w:rsidRPr="00B06331" w:rsidRDefault="006C2AE4" w:rsidP="003A5A07">
      <w:pPr>
        <w:autoSpaceDE w:val="0"/>
        <w:autoSpaceDN w:val="0"/>
        <w:adjustRightInd w:val="0"/>
        <w:spacing w:after="0"/>
        <w:jc w:val="both"/>
        <w:rPr>
          <w:rFonts w:ascii="Avenir Book" w:hAnsi="Avenir Book"/>
          <w:b/>
          <w:color w:val="000000"/>
        </w:rPr>
      </w:pPr>
      <w:r w:rsidRPr="00B06331">
        <w:rPr>
          <w:rFonts w:ascii="Avenir Book" w:hAnsi="Avenir Book"/>
          <w:b/>
          <w:color w:val="000000"/>
        </w:rPr>
        <w:t xml:space="preserve">Strengthen </w:t>
      </w:r>
      <w:r w:rsidR="003A5A07" w:rsidRPr="00B06331">
        <w:rPr>
          <w:rFonts w:ascii="Avenir Book" w:hAnsi="Avenir Book"/>
          <w:b/>
          <w:color w:val="000000"/>
        </w:rPr>
        <w:t>Gover</w:t>
      </w:r>
      <w:r w:rsidRPr="00B06331">
        <w:rPr>
          <w:rFonts w:ascii="Avenir Book" w:hAnsi="Avenir Book"/>
          <w:b/>
          <w:color w:val="000000"/>
        </w:rPr>
        <w:t>nment - CSO</w:t>
      </w:r>
      <w:r w:rsidR="004143E3" w:rsidRPr="00B06331">
        <w:rPr>
          <w:rFonts w:ascii="Avenir Book" w:hAnsi="Avenir Book"/>
          <w:b/>
          <w:color w:val="000000"/>
        </w:rPr>
        <w:t>collaboration</w:t>
      </w:r>
      <w:r w:rsidR="003A5A07" w:rsidRPr="00B06331">
        <w:rPr>
          <w:rFonts w:ascii="Avenir Book" w:hAnsi="Avenir Book"/>
          <w:b/>
          <w:color w:val="000000"/>
        </w:rPr>
        <w:t>to address legal and policy barriers for young people’s access to SRH and FP services.</w:t>
      </w:r>
    </w:p>
    <w:p w:rsidR="003A5A07" w:rsidRPr="00B06331" w:rsidRDefault="003A5A07" w:rsidP="003A5A07">
      <w:pPr>
        <w:autoSpaceDE w:val="0"/>
        <w:autoSpaceDN w:val="0"/>
        <w:adjustRightInd w:val="0"/>
        <w:spacing w:after="0"/>
        <w:jc w:val="both"/>
        <w:rPr>
          <w:rFonts w:ascii="Avenir Book" w:hAnsi="Avenir Book"/>
          <w:b/>
          <w:color w:val="000000"/>
        </w:rPr>
      </w:pPr>
    </w:p>
    <w:p w:rsidR="003A5A07" w:rsidRPr="00B06331" w:rsidRDefault="003A5A07" w:rsidP="003A5A07">
      <w:pPr>
        <w:autoSpaceDE w:val="0"/>
        <w:autoSpaceDN w:val="0"/>
        <w:adjustRightInd w:val="0"/>
        <w:spacing w:after="0"/>
        <w:jc w:val="both"/>
        <w:rPr>
          <w:rFonts w:ascii="Avenir Book" w:hAnsi="Avenir Book" w:cs="Arial"/>
          <w:szCs w:val="24"/>
        </w:rPr>
      </w:pPr>
      <w:r w:rsidRPr="00B06331">
        <w:rPr>
          <w:rFonts w:ascii="Avenir Book" w:hAnsi="Avenir Book" w:cs="Arial"/>
          <w:szCs w:val="24"/>
        </w:rPr>
        <w:t xml:space="preserve">Government will collaborate with CSOs to seek information on and address legal and policy barriers for young people’s access to SRH and FP services, including restrictions based on age and/or marital status. The search for viable solutions to the demand barriers will factor cultural norms and undertaken sensitively. </w:t>
      </w:r>
    </w:p>
    <w:p w:rsidR="003A5A07" w:rsidRPr="00B06331" w:rsidRDefault="003A5A07" w:rsidP="003A5A07">
      <w:pPr>
        <w:autoSpaceDE w:val="0"/>
        <w:autoSpaceDN w:val="0"/>
        <w:adjustRightInd w:val="0"/>
        <w:spacing w:after="0"/>
        <w:jc w:val="both"/>
        <w:rPr>
          <w:rFonts w:ascii="Avenir Book" w:hAnsi="Avenir Book" w:cs="Arial"/>
          <w:szCs w:val="24"/>
        </w:rPr>
      </w:pPr>
    </w:p>
    <w:p w:rsidR="003A5A07" w:rsidRPr="00B06331" w:rsidRDefault="00772C6A" w:rsidP="003A5A07">
      <w:pPr>
        <w:autoSpaceDE w:val="0"/>
        <w:autoSpaceDN w:val="0"/>
        <w:adjustRightInd w:val="0"/>
        <w:spacing w:after="0"/>
        <w:jc w:val="both"/>
        <w:rPr>
          <w:rFonts w:ascii="Avenir Book" w:hAnsi="Avenir Book" w:cs="Arial"/>
          <w:b/>
          <w:szCs w:val="24"/>
        </w:rPr>
      </w:pPr>
      <w:r w:rsidRPr="00B06331">
        <w:rPr>
          <w:rFonts w:ascii="Avenir Book" w:hAnsi="Avenir Book" w:cs="Arial"/>
          <w:b/>
          <w:szCs w:val="24"/>
        </w:rPr>
        <w:t xml:space="preserve">Promote collaboration between </w:t>
      </w:r>
      <w:r w:rsidR="003A5A07" w:rsidRPr="00B06331">
        <w:rPr>
          <w:rFonts w:ascii="Avenir Book" w:hAnsi="Avenir Book" w:cs="Arial"/>
          <w:b/>
          <w:szCs w:val="24"/>
        </w:rPr>
        <w:t>community-based organizations, community leaders, youth groups and the media (traditional and conventional), to reduce stigma and promote universal access to health services</w:t>
      </w:r>
    </w:p>
    <w:p w:rsidR="003A5A07" w:rsidRPr="00B06331" w:rsidRDefault="003A5A07" w:rsidP="003A5A07">
      <w:pPr>
        <w:autoSpaceDE w:val="0"/>
        <w:autoSpaceDN w:val="0"/>
        <w:adjustRightInd w:val="0"/>
        <w:spacing w:after="0"/>
        <w:jc w:val="both"/>
        <w:rPr>
          <w:rFonts w:ascii="Avenir Book" w:hAnsi="Avenir Book" w:cs="Arial"/>
          <w:szCs w:val="24"/>
        </w:rPr>
      </w:pPr>
    </w:p>
    <w:p w:rsidR="003A5A07" w:rsidRPr="00B06331" w:rsidRDefault="003A5A07" w:rsidP="003A5A07">
      <w:pPr>
        <w:autoSpaceDE w:val="0"/>
        <w:autoSpaceDN w:val="0"/>
        <w:adjustRightInd w:val="0"/>
        <w:spacing w:after="0"/>
        <w:jc w:val="both"/>
        <w:rPr>
          <w:rFonts w:ascii="Avenir Book" w:hAnsi="Avenir Book" w:cs="Arial"/>
          <w:szCs w:val="24"/>
        </w:rPr>
      </w:pPr>
      <w:r w:rsidRPr="00B06331">
        <w:rPr>
          <w:rFonts w:ascii="Avenir Book" w:hAnsi="Avenir Book" w:cs="Arial"/>
          <w:szCs w:val="24"/>
        </w:rPr>
        <w:t xml:space="preserve">In this plan, social discriminations relating to access to health services will be curbed through advocacy, protection of confidentially and affordability of services. </w:t>
      </w:r>
    </w:p>
    <w:p w:rsidR="00484D65" w:rsidRPr="00B06331" w:rsidRDefault="00484D65" w:rsidP="003A5A07">
      <w:pPr>
        <w:autoSpaceDE w:val="0"/>
        <w:autoSpaceDN w:val="0"/>
        <w:adjustRightInd w:val="0"/>
        <w:spacing w:after="0"/>
        <w:jc w:val="both"/>
        <w:rPr>
          <w:rFonts w:ascii="Avenir Book" w:hAnsi="Avenir Book" w:cs="Arial"/>
          <w:szCs w:val="24"/>
        </w:rPr>
      </w:pPr>
    </w:p>
    <w:p w:rsidR="003A5A07" w:rsidRPr="00B06331" w:rsidRDefault="00484D65" w:rsidP="00484D65">
      <w:pPr>
        <w:autoSpaceDE w:val="0"/>
        <w:autoSpaceDN w:val="0"/>
        <w:adjustRightInd w:val="0"/>
        <w:spacing w:after="0"/>
        <w:jc w:val="both"/>
        <w:rPr>
          <w:rFonts w:ascii="Avenir Book" w:hAnsi="Avenir Book" w:cs="Arial"/>
          <w:b/>
          <w:i/>
          <w:color w:val="4472C4" w:themeColor="accent1"/>
          <w:szCs w:val="24"/>
        </w:rPr>
      </w:pPr>
      <w:r w:rsidRPr="00B06331">
        <w:rPr>
          <w:rFonts w:ascii="Avenir Book" w:hAnsi="Avenir Book" w:cs="Arial"/>
          <w:b/>
          <w:i/>
          <w:color w:val="4472C4" w:themeColor="accent1"/>
          <w:szCs w:val="24"/>
        </w:rPr>
        <w:t>Outcome 7.3: Harmonized rights-based policies and improved coordination of programmes and interventions related to youth and sports</w:t>
      </w:r>
    </w:p>
    <w:p w:rsidR="00484D65" w:rsidRPr="00B06331" w:rsidRDefault="00484D65" w:rsidP="00484D65">
      <w:pPr>
        <w:autoSpaceDE w:val="0"/>
        <w:autoSpaceDN w:val="0"/>
        <w:adjustRightInd w:val="0"/>
        <w:spacing w:after="0"/>
        <w:jc w:val="both"/>
        <w:rPr>
          <w:rFonts w:ascii="Avenir Book" w:hAnsi="Avenir Book" w:cs="Arial"/>
          <w:b/>
          <w:i/>
          <w:color w:val="4472C4" w:themeColor="accent1"/>
          <w:szCs w:val="24"/>
        </w:rPr>
      </w:pPr>
    </w:p>
    <w:p w:rsidR="003A5A07" w:rsidRPr="00B06331" w:rsidRDefault="00772C6A" w:rsidP="003A5A07">
      <w:pPr>
        <w:jc w:val="both"/>
        <w:rPr>
          <w:rFonts w:ascii="Avenir Book" w:hAnsi="Avenir Book" w:cs="Arial"/>
          <w:b/>
          <w:szCs w:val="24"/>
        </w:rPr>
      </w:pPr>
      <w:r w:rsidRPr="00B06331">
        <w:rPr>
          <w:rFonts w:ascii="Avenir Book" w:hAnsi="Avenir Book" w:cs="Arial"/>
          <w:b/>
          <w:szCs w:val="24"/>
        </w:rPr>
        <w:t>Implement</w:t>
      </w:r>
      <w:r w:rsidR="003A5A07" w:rsidRPr="00B06331">
        <w:rPr>
          <w:rFonts w:ascii="Avenir Book" w:hAnsi="Avenir Book" w:cs="Arial"/>
          <w:b/>
          <w:szCs w:val="24"/>
        </w:rPr>
        <w:t xml:space="preserve"> National and International conventions and agreements on adolescents and youth and Sports</w:t>
      </w:r>
    </w:p>
    <w:p w:rsidR="003A5A07" w:rsidRPr="00B06331" w:rsidRDefault="003A5A07" w:rsidP="003A5A07">
      <w:pPr>
        <w:autoSpaceDE w:val="0"/>
        <w:autoSpaceDN w:val="0"/>
        <w:adjustRightInd w:val="0"/>
        <w:spacing w:after="0"/>
        <w:jc w:val="both"/>
        <w:rPr>
          <w:rFonts w:ascii="Avenir Book" w:hAnsi="Avenir Book" w:cs="Arial"/>
          <w:szCs w:val="24"/>
        </w:rPr>
      </w:pPr>
      <w:r w:rsidRPr="00B06331">
        <w:rPr>
          <w:rFonts w:ascii="Avenir Book" w:hAnsi="Avenir Book" w:cs="Arial"/>
          <w:szCs w:val="24"/>
        </w:rPr>
        <w:t>This will include the implementation of the recent NAYCONF Resolutions. In its bid to be responsive to feedback from stakeholders and in the quest for continued improvement in service delivery, government will review the resolutions from the recent national youth conference and festival and work with all stakeholders to implement as appropriate.</w:t>
      </w:r>
    </w:p>
    <w:p w:rsidR="003A5A07" w:rsidRPr="00B06331" w:rsidRDefault="003A5A07" w:rsidP="003A5A07">
      <w:pPr>
        <w:autoSpaceDE w:val="0"/>
        <w:autoSpaceDN w:val="0"/>
        <w:adjustRightInd w:val="0"/>
        <w:spacing w:after="0"/>
        <w:jc w:val="both"/>
        <w:rPr>
          <w:rFonts w:ascii="Avenir Book" w:hAnsi="Avenir Book" w:cs="Arial"/>
          <w:szCs w:val="24"/>
        </w:rPr>
      </w:pPr>
    </w:p>
    <w:p w:rsidR="003A5A07" w:rsidRPr="00B06331" w:rsidRDefault="00484D65" w:rsidP="003A5A07">
      <w:pPr>
        <w:autoSpaceDE w:val="0"/>
        <w:autoSpaceDN w:val="0"/>
        <w:adjustRightInd w:val="0"/>
        <w:spacing w:after="0"/>
        <w:jc w:val="both"/>
        <w:rPr>
          <w:rFonts w:ascii="Avenir Book" w:hAnsi="Avenir Book" w:cs="Arial"/>
          <w:szCs w:val="24"/>
        </w:rPr>
      </w:pPr>
      <w:r w:rsidRPr="00B06331">
        <w:rPr>
          <w:rFonts w:ascii="Avenir Book" w:hAnsi="Avenir Book" w:cs="Arial"/>
          <w:szCs w:val="24"/>
        </w:rPr>
        <w:t>Similarly</w:t>
      </w:r>
      <w:r w:rsidR="003A5A07" w:rsidRPr="00B06331">
        <w:rPr>
          <w:rFonts w:ascii="Avenir Book" w:hAnsi="Avenir Book" w:cs="Arial"/>
          <w:szCs w:val="24"/>
        </w:rPr>
        <w:t xml:space="preserve">, the Banjul + 10 resolutions will be implemented during this period. It is worthy to note that following the African Youth Charter adopted in Banjul in 2006 during the AU Summit of the Heads of State and Governments, a follow-up meeting was held in Banjul in May 2016 </w:t>
      </w:r>
      <w:r w:rsidR="006078C5" w:rsidRPr="00B06331">
        <w:rPr>
          <w:rFonts w:ascii="Avenir Book" w:hAnsi="Avenir Book" w:cs="Arial"/>
          <w:szCs w:val="24"/>
        </w:rPr>
        <w:t>to assess the</w:t>
      </w:r>
      <w:r w:rsidR="003A5A07" w:rsidRPr="00B06331">
        <w:rPr>
          <w:rFonts w:ascii="Avenir Book" w:hAnsi="Avenir Book" w:cs="Arial"/>
          <w:szCs w:val="24"/>
        </w:rPr>
        <w:t xml:space="preserve"> implementation of the Charter, which culminated in the adoption of resolutions.  </w:t>
      </w:r>
    </w:p>
    <w:p w:rsidR="003A5A07" w:rsidRPr="00B06331" w:rsidRDefault="003A5A07" w:rsidP="003A5A07">
      <w:pPr>
        <w:pStyle w:val="ListParagraph"/>
        <w:spacing w:after="0" w:line="240" w:lineRule="auto"/>
        <w:ind w:left="0"/>
        <w:jc w:val="both"/>
        <w:rPr>
          <w:rFonts w:ascii="Avenir Book" w:hAnsi="Avenir Book" w:cs="Arial"/>
          <w:szCs w:val="24"/>
        </w:rPr>
      </w:pPr>
    </w:p>
    <w:p w:rsidR="003A5A07" w:rsidRPr="00B06331" w:rsidRDefault="003A5A07" w:rsidP="003A5A07">
      <w:pPr>
        <w:pStyle w:val="ListParagraph"/>
        <w:spacing w:after="0" w:line="240" w:lineRule="auto"/>
        <w:ind w:left="0"/>
        <w:jc w:val="both"/>
        <w:rPr>
          <w:rFonts w:ascii="Avenir Book" w:hAnsi="Avenir Book"/>
          <w:b/>
          <w:color w:val="000000"/>
        </w:rPr>
      </w:pPr>
      <w:r w:rsidRPr="00B06331">
        <w:rPr>
          <w:rFonts w:ascii="Avenir Book" w:hAnsi="Avenir Book"/>
          <w:b/>
          <w:color w:val="000000"/>
        </w:rPr>
        <w:t>Strengthen planning, implementation, monitoring and evaluation of all youth related programmes, for decision making, regulation, results based management of the youth and sports ministry, departments and agencies, community organizations, associations, and facilities.</w:t>
      </w:r>
    </w:p>
    <w:p w:rsidR="003A5A07" w:rsidRPr="00B06331" w:rsidRDefault="003A5A07" w:rsidP="003A5A07">
      <w:pPr>
        <w:autoSpaceDE w:val="0"/>
        <w:autoSpaceDN w:val="0"/>
        <w:adjustRightInd w:val="0"/>
        <w:spacing w:after="0"/>
        <w:jc w:val="both"/>
        <w:rPr>
          <w:rFonts w:ascii="Avenir Book" w:hAnsi="Avenir Book" w:cs="Arial"/>
          <w:szCs w:val="24"/>
        </w:rPr>
      </w:pPr>
    </w:p>
    <w:p w:rsidR="003A5A07" w:rsidRPr="00B06331" w:rsidRDefault="003A5A07" w:rsidP="003A5A07">
      <w:pPr>
        <w:jc w:val="both"/>
        <w:rPr>
          <w:rFonts w:ascii="Avenir Book" w:hAnsi="Avenir Book"/>
          <w:color w:val="000000"/>
          <w:szCs w:val="20"/>
        </w:rPr>
      </w:pPr>
      <w:r w:rsidRPr="00B06331">
        <w:rPr>
          <w:rFonts w:ascii="Avenir Book" w:hAnsi="Avenir Book"/>
          <w:color w:val="000000"/>
          <w:szCs w:val="20"/>
        </w:rPr>
        <w:t xml:space="preserve">Government will also continue to strengthen planning, implementation, monitoring and evaluation of youth related programmes for greater efficiency. During this period, the Planning Directorate will be </w:t>
      </w:r>
      <w:r w:rsidR="00484D65" w:rsidRPr="00B06331">
        <w:rPr>
          <w:rFonts w:ascii="Avenir Book" w:hAnsi="Avenir Book"/>
          <w:color w:val="000000"/>
          <w:szCs w:val="20"/>
        </w:rPr>
        <w:t>strengthened</w:t>
      </w:r>
      <w:r w:rsidRPr="00B06331">
        <w:rPr>
          <w:rFonts w:ascii="Avenir Book" w:hAnsi="Avenir Book"/>
          <w:color w:val="000000"/>
          <w:szCs w:val="20"/>
        </w:rPr>
        <w:t xml:space="preserve"> with the requisite core staff </w:t>
      </w:r>
      <w:r w:rsidR="006078C5" w:rsidRPr="00B06331">
        <w:rPr>
          <w:rFonts w:ascii="Avenir Book" w:hAnsi="Avenir Book"/>
          <w:color w:val="000000"/>
          <w:szCs w:val="20"/>
        </w:rPr>
        <w:t>and</w:t>
      </w:r>
      <w:r w:rsidRPr="00B06331">
        <w:rPr>
          <w:rFonts w:ascii="Avenir Book" w:hAnsi="Avenir Book"/>
          <w:color w:val="000000"/>
          <w:szCs w:val="20"/>
        </w:rPr>
        <w:t xml:space="preserve"> provided with the required systems and tools to plan and monitor development interventions. Monitoring and Evaluation systems will be incorporated in all MDAs and this will be linked to the national statistical system for greater coherence and efficiency.</w:t>
      </w:r>
    </w:p>
    <w:p w:rsidR="003A5A07" w:rsidRPr="00B06331" w:rsidRDefault="003A5A07" w:rsidP="003A5A07">
      <w:pPr>
        <w:jc w:val="both"/>
        <w:rPr>
          <w:rFonts w:ascii="Avenir Book" w:hAnsi="Avenir Book" w:cs="Arial"/>
          <w:szCs w:val="24"/>
        </w:rPr>
      </w:pPr>
      <w:r w:rsidRPr="00B06331">
        <w:rPr>
          <w:rFonts w:ascii="Avenir Book" w:hAnsi="Avenir Book" w:cs="Arial"/>
          <w:szCs w:val="24"/>
        </w:rPr>
        <w:t xml:space="preserve">Other key activities planned under this theme are </w:t>
      </w:r>
    </w:p>
    <w:p w:rsidR="003A5A07" w:rsidRPr="00B06331" w:rsidRDefault="003A5A07" w:rsidP="004143E3">
      <w:pPr>
        <w:numPr>
          <w:ilvl w:val="0"/>
          <w:numId w:val="58"/>
        </w:numPr>
        <w:spacing w:after="0" w:line="240" w:lineRule="auto"/>
        <w:jc w:val="both"/>
        <w:rPr>
          <w:rFonts w:ascii="Avenir Book" w:hAnsi="Avenir Book"/>
          <w:color w:val="000000"/>
        </w:rPr>
      </w:pPr>
      <w:r w:rsidRPr="00B06331">
        <w:rPr>
          <w:rFonts w:ascii="Avenir Book" w:hAnsi="Avenir Book"/>
          <w:color w:val="000000"/>
          <w:u w:val="single"/>
        </w:rPr>
        <w:t>Formulation and enactment of a National Youth Act and Policy</w:t>
      </w:r>
      <w:r w:rsidRPr="00B06331">
        <w:rPr>
          <w:rFonts w:ascii="Avenir Book" w:hAnsi="Avenir Book"/>
          <w:color w:val="000000"/>
        </w:rPr>
        <w:t>: Government desires a comprehensive Youth Act that will legislate how youth organizations/networks/associations and institutions operate in this country for the betterment of all. During the plan period, the sector will mobilize all stakeholders to develop content for the Act and work with the national assembly to enact the Act.</w:t>
      </w:r>
    </w:p>
    <w:p w:rsidR="003A5A07" w:rsidRPr="00B06331" w:rsidRDefault="003A5A07" w:rsidP="004143E3">
      <w:pPr>
        <w:numPr>
          <w:ilvl w:val="0"/>
          <w:numId w:val="58"/>
        </w:numPr>
        <w:spacing w:after="0" w:line="240" w:lineRule="auto"/>
        <w:jc w:val="both"/>
        <w:rPr>
          <w:rFonts w:ascii="Avenir Book" w:hAnsi="Avenir Book"/>
          <w:color w:val="000000"/>
        </w:rPr>
      </w:pPr>
      <w:r w:rsidRPr="00B06331">
        <w:rPr>
          <w:rFonts w:ascii="Avenir Book" w:hAnsi="Avenir Book"/>
          <w:color w:val="000000"/>
          <w:u w:val="single"/>
        </w:rPr>
        <w:t>Revision of the National Sports Act and Policy</w:t>
      </w:r>
      <w:r w:rsidRPr="00B06331">
        <w:rPr>
          <w:rFonts w:ascii="Avenir Book" w:hAnsi="Avenir Book"/>
          <w:color w:val="000000"/>
        </w:rPr>
        <w:t>: The National youth policy will be revised to reflect the current dynamics in the youth participation in national development and cater for all matters relating to youth’s empowerment and development. This will replace the existing youth policy which came into effect in 2009.</w:t>
      </w:r>
    </w:p>
    <w:p w:rsidR="00EB7E8A" w:rsidRPr="00B06331" w:rsidRDefault="00EB7E8A" w:rsidP="003A5A07">
      <w:pPr>
        <w:jc w:val="both"/>
        <w:rPr>
          <w:rFonts w:ascii="Avenir Book" w:hAnsi="Avenir Book"/>
          <w:b/>
          <w:color w:val="000000"/>
        </w:rPr>
      </w:pPr>
    </w:p>
    <w:p w:rsidR="003A5A07" w:rsidRPr="00B06331" w:rsidRDefault="003A5A07" w:rsidP="003A5A07">
      <w:pPr>
        <w:jc w:val="both"/>
        <w:rPr>
          <w:rFonts w:ascii="Avenir Book" w:hAnsi="Avenir Book"/>
          <w:b/>
          <w:color w:val="000000"/>
        </w:rPr>
      </w:pPr>
      <w:r w:rsidRPr="00B06331">
        <w:rPr>
          <w:rFonts w:ascii="Avenir Book" w:hAnsi="Avenir Book"/>
          <w:b/>
          <w:color w:val="000000"/>
        </w:rPr>
        <w:t>Establish regulations for the effective and efficient management of youth and sports organizations, associations, and facilities.</w:t>
      </w:r>
    </w:p>
    <w:p w:rsidR="003A5A07" w:rsidRPr="00B06331" w:rsidRDefault="003A5A07" w:rsidP="003A5A07">
      <w:pPr>
        <w:jc w:val="both"/>
        <w:rPr>
          <w:rFonts w:ascii="Avenir Book" w:hAnsi="Avenir Book"/>
          <w:color w:val="000000"/>
        </w:rPr>
      </w:pPr>
      <w:r w:rsidRPr="00B06331">
        <w:rPr>
          <w:rFonts w:ascii="Avenir Book" w:hAnsi="Avenir Book"/>
          <w:color w:val="000000"/>
        </w:rPr>
        <w:t>A regulatory framework will be put in place for the effective and efficient management of youth organizations, associations and facilities. To ensure stakeholder buy-in, all relevant institutions will participate in the formulation. Enforcement mechanisms will also be put</w:t>
      </w:r>
      <w:r w:rsidR="00484D65" w:rsidRPr="00B06331">
        <w:rPr>
          <w:rFonts w:ascii="Avenir Book" w:hAnsi="Avenir Book"/>
          <w:color w:val="000000"/>
        </w:rPr>
        <w:t xml:space="preserve"> in place to ensure compliance.</w:t>
      </w:r>
    </w:p>
    <w:p w:rsidR="003A5A07" w:rsidRPr="00B06331" w:rsidRDefault="003A5A07" w:rsidP="003A5A07">
      <w:pPr>
        <w:jc w:val="both"/>
        <w:rPr>
          <w:rFonts w:ascii="Avenir Book" w:hAnsi="Avenir Book"/>
          <w:b/>
          <w:color w:val="000000"/>
        </w:rPr>
      </w:pPr>
      <w:r w:rsidRPr="00B06331">
        <w:rPr>
          <w:rFonts w:ascii="Avenir Book" w:hAnsi="Avenir Book"/>
          <w:b/>
          <w:color w:val="000000"/>
        </w:rPr>
        <w:t>Build partnerships and alliances to promote the youth development agenda, at the national and international level.</w:t>
      </w:r>
    </w:p>
    <w:p w:rsidR="003A5A07" w:rsidRPr="00B06331" w:rsidRDefault="003A5A07" w:rsidP="003A5A07">
      <w:pPr>
        <w:jc w:val="both"/>
        <w:rPr>
          <w:rFonts w:ascii="Avenir Book" w:hAnsi="Avenir Book"/>
          <w:color w:val="000000"/>
        </w:rPr>
      </w:pPr>
      <w:r w:rsidRPr="00B06331">
        <w:rPr>
          <w:rFonts w:ascii="Avenir Book" w:hAnsi="Avenir Book"/>
          <w:color w:val="000000"/>
        </w:rPr>
        <w:t xml:space="preserve">The solutions for many of the challenges besetting Gambian youths reside outside the purview of the sector. It is therefore imperative to forge partnerships and alliances to undertake joint planning, programming, </w:t>
      </w:r>
      <w:r w:rsidR="00484D65" w:rsidRPr="00B06331">
        <w:rPr>
          <w:rFonts w:ascii="Avenir Book" w:hAnsi="Avenir Book"/>
          <w:color w:val="000000"/>
        </w:rPr>
        <w:t>implementation,</w:t>
      </w:r>
      <w:r w:rsidRPr="00B06331">
        <w:rPr>
          <w:rFonts w:ascii="Avenir Book" w:hAnsi="Avenir Book"/>
          <w:color w:val="000000"/>
        </w:rPr>
        <w:t xml:space="preserve"> and fund raising. Government will do so in this plan and engage at both the local and international levels. </w:t>
      </w:r>
    </w:p>
    <w:p w:rsidR="00484D65" w:rsidRPr="00B06331" w:rsidRDefault="00484D65" w:rsidP="003A5A07">
      <w:pPr>
        <w:jc w:val="both"/>
        <w:rPr>
          <w:rFonts w:ascii="Avenir Book" w:hAnsi="Avenir Book"/>
          <w:b/>
          <w:i/>
          <w:color w:val="4472C4" w:themeColor="accent1"/>
        </w:rPr>
      </w:pPr>
      <w:r w:rsidRPr="00B06331">
        <w:rPr>
          <w:rFonts w:ascii="Avenir Book" w:hAnsi="Avenir Book"/>
          <w:b/>
          <w:i/>
          <w:color w:val="4472C4" w:themeColor="accent1"/>
        </w:rPr>
        <w:t>Outcome 7.4: Sports promoted and competencies developed for effective participation in national and international competitions for sporting excellence and glory</w:t>
      </w:r>
    </w:p>
    <w:p w:rsidR="003A5A07" w:rsidRPr="00B06331" w:rsidRDefault="003A5A07" w:rsidP="003A5A07">
      <w:pPr>
        <w:jc w:val="both"/>
        <w:rPr>
          <w:rFonts w:ascii="Avenir Book" w:hAnsi="Avenir Book"/>
          <w:b/>
          <w:color w:val="000000"/>
        </w:rPr>
      </w:pPr>
      <w:r w:rsidRPr="00B06331">
        <w:rPr>
          <w:rFonts w:ascii="Avenir Book" w:hAnsi="Avenir Book"/>
          <w:b/>
          <w:color w:val="000000"/>
        </w:rPr>
        <w:t>Undertake results based management for sporting glory and excellence</w:t>
      </w:r>
    </w:p>
    <w:p w:rsidR="003A5A07" w:rsidRPr="00B06331" w:rsidRDefault="003A5A07" w:rsidP="003A5A07">
      <w:pPr>
        <w:jc w:val="both"/>
        <w:rPr>
          <w:rFonts w:ascii="Avenir Book" w:hAnsi="Avenir Book"/>
          <w:color w:val="000000"/>
        </w:rPr>
      </w:pPr>
      <w:r w:rsidRPr="00B06331">
        <w:rPr>
          <w:rFonts w:ascii="Avenir Book" w:hAnsi="Avenir Book"/>
          <w:color w:val="000000"/>
        </w:rPr>
        <w:t xml:space="preserve">Government will strengthen evidence based planning, implementation, monitoring and evaluation in all youth related programmes for greater efficiency. </w:t>
      </w:r>
    </w:p>
    <w:p w:rsidR="003A5A07" w:rsidRPr="00B06331" w:rsidRDefault="003A5A07" w:rsidP="003A5A07">
      <w:pPr>
        <w:spacing w:after="0" w:line="240" w:lineRule="auto"/>
        <w:jc w:val="both"/>
        <w:rPr>
          <w:rFonts w:ascii="Avenir Book" w:hAnsi="Avenir Book"/>
          <w:color w:val="000000"/>
        </w:rPr>
      </w:pPr>
      <w:r w:rsidRPr="00B06331">
        <w:rPr>
          <w:rFonts w:ascii="Avenir Book" w:hAnsi="Avenir Book"/>
          <w:color w:val="000000"/>
        </w:rPr>
        <w:lastRenderedPageBreak/>
        <w:t>Recognizing the significance of funding in the management of sports, a sports development resource mobilization strategy will be formulated and implemented. This will help to meet any funding gaps in Government’s mission to ensure excellence in sports. Like all resource mobilization strategies, it will be anchored on mutual benefits, emphasize incentives and recognize/reward support to the sector.</w:t>
      </w:r>
    </w:p>
    <w:p w:rsidR="003A5A07" w:rsidRPr="00B06331" w:rsidRDefault="003A5A07" w:rsidP="003A5A07">
      <w:pPr>
        <w:spacing w:after="0" w:line="240" w:lineRule="auto"/>
        <w:jc w:val="both"/>
        <w:rPr>
          <w:rFonts w:ascii="Avenir Book" w:hAnsi="Avenir Book"/>
          <w:color w:val="000000"/>
        </w:rPr>
      </w:pPr>
    </w:p>
    <w:p w:rsidR="003A5A07" w:rsidRPr="00B06331" w:rsidRDefault="003A5A07" w:rsidP="00484D65">
      <w:pPr>
        <w:spacing w:after="0" w:line="240" w:lineRule="auto"/>
        <w:jc w:val="both"/>
        <w:rPr>
          <w:rFonts w:ascii="Avenir Book" w:hAnsi="Avenir Book"/>
          <w:color w:val="000000"/>
        </w:rPr>
      </w:pPr>
      <w:r w:rsidRPr="00B06331">
        <w:rPr>
          <w:rFonts w:ascii="Avenir Book" w:hAnsi="Avenir Book"/>
          <w:color w:val="000000"/>
        </w:rPr>
        <w:t>During the period, Government will also develop and implement a sports development communications strategy. This strategy will be formulated through an inclusive and participatory process and is aimed at building partnerships for the development of sports, mobilizing community participation in the sports for health agenda and highlighting the economic opportunities inherent in sports.</w:t>
      </w:r>
    </w:p>
    <w:p w:rsidR="003A5A07" w:rsidRPr="00B06331" w:rsidRDefault="003A5A07" w:rsidP="003A5A07">
      <w:pPr>
        <w:pStyle w:val="ListParagraph"/>
        <w:spacing w:after="0" w:line="240" w:lineRule="auto"/>
        <w:ind w:left="0"/>
        <w:jc w:val="both"/>
        <w:rPr>
          <w:rFonts w:ascii="Avenir Book" w:hAnsi="Avenir Book"/>
          <w:color w:val="000000"/>
        </w:rPr>
      </w:pPr>
    </w:p>
    <w:p w:rsidR="003A5A07" w:rsidRPr="00B06331" w:rsidRDefault="003A5A07" w:rsidP="003A5A07">
      <w:pPr>
        <w:pStyle w:val="ListParagraph"/>
        <w:spacing w:after="0" w:line="240" w:lineRule="auto"/>
        <w:ind w:left="0"/>
        <w:jc w:val="both"/>
        <w:rPr>
          <w:rFonts w:ascii="Avenir Book" w:hAnsi="Avenir Book"/>
          <w:b/>
          <w:color w:val="000000"/>
        </w:rPr>
      </w:pPr>
      <w:r w:rsidRPr="00B06331">
        <w:rPr>
          <w:rFonts w:ascii="Avenir Book" w:hAnsi="Avenir Book"/>
          <w:b/>
          <w:color w:val="000000"/>
        </w:rPr>
        <w:t>Formulate and implement sports development strategies and private sector participation for sports development</w:t>
      </w:r>
    </w:p>
    <w:p w:rsidR="003A5A07" w:rsidRPr="00B06331" w:rsidRDefault="003A5A07" w:rsidP="003A5A07">
      <w:pPr>
        <w:pStyle w:val="ListParagraph"/>
        <w:spacing w:after="0" w:line="240" w:lineRule="auto"/>
        <w:ind w:left="0"/>
        <w:jc w:val="both"/>
        <w:rPr>
          <w:rFonts w:ascii="Avenir Book" w:hAnsi="Avenir Book"/>
          <w:color w:val="000000"/>
        </w:rPr>
      </w:pPr>
    </w:p>
    <w:p w:rsidR="003A5A07" w:rsidRPr="00B06331" w:rsidRDefault="003A5A07" w:rsidP="003A5A07">
      <w:pPr>
        <w:jc w:val="both"/>
        <w:rPr>
          <w:rFonts w:ascii="Avenir Book" w:hAnsi="Avenir Book"/>
          <w:color w:val="000000"/>
        </w:rPr>
      </w:pPr>
      <w:r w:rsidRPr="00B06331">
        <w:rPr>
          <w:rFonts w:ascii="Avenir Book" w:hAnsi="Avenir Book"/>
          <w:color w:val="000000"/>
        </w:rPr>
        <w:t>Key components of this intervention include:</w:t>
      </w:r>
    </w:p>
    <w:p w:rsidR="003A5A07" w:rsidRPr="00B06331" w:rsidRDefault="003A5A07" w:rsidP="004143E3">
      <w:pPr>
        <w:numPr>
          <w:ilvl w:val="0"/>
          <w:numId w:val="59"/>
        </w:numPr>
        <w:spacing w:after="0" w:line="240" w:lineRule="auto"/>
        <w:jc w:val="both"/>
        <w:rPr>
          <w:rFonts w:ascii="Avenir Book" w:hAnsi="Avenir Book"/>
          <w:color w:val="000000"/>
        </w:rPr>
      </w:pPr>
      <w:r w:rsidRPr="00B06331">
        <w:rPr>
          <w:rFonts w:ascii="Avenir Book" w:hAnsi="Avenir Book"/>
          <w:i/>
          <w:color w:val="000000"/>
        </w:rPr>
        <w:t>Sports academies at regional and national levels</w:t>
      </w:r>
      <w:r w:rsidRPr="00B06331">
        <w:rPr>
          <w:rFonts w:ascii="Avenir Book" w:hAnsi="Avenir Book"/>
          <w:color w:val="000000"/>
        </w:rPr>
        <w:t xml:space="preserve">: During the NDP period, Government will work with its partners to set up very effective and functional sports academies at both regional and national levels.  While ensuring accessibility, this will also ensure that aspiring sports men and women have the right tutelage at the right time. Government will also regulate these academies to ensure they adhere to health and safety regulations, environmental regulations, child protection standards, and meet basic standards in terms of facilities, equipment, and instructors. </w:t>
      </w:r>
    </w:p>
    <w:p w:rsidR="003A5A07" w:rsidRPr="00B06331" w:rsidRDefault="003A5A07" w:rsidP="004143E3">
      <w:pPr>
        <w:numPr>
          <w:ilvl w:val="0"/>
          <w:numId w:val="59"/>
        </w:numPr>
        <w:spacing w:after="0" w:line="240" w:lineRule="auto"/>
        <w:jc w:val="both"/>
        <w:rPr>
          <w:rFonts w:ascii="Avenir Book" w:hAnsi="Avenir Book"/>
          <w:color w:val="000000"/>
        </w:rPr>
      </w:pPr>
      <w:r w:rsidRPr="00B06331">
        <w:rPr>
          <w:rFonts w:ascii="Avenir Book" w:hAnsi="Avenir Book"/>
          <w:i/>
          <w:color w:val="000000"/>
        </w:rPr>
        <w:t>Summer youth and sports camp in both national and international levels</w:t>
      </w:r>
      <w:r w:rsidRPr="00B06331">
        <w:rPr>
          <w:rFonts w:ascii="Avenir Book" w:hAnsi="Avenir Book"/>
          <w:color w:val="000000"/>
        </w:rPr>
        <w:t>:Youth and Sports Summer camps will continue to be conducted annually, where youths will be exposed in an intensive mode of sports training, training on the rules of sports, leadership, ethics in sports and other topical issues like irregular migration, culture and religion. These youth camps will continue to serve as one of the major avenues for behavioural change communication from mentors, opinion leaders to the youth who are expected to assume the mantle of leadership in the future.</w:t>
      </w:r>
    </w:p>
    <w:p w:rsidR="003A5A07" w:rsidRPr="00B06331" w:rsidRDefault="003A5A07" w:rsidP="004143E3">
      <w:pPr>
        <w:numPr>
          <w:ilvl w:val="0"/>
          <w:numId w:val="59"/>
        </w:numPr>
        <w:spacing w:after="0" w:line="240" w:lineRule="auto"/>
        <w:jc w:val="both"/>
        <w:rPr>
          <w:rFonts w:ascii="Avenir Book" w:hAnsi="Avenir Book"/>
          <w:color w:val="000000"/>
        </w:rPr>
      </w:pPr>
      <w:r w:rsidRPr="00B06331">
        <w:rPr>
          <w:rFonts w:ascii="Avenir Book" w:hAnsi="Avenir Book"/>
          <w:i/>
          <w:color w:val="000000"/>
        </w:rPr>
        <w:t>Strengthen existing sports facilities and build new ones where necessary</w:t>
      </w:r>
      <w:r w:rsidRPr="00B06331">
        <w:rPr>
          <w:rFonts w:ascii="Avenir Book" w:hAnsi="Avenir Book"/>
          <w:color w:val="000000"/>
        </w:rPr>
        <w:t xml:space="preserve">: During the implementation period of the NDP, Government through the Ministry of Youth and Sports will collaborate with her partners to strengthen existing sports facilities and construct new ones in areas without any. These facilities will be used for social good but will also generate income to ensure financial viability. Government will forge collaborative structures to allow the youth negotiate and encourage the MOLGL, LGAs and Estate developers for adequate allocation of reserve lands for sport. </w:t>
      </w:r>
    </w:p>
    <w:p w:rsidR="003A5A07" w:rsidRPr="00B06331" w:rsidRDefault="003A5A07" w:rsidP="004143E3">
      <w:pPr>
        <w:numPr>
          <w:ilvl w:val="0"/>
          <w:numId w:val="59"/>
        </w:numPr>
        <w:spacing w:after="0" w:line="240" w:lineRule="auto"/>
        <w:jc w:val="both"/>
        <w:rPr>
          <w:rFonts w:ascii="Avenir Book" w:hAnsi="Avenir Book"/>
          <w:color w:val="000000"/>
        </w:rPr>
      </w:pPr>
      <w:r w:rsidRPr="00B06331">
        <w:rPr>
          <w:rFonts w:ascii="Avenir Book" w:hAnsi="Avenir Book"/>
          <w:i/>
          <w:color w:val="000000"/>
        </w:rPr>
        <w:t>Multi-purpose indoor sports facilities in at least four regions</w:t>
      </w:r>
      <w:r w:rsidRPr="00B06331">
        <w:rPr>
          <w:rFonts w:ascii="Avenir Book" w:hAnsi="Avenir Book"/>
          <w:color w:val="000000"/>
        </w:rPr>
        <w:t xml:space="preserve">: The Government of The Gambia will during the period of the NDP construct multi-purpose indoor sports facilities in at least four of the seven regions of the country. </w:t>
      </w:r>
    </w:p>
    <w:p w:rsidR="003A5A07" w:rsidRPr="00B06331" w:rsidRDefault="003A5A07" w:rsidP="004143E3">
      <w:pPr>
        <w:numPr>
          <w:ilvl w:val="0"/>
          <w:numId w:val="59"/>
        </w:numPr>
        <w:spacing w:after="0" w:line="240" w:lineRule="auto"/>
        <w:jc w:val="both"/>
        <w:rPr>
          <w:rFonts w:ascii="Avenir Book" w:hAnsi="Avenir Book"/>
          <w:color w:val="000000"/>
        </w:rPr>
      </w:pPr>
      <w:r w:rsidRPr="00B06331">
        <w:rPr>
          <w:rFonts w:ascii="Avenir Book" w:hAnsi="Avenir Book"/>
          <w:i/>
          <w:color w:val="000000"/>
        </w:rPr>
        <w:t>Inter-schools’ multi-sports competitions will be conducted in different regions of the country.</w:t>
      </w:r>
      <w:r w:rsidR="00EB31D3" w:rsidRPr="00B06331">
        <w:rPr>
          <w:rFonts w:ascii="Avenir Book" w:hAnsi="Avenir Book"/>
          <w:color w:val="000000"/>
        </w:rPr>
        <w:t xml:space="preserve"> These </w:t>
      </w:r>
      <w:r w:rsidRPr="00B06331">
        <w:rPr>
          <w:rFonts w:ascii="Avenir Book" w:hAnsi="Avenir Book"/>
          <w:color w:val="000000"/>
        </w:rPr>
        <w:t>event will serve as a breeding ground for new talents, and will be given priority within the school system. These events will culminate in a National Sports conference and competition week which will bring together all sports men/women who will compete for national recognition and will also provide the platform for stakeholders to map out the way forward for Gambian sports. It will further serve as the basis for the country’s participation in international sporting events.</w:t>
      </w:r>
    </w:p>
    <w:p w:rsidR="00C7179F" w:rsidRPr="00B06331" w:rsidRDefault="00C7179F" w:rsidP="003A5A07">
      <w:pPr>
        <w:pStyle w:val="ListParagraph"/>
        <w:spacing w:after="0" w:line="240" w:lineRule="auto"/>
        <w:ind w:left="0"/>
        <w:jc w:val="both"/>
        <w:rPr>
          <w:rFonts w:ascii="Avenir Book" w:hAnsi="Avenir Book"/>
          <w:color w:val="000000"/>
        </w:rPr>
      </w:pPr>
    </w:p>
    <w:p w:rsidR="003A5A07" w:rsidRPr="00B06331" w:rsidRDefault="003A5A07" w:rsidP="003A5A07">
      <w:pPr>
        <w:pStyle w:val="ListParagraph"/>
        <w:spacing w:line="240" w:lineRule="auto"/>
        <w:ind w:left="0"/>
        <w:jc w:val="both"/>
        <w:rPr>
          <w:rFonts w:ascii="Avenir Book" w:hAnsi="Avenir Book"/>
          <w:b/>
          <w:color w:val="000000"/>
        </w:rPr>
      </w:pPr>
      <w:r w:rsidRPr="00B06331">
        <w:rPr>
          <w:rFonts w:ascii="Avenir Book" w:hAnsi="Avenir Book"/>
          <w:b/>
          <w:color w:val="000000"/>
        </w:rPr>
        <w:t xml:space="preserve">Harness partnerships and cooperation at national and international levels  </w:t>
      </w:r>
    </w:p>
    <w:p w:rsidR="003A5A07" w:rsidRPr="00B06331" w:rsidRDefault="003A5A07" w:rsidP="003A5A07">
      <w:pPr>
        <w:jc w:val="both"/>
        <w:rPr>
          <w:rFonts w:ascii="Avenir Book" w:hAnsi="Avenir Book"/>
          <w:color w:val="000000"/>
        </w:rPr>
      </w:pPr>
      <w:r w:rsidRPr="00B06331">
        <w:rPr>
          <w:rFonts w:ascii="Avenir Book" w:hAnsi="Avenir Book"/>
          <w:color w:val="000000"/>
        </w:rPr>
        <w:t>International collaboration at the sub-regional, regional and global levels will constitute a major strategy in this plan. Subsequently, government will initiate and participate in exchange programmes that will expose the youth to different environments thereby learning and sharing best practices; build youth networks to implement international initiatives; and contribute to the country’s resources mobilization efforts.</w:t>
      </w:r>
    </w:p>
    <w:p w:rsidR="00CC69CB" w:rsidRPr="00B06331" w:rsidRDefault="003A5A07" w:rsidP="00484D65">
      <w:pPr>
        <w:jc w:val="both"/>
        <w:rPr>
          <w:rFonts w:ascii="Avenir Book" w:hAnsi="Avenir Book"/>
          <w:color w:val="000000"/>
        </w:rPr>
      </w:pPr>
      <w:r w:rsidRPr="00B06331">
        <w:rPr>
          <w:rFonts w:ascii="Avenir Book" w:hAnsi="Avenir Book"/>
          <w:color w:val="000000"/>
        </w:rPr>
        <w:t>During the period, the Ministry of Youth and Sports will also collaborate with the University of The Gambia (UTG) through the Ministry of Higher Education, Research, Science and Technology in order to set up a Department of Sports at the UTG. This will address the dearth of physical education teachers and specialized sports instructors in the country. Government will aspire to attain an acceptable qualified sports teacher to student ratio. In the same vein, a determined effort will be undertaken to institutionalize physical education/sports periods in schools. Among other benefits, this is one of the most appropriate means to scout and nurture young talents in order to achieve excellence and glory in sports. Complimenting this is the quest for healthy life styles which will be impo</w:t>
      </w:r>
      <w:r w:rsidR="00EB31D3" w:rsidRPr="00B06331">
        <w:rPr>
          <w:rFonts w:ascii="Avenir Book" w:hAnsi="Avenir Book"/>
          <w:color w:val="000000"/>
        </w:rPr>
        <w:t xml:space="preserve">sed on the school going youth. </w:t>
      </w:r>
      <w:r w:rsidRPr="00B06331">
        <w:rPr>
          <w:rFonts w:ascii="Avenir Book" w:hAnsi="Avenir Book"/>
          <w:color w:val="000000"/>
        </w:rPr>
        <w:t>Partnerships will also be forged with the municipal councils to pursue the sports for health national agenda.</w:t>
      </w:r>
    </w:p>
    <w:p w:rsidR="003A5A07" w:rsidRPr="00B06331" w:rsidRDefault="003A5A07" w:rsidP="003A5A07">
      <w:pPr>
        <w:pStyle w:val="Heading2"/>
        <w:rPr>
          <w:rFonts w:ascii="Calibri" w:hAnsi="Calibri" w:cs="Calibri"/>
          <w:caps/>
          <w:sz w:val="22"/>
          <w:szCs w:val="22"/>
        </w:rPr>
      </w:pPr>
      <w:bookmarkStart w:id="149" w:name="_Toc492364790"/>
      <w:r w:rsidRPr="00B06331">
        <w:rPr>
          <w:rFonts w:ascii="Calibri" w:hAnsi="Calibri" w:cs="Calibri"/>
          <w:sz w:val="22"/>
          <w:szCs w:val="22"/>
        </w:rPr>
        <w:t>7.9 Private Sector Developmentand Trade</w:t>
      </w:r>
      <w:bookmarkEnd w:id="148"/>
      <w:bookmarkEnd w:id="149"/>
    </w:p>
    <w:p w:rsidR="003A5A07" w:rsidRPr="00B06331" w:rsidRDefault="003A5A07" w:rsidP="003A5A07">
      <w:pPr>
        <w:jc w:val="both"/>
        <w:rPr>
          <w:rFonts w:ascii="Avenir Book" w:hAnsi="Avenir Book"/>
          <w:szCs w:val="24"/>
        </w:rPr>
      </w:pPr>
      <w:r w:rsidRPr="00B06331">
        <w:rPr>
          <w:rFonts w:ascii="Avenir Book" w:hAnsi="Avenir Book"/>
          <w:caps/>
          <w:szCs w:val="24"/>
        </w:rPr>
        <w:t>g</w:t>
      </w:r>
      <w:r w:rsidRPr="00B06331">
        <w:rPr>
          <w:rFonts w:ascii="Avenir Book" w:hAnsi="Avenir Book"/>
          <w:szCs w:val="24"/>
        </w:rPr>
        <w:t xml:space="preserve">ambia’s private sector is small and is seriously constrained by an inadequate policy environment, </w:t>
      </w:r>
      <w:r w:rsidR="006C657B" w:rsidRPr="00B06331">
        <w:rPr>
          <w:rFonts w:ascii="Avenir Book" w:hAnsi="Avenir Book"/>
          <w:szCs w:val="24"/>
        </w:rPr>
        <w:t xml:space="preserve">high taxes and </w:t>
      </w:r>
      <w:r w:rsidRPr="00B06331">
        <w:rPr>
          <w:rFonts w:ascii="Avenir Book" w:hAnsi="Avenir Book"/>
          <w:szCs w:val="24"/>
        </w:rPr>
        <w:t>lack of infrastructure and access to finance. As the country seeks to transition</w:t>
      </w:r>
      <w:r w:rsidR="006078C5" w:rsidRPr="00B06331">
        <w:rPr>
          <w:rFonts w:ascii="Avenir Book" w:hAnsi="Avenir Book"/>
          <w:szCs w:val="24"/>
        </w:rPr>
        <w:t xml:space="preserve"> from a predominant agriculture-</w:t>
      </w:r>
      <w:r w:rsidRPr="00B06331">
        <w:rPr>
          <w:rFonts w:ascii="Avenir Book" w:hAnsi="Avenir Book"/>
          <w:szCs w:val="24"/>
        </w:rPr>
        <w:t xml:space="preserve">based economy to a modern one linked to global markets and value chains, with the private sector as the engine of growth and transformation, significant policy reform would be needed. </w:t>
      </w:r>
    </w:p>
    <w:p w:rsidR="00EF1C6B" w:rsidRPr="00B06331" w:rsidRDefault="003A5A07" w:rsidP="003A5A07">
      <w:pPr>
        <w:jc w:val="both"/>
        <w:rPr>
          <w:rFonts w:ascii="Avenir Book" w:hAnsi="Avenir Book"/>
          <w:szCs w:val="24"/>
        </w:rPr>
      </w:pPr>
      <w:r w:rsidRPr="00B06331">
        <w:rPr>
          <w:rFonts w:ascii="Avenir Book" w:hAnsi="Avenir Book"/>
          <w:szCs w:val="24"/>
        </w:rPr>
        <w:t xml:space="preserve">The NDP goal for private sector development is to: </w:t>
      </w:r>
      <w:r w:rsidRPr="00B06331">
        <w:rPr>
          <w:rFonts w:ascii="Avenir Book" w:hAnsi="Avenir Book"/>
          <w:b/>
          <w:i/>
          <w:szCs w:val="24"/>
        </w:rPr>
        <w:t>increase private sector participation, manufacturing, industry and trade contributions to economic growth and employment</w:t>
      </w:r>
      <w:r w:rsidR="00484D65" w:rsidRPr="00B06331">
        <w:rPr>
          <w:rFonts w:ascii="Avenir Book" w:hAnsi="Avenir Book"/>
          <w:szCs w:val="24"/>
        </w:rPr>
        <w:t xml:space="preserve">. </w:t>
      </w:r>
    </w:p>
    <w:p w:rsidR="003A5A07" w:rsidRPr="00B06331" w:rsidRDefault="00484D65" w:rsidP="003A5A07">
      <w:pPr>
        <w:jc w:val="both"/>
        <w:rPr>
          <w:rFonts w:ascii="Avenir Book" w:hAnsi="Avenir Book"/>
          <w:b/>
          <w:szCs w:val="24"/>
        </w:rPr>
      </w:pPr>
      <w:r w:rsidRPr="00B06331">
        <w:rPr>
          <w:rFonts w:ascii="Avenir Book" w:hAnsi="Avenir Book"/>
          <w:b/>
          <w:szCs w:val="24"/>
        </w:rPr>
        <w:t xml:space="preserve">Table </w:t>
      </w:r>
      <w:r w:rsidR="009427E4" w:rsidRPr="00B06331">
        <w:rPr>
          <w:rFonts w:ascii="Avenir Book" w:hAnsi="Avenir Book"/>
          <w:b/>
          <w:szCs w:val="24"/>
        </w:rPr>
        <w:t>7.12</w:t>
      </w:r>
      <w:r w:rsidRPr="00B06331">
        <w:rPr>
          <w:rFonts w:ascii="Avenir Book" w:hAnsi="Avenir Book"/>
          <w:b/>
          <w:szCs w:val="24"/>
        </w:rPr>
        <w:t>: Key Expected Results for Private Sector Deve</w:t>
      </w:r>
      <w:r w:rsidR="004143E3" w:rsidRPr="00B06331">
        <w:rPr>
          <w:rFonts w:ascii="Avenir Book" w:hAnsi="Avenir Book"/>
          <w:b/>
          <w:szCs w:val="24"/>
        </w:rPr>
        <w:t xml:space="preserve">lopment and Trade </w:t>
      </w:r>
    </w:p>
    <w:tbl>
      <w:tblPr>
        <w:tblStyle w:val="GridTable4-Accent11"/>
        <w:tblW w:w="0" w:type="auto"/>
        <w:tblLook w:val="04A0"/>
      </w:tblPr>
      <w:tblGrid>
        <w:gridCol w:w="2425"/>
        <w:gridCol w:w="6925"/>
      </w:tblGrid>
      <w:tr w:rsidR="00484D65" w:rsidRPr="00B06331" w:rsidTr="00B40E29">
        <w:trPr>
          <w:cnfStyle w:val="100000000000"/>
        </w:trPr>
        <w:tc>
          <w:tcPr>
            <w:cnfStyle w:val="001000000000"/>
            <w:tcW w:w="2425" w:type="dxa"/>
          </w:tcPr>
          <w:p w:rsidR="00484D65" w:rsidRPr="00B06331" w:rsidRDefault="00484D65" w:rsidP="00B40E29">
            <w:pPr>
              <w:jc w:val="center"/>
              <w:rPr>
                <w:rFonts w:ascii="Avenir Book" w:hAnsi="Avenir Book"/>
                <w:szCs w:val="24"/>
              </w:rPr>
            </w:pPr>
            <w:r w:rsidRPr="00B06331">
              <w:rPr>
                <w:rFonts w:ascii="Avenir Book" w:hAnsi="Avenir Book"/>
                <w:szCs w:val="24"/>
              </w:rPr>
              <w:t>Results Area</w:t>
            </w:r>
          </w:p>
        </w:tc>
        <w:tc>
          <w:tcPr>
            <w:tcW w:w="6925" w:type="dxa"/>
          </w:tcPr>
          <w:p w:rsidR="00484D65" w:rsidRPr="00B06331" w:rsidRDefault="00484D65" w:rsidP="00B40E29">
            <w:pPr>
              <w:jc w:val="center"/>
              <w:cnfStyle w:val="100000000000"/>
              <w:rPr>
                <w:rFonts w:ascii="Avenir Book" w:hAnsi="Avenir Book"/>
                <w:szCs w:val="24"/>
              </w:rPr>
            </w:pPr>
            <w:r w:rsidRPr="00B06331">
              <w:rPr>
                <w:rFonts w:ascii="Avenir Book" w:hAnsi="Avenir Book"/>
                <w:szCs w:val="24"/>
              </w:rPr>
              <w:t>Key Expected Results</w:t>
            </w:r>
          </w:p>
        </w:tc>
      </w:tr>
      <w:tr w:rsidR="00484D65" w:rsidRPr="00B06331" w:rsidTr="00B40E29">
        <w:trPr>
          <w:cnfStyle w:val="000000100000"/>
        </w:trPr>
        <w:tc>
          <w:tcPr>
            <w:cnfStyle w:val="001000000000"/>
            <w:tcW w:w="2425" w:type="dxa"/>
          </w:tcPr>
          <w:p w:rsidR="00484D65" w:rsidRPr="00B06331" w:rsidRDefault="00484D65" w:rsidP="00484D65">
            <w:pPr>
              <w:jc w:val="both"/>
              <w:rPr>
                <w:rFonts w:ascii="Avenir Book" w:hAnsi="Avenir Book"/>
                <w:szCs w:val="24"/>
              </w:rPr>
            </w:pPr>
            <w:r w:rsidRPr="00B06331">
              <w:rPr>
                <w:rFonts w:ascii="Avenir Book" w:hAnsi="Avenir Book"/>
                <w:szCs w:val="24"/>
              </w:rPr>
              <w:t>Legislation, Policies, and Regulations</w:t>
            </w:r>
          </w:p>
          <w:p w:rsidR="00484D65" w:rsidRPr="00B06331" w:rsidRDefault="00484D65" w:rsidP="003A5A07">
            <w:pPr>
              <w:jc w:val="both"/>
              <w:rPr>
                <w:rFonts w:ascii="Avenir Book" w:hAnsi="Avenir Book"/>
                <w:szCs w:val="24"/>
              </w:rPr>
            </w:pPr>
          </w:p>
        </w:tc>
        <w:tc>
          <w:tcPr>
            <w:tcW w:w="6925" w:type="dxa"/>
          </w:tcPr>
          <w:p w:rsidR="00484D65" w:rsidRPr="00B06331" w:rsidRDefault="00484D65" w:rsidP="004143E3">
            <w:pPr>
              <w:pStyle w:val="ListParagraph"/>
              <w:numPr>
                <w:ilvl w:val="0"/>
                <w:numId w:val="51"/>
              </w:numPr>
              <w:jc w:val="both"/>
              <w:cnfStyle w:val="000000100000"/>
              <w:rPr>
                <w:rFonts w:ascii="Avenir Book" w:hAnsi="Avenir Book"/>
                <w:szCs w:val="24"/>
              </w:rPr>
            </w:pPr>
            <w:r w:rsidRPr="00B06331">
              <w:rPr>
                <w:rFonts w:ascii="Avenir Book" w:hAnsi="Avenir Book"/>
                <w:szCs w:val="24"/>
              </w:rPr>
              <w:t>An updated National Employment Policy and Action Plan (NEAP)</w:t>
            </w:r>
          </w:p>
          <w:p w:rsidR="00484D65" w:rsidRPr="00B06331" w:rsidRDefault="00484D65" w:rsidP="004143E3">
            <w:pPr>
              <w:pStyle w:val="ListParagraph"/>
              <w:numPr>
                <w:ilvl w:val="0"/>
                <w:numId w:val="51"/>
              </w:numPr>
              <w:jc w:val="both"/>
              <w:cnfStyle w:val="000000100000"/>
              <w:rPr>
                <w:rFonts w:ascii="Avenir Book" w:hAnsi="Avenir Book"/>
                <w:szCs w:val="24"/>
              </w:rPr>
            </w:pPr>
            <w:r w:rsidRPr="00B06331">
              <w:rPr>
                <w:rFonts w:ascii="Avenir Book" w:hAnsi="Avenir Book"/>
                <w:szCs w:val="24"/>
              </w:rPr>
              <w:t xml:space="preserve">A revised Labor Act and regulation </w:t>
            </w:r>
            <w:r w:rsidRPr="00B06331">
              <w:rPr>
                <w:rFonts w:ascii="Avenir Book" w:hAnsi="Avenir Book"/>
                <w:szCs w:val="24"/>
              </w:rPr>
              <w:tab/>
            </w:r>
          </w:p>
          <w:p w:rsidR="00484D65" w:rsidRPr="00B06331" w:rsidRDefault="00484D65" w:rsidP="004143E3">
            <w:pPr>
              <w:pStyle w:val="ListParagraph"/>
              <w:numPr>
                <w:ilvl w:val="0"/>
                <w:numId w:val="51"/>
              </w:numPr>
              <w:jc w:val="both"/>
              <w:cnfStyle w:val="000000100000"/>
              <w:rPr>
                <w:rFonts w:ascii="Avenir Book" w:hAnsi="Avenir Book"/>
                <w:szCs w:val="24"/>
              </w:rPr>
            </w:pPr>
            <w:r w:rsidRPr="00B06331">
              <w:rPr>
                <w:rFonts w:ascii="Avenir Book" w:hAnsi="Avenir Book"/>
                <w:szCs w:val="24"/>
              </w:rPr>
              <w:t>Increase number of updates in the Labor Market Information System from 0 to 8</w:t>
            </w:r>
          </w:p>
        </w:tc>
      </w:tr>
      <w:tr w:rsidR="00484D65" w:rsidRPr="00B06331" w:rsidTr="00B40E29">
        <w:tc>
          <w:tcPr>
            <w:cnfStyle w:val="001000000000"/>
            <w:tcW w:w="2425" w:type="dxa"/>
          </w:tcPr>
          <w:p w:rsidR="00484D65" w:rsidRPr="00B06331" w:rsidRDefault="00484D65" w:rsidP="00484D65">
            <w:pPr>
              <w:pStyle w:val="ListParagraph"/>
              <w:ind w:left="0"/>
              <w:jc w:val="both"/>
              <w:rPr>
                <w:rFonts w:ascii="Avenir Book" w:hAnsi="Avenir Book"/>
                <w:szCs w:val="24"/>
              </w:rPr>
            </w:pPr>
            <w:r w:rsidRPr="00B06331">
              <w:rPr>
                <w:rFonts w:ascii="Avenir Book" w:hAnsi="Avenir Book"/>
                <w:szCs w:val="24"/>
              </w:rPr>
              <w:t xml:space="preserve">Trade Facilitation, </w:t>
            </w:r>
            <w:r w:rsidR="00B40E29" w:rsidRPr="00B06331">
              <w:rPr>
                <w:rFonts w:ascii="Avenir Book" w:hAnsi="Avenir Book"/>
                <w:szCs w:val="24"/>
              </w:rPr>
              <w:t>Investments,</w:t>
            </w:r>
            <w:r w:rsidRPr="00B06331">
              <w:rPr>
                <w:rFonts w:ascii="Avenir Book" w:hAnsi="Avenir Book"/>
                <w:szCs w:val="24"/>
              </w:rPr>
              <w:t xml:space="preserve"> and Private Sector Development</w:t>
            </w:r>
            <w:r w:rsidRPr="00B06331">
              <w:rPr>
                <w:rFonts w:ascii="Avenir Book" w:hAnsi="Avenir Book"/>
                <w:szCs w:val="24"/>
              </w:rPr>
              <w:tab/>
            </w:r>
          </w:p>
          <w:p w:rsidR="00484D65" w:rsidRPr="00B06331" w:rsidRDefault="00484D65" w:rsidP="003A5A07">
            <w:pPr>
              <w:jc w:val="both"/>
              <w:rPr>
                <w:rFonts w:ascii="Avenir Book" w:hAnsi="Avenir Book"/>
                <w:szCs w:val="24"/>
              </w:rPr>
            </w:pPr>
          </w:p>
        </w:tc>
        <w:tc>
          <w:tcPr>
            <w:tcW w:w="6925" w:type="dxa"/>
          </w:tcPr>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lastRenderedPageBreak/>
              <w:t>Increase tota</w:t>
            </w:r>
            <w:r w:rsidR="00B40E29" w:rsidRPr="00B06331">
              <w:rPr>
                <w:rFonts w:ascii="Avenir Book" w:hAnsi="Avenir Book"/>
                <w:szCs w:val="24"/>
              </w:rPr>
              <w:t>l export as a percentage of GDP</w:t>
            </w:r>
            <w:r w:rsidRPr="00B06331">
              <w:rPr>
                <w:rFonts w:ascii="Avenir Book" w:hAnsi="Avenir Book"/>
                <w:szCs w:val="24"/>
              </w:rPr>
              <w:t xml:space="preserve"> from 9.4% (2015) to 17%</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 xml:space="preserve">Increase area of land </w:t>
            </w:r>
            <w:r w:rsidR="00B40E29" w:rsidRPr="00B06331">
              <w:rPr>
                <w:rFonts w:ascii="Avenir Book" w:hAnsi="Avenir Book"/>
                <w:szCs w:val="24"/>
              </w:rPr>
              <w:t>utilized</w:t>
            </w:r>
            <w:r w:rsidRPr="00B06331">
              <w:rPr>
                <w:rFonts w:ascii="Avenir Book" w:hAnsi="Avenir Book"/>
                <w:szCs w:val="24"/>
              </w:rPr>
              <w:t xml:space="preserve"> out of the total land reserved for investment from4.4 to 164 Hectares</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Increase Foreign Direct Investment (FD</w:t>
            </w:r>
            <w:r w:rsidR="00B40E29" w:rsidRPr="00B06331">
              <w:rPr>
                <w:rFonts w:ascii="Avenir Book" w:hAnsi="Avenir Book"/>
                <w:szCs w:val="24"/>
              </w:rPr>
              <w:t xml:space="preserve">I) as a percentage of GDP from </w:t>
            </w:r>
            <w:r w:rsidRPr="00B06331">
              <w:rPr>
                <w:rFonts w:ascii="Avenir Book" w:hAnsi="Avenir Book"/>
                <w:szCs w:val="24"/>
              </w:rPr>
              <w:t>2.4% (2014) to 5%</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lastRenderedPageBreak/>
              <w:t>Increase number of regions wi</w:t>
            </w:r>
            <w:r w:rsidR="00B40E29" w:rsidRPr="00B06331">
              <w:rPr>
                <w:rFonts w:ascii="Avenir Book" w:hAnsi="Avenir Book"/>
                <w:szCs w:val="24"/>
              </w:rPr>
              <w:t xml:space="preserve">th reserved land for investment </w:t>
            </w:r>
            <w:r w:rsidRPr="00B06331">
              <w:rPr>
                <w:rFonts w:ascii="Avenir Book" w:hAnsi="Avenir Book"/>
                <w:szCs w:val="24"/>
              </w:rPr>
              <w:t>from 1 region to 6 regions</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 xml:space="preserve">Increase proportion of </w:t>
            </w:r>
            <w:r w:rsidR="00B40E29" w:rsidRPr="00B06331">
              <w:rPr>
                <w:rFonts w:ascii="Avenir Book" w:hAnsi="Avenir Book"/>
                <w:szCs w:val="24"/>
              </w:rPr>
              <w:t>employees in the private sector</w:t>
            </w:r>
            <w:r w:rsidRPr="00B06331">
              <w:rPr>
                <w:rFonts w:ascii="Avenir Book" w:hAnsi="Avenir Book"/>
                <w:szCs w:val="24"/>
              </w:rPr>
              <w:t xml:space="preserve"> from TBD % to TBD %</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Increase proportion of MSM</w:t>
            </w:r>
            <w:r w:rsidR="00B40E29" w:rsidRPr="00B06331">
              <w:rPr>
                <w:rFonts w:ascii="Avenir Book" w:hAnsi="Avenir Book"/>
                <w:szCs w:val="24"/>
              </w:rPr>
              <w:t xml:space="preserve">E’s contribution to employment from 62% (MSME mapping 2013) </w:t>
            </w:r>
            <w:r w:rsidRPr="00B06331">
              <w:rPr>
                <w:rFonts w:ascii="Avenir Book" w:hAnsi="Avenir Book"/>
                <w:szCs w:val="24"/>
              </w:rPr>
              <w:t>to 75%</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Increase MSME contribution to GDP from 20% to 30%</w:t>
            </w:r>
          </w:p>
          <w:p w:rsidR="00484D65" w:rsidRPr="00B06331" w:rsidRDefault="00484D65"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Increase ma</w:t>
            </w:r>
            <w:r w:rsidR="00B40E29" w:rsidRPr="00B06331">
              <w:rPr>
                <w:rFonts w:ascii="Avenir Book" w:hAnsi="Avenir Book"/>
                <w:szCs w:val="24"/>
              </w:rPr>
              <w:t>nufacturing contribution to GDP</w:t>
            </w:r>
            <w:r w:rsidRPr="00B06331">
              <w:rPr>
                <w:rFonts w:ascii="Avenir Book" w:hAnsi="Avenir Book"/>
                <w:szCs w:val="24"/>
              </w:rPr>
              <w:t xml:space="preserve"> from 5% (2016)</w:t>
            </w:r>
            <w:r w:rsidRPr="00B06331">
              <w:rPr>
                <w:rFonts w:ascii="Avenir Book" w:hAnsi="Avenir Book"/>
                <w:szCs w:val="24"/>
              </w:rPr>
              <w:tab/>
              <w:t>to 7%</w:t>
            </w:r>
          </w:p>
        </w:tc>
      </w:tr>
      <w:tr w:rsidR="00484D65" w:rsidRPr="00B06331" w:rsidTr="00B40E29">
        <w:trPr>
          <w:cnfStyle w:val="000000100000"/>
        </w:trPr>
        <w:tc>
          <w:tcPr>
            <w:cnfStyle w:val="001000000000"/>
            <w:tcW w:w="2425" w:type="dxa"/>
          </w:tcPr>
          <w:p w:rsidR="00B40E29" w:rsidRPr="00B06331" w:rsidRDefault="00B40E29" w:rsidP="00B40E29">
            <w:pPr>
              <w:pStyle w:val="ListParagraph"/>
              <w:ind w:left="0"/>
              <w:jc w:val="both"/>
              <w:rPr>
                <w:rFonts w:ascii="Avenir Book" w:hAnsi="Avenir Book"/>
                <w:szCs w:val="24"/>
              </w:rPr>
            </w:pPr>
            <w:r w:rsidRPr="00B06331">
              <w:rPr>
                <w:rFonts w:ascii="Avenir Book" w:hAnsi="Avenir Book"/>
                <w:szCs w:val="24"/>
              </w:rPr>
              <w:lastRenderedPageBreak/>
              <w:t>Employment</w:t>
            </w:r>
          </w:p>
          <w:p w:rsidR="00484D65" w:rsidRPr="00B06331" w:rsidRDefault="00484D65" w:rsidP="003A5A07">
            <w:pPr>
              <w:jc w:val="both"/>
              <w:rPr>
                <w:rFonts w:ascii="Avenir Book" w:hAnsi="Avenir Book"/>
                <w:szCs w:val="24"/>
              </w:rPr>
            </w:pPr>
          </w:p>
        </w:tc>
        <w:tc>
          <w:tcPr>
            <w:tcW w:w="6925" w:type="dxa"/>
          </w:tcPr>
          <w:p w:rsidR="00B40E29" w:rsidRPr="00B06331" w:rsidRDefault="00B40E29" w:rsidP="004143E3">
            <w:pPr>
              <w:pStyle w:val="ListParagraph"/>
              <w:numPr>
                <w:ilvl w:val="0"/>
                <w:numId w:val="51"/>
              </w:numPr>
              <w:jc w:val="both"/>
              <w:cnfStyle w:val="000000100000"/>
              <w:rPr>
                <w:rFonts w:ascii="Avenir Book" w:hAnsi="Avenir Book"/>
                <w:szCs w:val="24"/>
              </w:rPr>
            </w:pPr>
            <w:r w:rsidRPr="00B06331">
              <w:rPr>
                <w:rFonts w:ascii="Avenir Book" w:hAnsi="Avenir Book"/>
                <w:szCs w:val="24"/>
              </w:rPr>
              <w:t>Decrease Unemployment rate disaggregated by (male/female/disability) from29% (2012) to 20%</w:t>
            </w:r>
          </w:p>
          <w:p w:rsidR="00484D65" w:rsidRPr="00B06331" w:rsidRDefault="00B40E29" w:rsidP="004143E3">
            <w:pPr>
              <w:pStyle w:val="ListParagraph"/>
              <w:numPr>
                <w:ilvl w:val="0"/>
                <w:numId w:val="51"/>
              </w:numPr>
              <w:jc w:val="both"/>
              <w:cnfStyle w:val="000000100000"/>
              <w:rPr>
                <w:rFonts w:ascii="Avenir Book" w:hAnsi="Avenir Book"/>
                <w:szCs w:val="24"/>
              </w:rPr>
            </w:pPr>
            <w:r w:rsidRPr="00B06331">
              <w:rPr>
                <w:rFonts w:ascii="Avenir Book" w:hAnsi="Avenir Book"/>
                <w:szCs w:val="24"/>
              </w:rPr>
              <w:t xml:space="preserve">Decrease youth unemployment (male/female/disability) from 38% (2012) to 30% </w:t>
            </w:r>
          </w:p>
        </w:tc>
      </w:tr>
      <w:tr w:rsidR="00484D65" w:rsidRPr="00B06331" w:rsidTr="00B40E29">
        <w:tc>
          <w:tcPr>
            <w:cnfStyle w:val="001000000000"/>
            <w:tcW w:w="2425" w:type="dxa"/>
          </w:tcPr>
          <w:p w:rsidR="00484D65" w:rsidRPr="00B06331" w:rsidRDefault="00B40E29" w:rsidP="003A5A07">
            <w:pPr>
              <w:jc w:val="both"/>
              <w:rPr>
                <w:rFonts w:ascii="Avenir Book" w:hAnsi="Avenir Book"/>
                <w:szCs w:val="24"/>
              </w:rPr>
            </w:pPr>
            <w:r w:rsidRPr="00B06331">
              <w:rPr>
                <w:rFonts w:ascii="Avenir Book" w:hAnsi="Avenir Book"/>
                <w:szCs w:val="24"/>
              </w:rPr>
              <w:t>Quality Infrastructure</w:t>
            </w:r>
            <w:r w:rsidRPr="00B06331">
              <w:rPr>
                <w:rFonts w:ascii="Avenir Book" w:hAnsi="Avenir Book"/>
                <w:szCs w:val="24"/>
              </w:rPr>
              <w:tab/>
            </w:r>
          </w:p>
        </w:tc>
        <w:tc>
          <w:tcPr>
            <w:tcW w:w="6925" w:type="dxa"/>
          </w:tcPr>
          <w:p w:rsidR="00B40E29" w:rsidRPr="00B06331" w:rsidRDefault="00B40E29"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Increase number of standards published from 33 to 400 standards</w:t>
            </w:r>
          </w:p>
          <w:p w:rsidR="00B40E29" w:rsidRPr="00B06331" w:rsidRDefault="00B40E29"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Increase number of accredited testing  laboratories established from 0</w:t>
            </w:r>
            <w:r w:rsidRPr="00B06331">
              <w:rPr>
                <w:rFonts w:ascii="Avenir Book" w:hAnsi="Avenir Book"/>
                <w:szCs w:val="24"/>
              </w:rPr>
              <w:tab/>
              <w:t>to 4</w:t>
            </w:r>
          </w:p>
          <w:p w:rsidR="00B40E29" w:rsidRPr="00B06331" w:rsidRDefault="00B40E29"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 xml:space="preserve">Existence of certification service for products and management system established </w:t>
            </w:r>
            <w:r w:rsidRPr="00B06331">
              <w:rPr>
                <w:rFonts w:ascii="Avenir Book" w:hAnsi="Avenir Book"/>
                <w:szCs w:val="24"/>
              </w:rPr>
              <w:tab/>
            </w:r>
          </w:p>
          <w:p w:rsidR="00484D65" w:rsidRPr="00B06331" w:rsidRDefault="00B40E29" w:rsidP="004143E3">
            <w:pPr>
              <w:pStyle w:val="ListParagraph"/>
              <w:numPr>
                <w:ilvl w:val="0"/>
                <w:numId w:val="51"/>
              </w:numPr>
              <w:jc w:val="both"/>
              <w:cnfStyle w:val="000000000000"/>
              <w:rPr>
                <w:rFonts w:ascii="Avenir Book" w:hAnsi="Avenir Book"/>
                <w:szCs w:val="24"/>
              </w:rPr>
            </w:pPr>
            <w:r w:rsidRPr="00B06331">
              <w:rPr>
                <w:rFonts w:ascii="Avenir Book" w:hAnsi="Avenir Book"/>
                <w:szCs w:val="24"/>
              </w:rPr>
              <w:t>Existence of an accredited national calibration laboratory</w:t>
            </w:r>
            <w:r w:rsidRPr="00B06331">
              <w:rPr>
                <w:rFonts w:ascii="Avenir Book" w:hAnsi="Avenir Book"/>
                <w:szCs w:val="24"/>
              </w:rPr>
              <w:tab/>
            </w:r>
          </w:p>
        </w:tc>
      </w:tr>
    </w:tbl>
    <w:p w:rsidR="003A5A07" w:rsidRPr="00B06331" w:rsidRDefault="003A5A07" w:rsidP="003A5A07">
      <w:pPr>
        <w:pStyle w:val="ListParagraph"/>
        <w:ind w:left="0"/>
        <w:jc w:val="both"/>
        <w:rPr>
          <w:rFonts w:ascii="Avenir Book" w:hAnsi="Avenir Book"/>
          <w:b/>
          <w:sz w:val="20"/>
          <w:szCs w:val="24"/>
        </w:rPr>
      </w:pPr>
    </w:p>
    <w:p w:rsidR="003A5A07" w:rsidRPr="00B06331" w:rsidRDefault="003A5A07" w:rsidP="003A5A07">
      <w:pPr>
        <w:jc w:val="both"/>
        <w:rPr>
          <w:rFonts w:ascii="Avenir Book" w:hAnsi="Avenir Book"/>
          <w:szCs w:val="24"/>
        </w:rPr>
      </w:pPr>
      <w:r w:rsidRPr="00B06331">
        <w:rPr>
          <w:rFonts w:ascii="Avenir Book" w:hAnsi="Avenir Book"/>
          <w:szCs w:val="24"/>
        </w:rPr>
        <w:t>To achieve this goal, 5 outcomes (outcomes 8.1 – 8.5) are planned; the key related interventions are presented below</w:t>
      </w:r>
    </w:p>
    <w:p w:rsidR="003A5A07" w:rsidRPr="00B06331" w:rsidRDefault="00B40E29" w:rsidP="003A5A07">
      <w:pPr>
        <w:jc w:val="both"/>
        <w:rPr>
          <w:rFonts w:ascii="Avenir Book" w:hAnsi="Avenir Book"/>
          <w:b/>
          <w:i/>
          <w:color w:val="4472C4" w:themeColor="accent1"/>
          <w:szCs w:val="24"/>
        </w:rPr>
      </w:pPr>
      <w:r w:rsidRPr="00B06331">
        <w:rPr>
          <w:rFonts w:ascii="Avenir Book" w:hAnsi="Avenir Book"/>
          <w:b/>
          <w:i/>
          <w:color w:val="4472C4" w:themeColor="accent1"/>
          <w:szCs w:val="24"/>
        </w:rPr>
        <w:t>Outcome 8.1: Upgraded Policies, Laws, Regulations for Efficient Functioning of the Labor Market</w:t>
      </w:r>
    </w:p>
    <w:p w:rsidR="003A5A07" w:rsidRPr="00B06331" w:rsidRDefault="003A5A07" w:rsidP="003A5A07">
      <w:pPr>
        <w:jc w:val="both"/>
        <w:rPr>
          <w:rFonts w:cs="Calibri"/>
          <w:b/>
        </w:rPr>
      </w:pPr>
      <w:r w:rsidRPr="00B06331">
        <w:rPr>
          <w:rFonts w:cs="Calibri"/>
          <w:b/>
        </w:rPr>
        <w:t>Strengthen labor administration through review and implementation of the Labour Act and the trade Union Act and regulations</w:t>
      </w:r>
    </w:p>
    <w:p w:rsidR="00EF1C6B" w:rsidRPr="00B06331" w:rsidRDefault="003A5A07" w:rsidP="003A5A07">
      <w:pPr>
        <w:pStyle w:val="Default"/>
        <w:spacing w:line="276" w:lineRule="auto"/>
        <w:jc w:val="both"/>
        <w:rPr>
          <w:rFonts w:ascii="Calibri" w:hAnsi="Calibri" w:cs="Calibri"/>
          <w:color w:val="auto"/>
          <w:sz w:val="22"/>
          <w:szCs w:val="22"/>
        </w:rPr>
      </w:pPr>
      <w:r w:rsidRPr="00B06331">
        <w:rPr>
          <w:rFonts w:ascii="Calibri" w:hAnsi="Calibri" w:cs="Calibri"/>
          <w:color w:val="auto"/>
          <w:sz w:val="22"/>
          <w:szCs w:val="22"/>
        </w:rPr>
        <w:t>The National Employment Policy and Action Plan (NEP&amp;NEAP2010-2014) identified investment in labour intensive technologies as a viable option to creating employment in the Gambia. The NEAP e</w:t>
      </w:r>
      <w:r w:rsidR="00EF1C6B" w:rsidRPr="00B06331">
        <w:rPr>
          <w:rFonts w:ascii="Calibri" w:hAnsi="Calibri" w:cs="Calibri"/>
          <w:color w:val="auto"/>
          <w:sz w:val="22"/>
          <w:szCs w:val="22"/>
        </w:rPr>
        <w:t xml:space="preserve">stablished the </w:t>
      </w:r>
      <w:r w:rsidRPr="00B06331">
        <w:rPr>
          <w:rFonts w:ascii="Calibri" w:hAnsi="Calibri" w:cs="Calibri"/>
          <w:color w:val="auto"/>
          <w:sz w:val="22"/>
          <w:szCs w:val="22"/>
        </w:rPr>
        <w:t xml:space="preserve">Gambia Priority Employment </w:t>
      </w:r>
      <w:r w:rsidR="00EF1C6B" w:rsidRPr="00B06331">
        <w:rPr>
          <w:rFonts w:ascii="Calibri" w:hAnsi="Calibri" w:cs="Calibri"/>
          <w:color w:val="auto"/>
          <w:sz w:val="22"/>
          <w:szCs w:val="22"/>
        </w:rPr>
        <w:t xml:space="preserve">programme </w:t>
      </w:r>
      <w:r w:rsidRPr="00B06331">
        <w:rPr>
          <w:rFonts w:ascii="Calibri" w:hAnsi="Calibri" w:cs="Calibri"/>
          <w:color w:val="auto"/>
          <w:sz w:val="22"/>
          <w:szCs w:val="22"/>
        </w:rPr>
        <w:t xml:space="preserve">to promote employment creation for youth in the Labour Intensive sectors. </w:t>
      </w:r>
      <w:r w:rsidR="00FF43D6" w:rsidRPr="00B06331">
        <w:rPr>
          <w:rFonts w:ascii="Calibri" w:hAnsi="Calibri" w:cs="Calibri"/>
          <w:color w:val="auto"/>
          <w:sz w:val="22"/>
          <w:szCs w:val="22"/>
        </w:rPr>
        <w:t>However,</w:t>
      </w:r>
      <w:r w:rsidRPr="00B06331">
        <w:rPr>
          <w:rFonts w:ascii="Calibri" w:hAnsi="Calibri" w:cs="Calibri"/>
          <w:color w:val="auto"/>
          <w:sz w:val="22"/>
          <w:szCs w:val="22"/>
        </w:rPr>
        <w:t xml:space="preserve"> more measures are required to support labour intensive activities for employment creation. </w:t>
      </w:r>
    </w:p>
    <w:p w:rsidR="00EF1C6B" w:rsidRPr="00B06331" w:rsidRDefault="00EF1C6B" w:rsidP="003A5A07">
      <w:pPr>
        <w:pStyle w:val="Default"/>
        <w:spacing w:line="276" w:lineRule="auto"/>
        <w:jc w:val="both"/>
        <w:rPr>
          <w:rFonts w:ascii="Calibri" w:hAnsi="Calibri" w:cs="Calibri"/>
          <w:color w:val="auto"/>
          <w:sz w:val="22"/>
          <w:szCs w:val="22"/>
        </w:rPr>
      </w:pPr>
    </w:p>
    <w:p w:rsidR="003A5A07" w:rsidRPr="00B06331" w:rsidRDefault="003A5A07" w:rsidP="003A5A07">
      <w:pPr>
        <w:pStyle w:val="Default"/>
        <w:spacing w:line="276" w:lineRule="auto"/>
        <w:jc w:val="both"/>
        <w:rPr>
          <w:rFonts w:ascii="Calibri" w:hAnsi="Calibri" w:cs="Calibri"/>
          <w:sz w:val="22"/>
          <w:szCs w:val="22"/>
        </w:rPr>
      </w:pPr>
      <w:r w:rsidRPr="00B06331">
        <w:rPr>
          <w:rFonts w:ascii="Calibri" w:hAnsi="Calibri" w:cs="Calibri"/>
          <w:sz w:val="22"/>
          <w:szCs w:val="22"/>
        </w:rPr>
        <w:t xml:space="preserve">Government in partnership with the private sector </w:t>
      </w:r>
      <w:r w:rsidR="00EF1C6B" w:rsidRPr="00B06331">
        <w:rPr>
          <w:rFonts w:ascii="Calibri" w:hAnsi="Calibri" w:cs="Calibri"/>
          <w:sz w:val="22"/>
          <w:szCs w:val="22"/>
        </w:rPr>
        <w:t xml:space="preserve">and trade unions will </w:t>
      </w:r>
      <w:r w:rsidRPr="00B06331">
        <w:rPr>
          <w:rFonts w:ascii="Calibri" w:hAnsi="Calibri" w:cs="Calibri"/>
          <w:sz w:val="22"/>
          <w:szCs w:val="22"/>
        </w:rPr>
        <w:t>pursue strategies to revise the 2007 National Labour Act and an updated Employment Policy with special focus on reducing rates of unem</w:t>
      </w:r>
      <w:r w:rsidR="00EF1C6B" w:rsidRPr="00B06331">
        <w:rPr>
          <w:rFonts w:ascii="Calibri" w:hAnsi="Calibri" w:cs="Calibri"/>
          <w:sz w:val="22"/>
          <w:szCs w:val="22"/>
        </w:rPr>
        <w:t>ployment and under-employment; p</w:t>
      </w:r>
      <w:r w:rsidRPr="00B06331">
        <w:rPr>
          <w:rFonts w:ascii="Calibri" w:hAnsi="Calibri" w:cs="Calibri"/>
          <w:sz w:val="22"/>
          <w:szCs w:val="22"/>
        </w:rPr>
        <w:t>romoting a well-educated, trained, skilled versatile, self-reliant and enterprising labour force;  Pursuing poverty reduction policies through labour intensive programs consistent with improvement of the labour environment; and strengthening the existing labour administrative system with a target of eight (8) updates for the Labour Market Information System (LMIS). This will lead to the promotion of decent work, worker participation in decision making and an efficient industrial conflict resolution mechanism in the labour market.</w:t>
      </w:r>
    </w:p>
    <w:p w:rsidR="003A5A07" w:rsidRPr="00B06331" w:rsidRDefault="003A5A07" w:rsidP="003A5A07">
      <w:pPr>
        <w:pStyle w:val="Default"/>
        <w:spacing w:line="276" w:lineRule="auto"/>
        <w:jc w:val="both"/>
        <w:rPr>
          <w:rFonts w:ascii="Calibri" w:hAnsi="Calibri" w:cs="Calibri"/>
          <w:color w:val="auto"/>
          <w:sz w:val="22"/>
          <w:szCs w:val="22"/>
        </w:rPr>
      </w:pPr>
    </w:p>
    <w:p w:rsidR="00B40E29" w:rsidRPr="00B06331" w:rsidRDefault="00B40E29" w:rsidP="003A5A07">
      <w:pPr>
        <w:jc w:val="both"/>
        <w:rPr>
          <w:rFonts w:cs="Calibri"/>
          <w:b/>
          <w:i/>
          <w:color w:val="4472C4" w:themeColor="accent1"/>
        </w:rPr>
      </w:pPr>
      <w:r w:rsidRPr="00B06331">
        <w:rPr>
          <w:rFonts w:cs="Calibri"/>
          <w:b/>
          <w:i/>
          <w:color w:val="4472C4" w:themeColor="accent1"/>
        </w:rPr>
        <w:lastRenderedPageBreak/>
        <w:t xml:space="preserve">Outcome 8.2: Promoted and Facilitated Trade, </w:t>
      </w:r>
      <w:r w:rsidR="00EF1C6B" w:rsidRPr="00B06331">
        <w:rPr>
          <w:rFonts w:cs="Calibri"/>
          <w:b/>
          <w:i/>
          <w:color w:val="4472C4" w:themeColor="accent1"/>
        </w:rPr>
        <w:t>Investment,</w:t>
      </w:r>
      <w:r w:rsidRPr="00B06331">
        <w:rPr>
          <w:rFonts w:cs="Calibri"/>
          <w:b/>
          <w:i/>
          <w:color w:val="4472C4" w:themeColor="accent1"/>
        </w:rPr>
        <w:t xml:space="preserve"> and Private Sector Development</w:t>
      </w:r>
    </w:p>
    <w:p w:rsidR="003A5A07" w:rsidRPr="00B06331" w:rsidRDefault="00B40E29" w:rsidP="003A5A07">
      <w:pPr>
        <w:jc w:val="both"/>
        <w:rPr>
          <w:rFonts w:cs="Calibri"/>
          <w:b/>
        </w:rPr>
      </w:pPr>
      <w:r w:rsidRPr="00B06331">
        <w:rPr>
          <w:rFonts w:cs="Calibri"/>
          <w:b/>
        </w:rPr>
        <w:t>D</w:t>
      </w:r>
      <w:r w:rsidR="003A5A07" w:rsidRPr="00B06331">
        <w:rPr>
          <w:rFonts w:cs="Calibri"/>
          <w:b/>
        </w:rPr>
        <w:t>iversify local production by introducing high value products such as findi, moringa, seasame, honey, cashew and horticulture for both export and the domestic market</w:t>
      </w:r>
    </w:p>
    <w:p w:rsidR="003A5A07" w:rsidRPr="00B06331" w:rsidRDefault="003A5A07" w:rsidP="00EF1C6B">
      <w:pPr>
        <w:spacing w:line="240" w:lineRule="auto"/>
        <w:jc w:val="both"/>
        <w:rPr>
          <w:rFonts w:cs="Calibri"/>
        </w:rPr>
      </w:pPr>
      <w:r w:rsidRPr="00B06331">
        <w:rPr>
          <w:rFonts w:cs="Calibri"/>
        </w:rPr>
        <w:t>The Gambia’s traditional export products are groundnut, fish, and fisheries products. Private sector investment in diversifying export products is critical to</w:t>
      </w:r>
      <w:r w:rsidR="00EF1C6B" w:rsidRPr="00B06331">
        <w:rPr>
          <w:rFonts w:cs="Calibri"/>
        </w:rPr>
        <w:t xml:space="preserve"> enhancing</w:t>
      </w:r>
      <w:r w:rsidRPr="00B06331">
        <w:rPr>
          <w:rFonts w:cs="Calibri"/>
        </w:rPr>
        <w:t xml:space="preserve"> export market access. </w:t>
      </w:r>
      <w:r w:rsidR="00EF1C6B" w:rsidRPr="00B06331">
        <w:rPr>
          <w:rFonts w:cs="Calibri"/>
        </w:rPr>
        <w:t>The challenges in addressing</w:t>
      </w:r>
      <w:r w:rsidRPr="00B06331">
        <w:rPr>
          <w:rFonts w:cs="Calibri"/>
        </w:rPr>
        <w:t xml:space="preserve"> trade development and promotion require a </w:t>
      </w:r>
      <w:r w:rsidR="00EF1C6B" w:rsidRPr="00B06331">
        <w:rPr>
          <w:rFonts w:cs="Calibri"/>
        </w:rPr>
        <w:t>transformational approach. A</w:t>
      </w:r>
      <w:r w:rsidRPr="00B06331">
        <w:rPr>
          <w:rFonts w:cs="Calibri"/>
        </w:rPr>
        <w:t xml:space="preserve">gricultural export is still constrained by limited export products which </w:t>
      </w:r>
      <w:r w:rsidR="00EF1C6B" w:rsidRPr="00B06331">
        <w:rPr>
          <w:rFonts w:cs="Calibri"/>
        </w:rPr>
        <w:t>is</w:t>
      </w:r>
      <w:r w:rsidRPr="00B06331">
        <w:rPr>
          <w:rFonts w:cs="Calibri"/>
        </w:rPr>
        <w:t xml:space="preserve"> having negative consequences on t</w:t>
      </w:r>
      <w:r w:rsidR="00EF1C6B" w:rsidRPr="00B06331">
        <w:rPr>
          <w:rFonts w:cs="Calibri"/>
        </w:rPr>
        <w:t>he balance of payment and</w:t>
      </w:r>
      <w:r w:rsidRPr="00B06331">
        <w:rPr>
          <w:rFonts w:cs="Calibri"/>
        </w:rPr>
        <w:t xml:space="preserve"> poverty </w:t>
      </w:r>
      <w:r w:rsidR="00EF1C6B" w:rsidRPr="00B06331">
        <w:rPr>
          <w:rFonts w:cs="Calibri"/>
        </w:rPr>
        <w:t xml:space="preserve">reduction </w:t>
      </w:r>
      <w:r w:rsidRPr="00B06331">
        <w:rPr>
          <w:rFonts w:cs="Calibri"/>
        </w:rPr>
        <w:t>effort</w:t>
      </w:r>
      <w:r w:rsidR="00EF1C6B" w:rsidRPr="00B06331">
        <w:rPr>
          <w:rFonts w:cs="Calibri"/>
        </w:rPr>
        <w:t>s</w:t>
      </w:r>
      <w:r w:rsidRPr="00B06331">
        <w:rPr>
          <w:rFonts w:cs="Calibri"/>
        </w:rPr>
        <w:t xml:space="preserve"> by Government. Currently the total export as a percentage of GDP is 9.4% (GBoS, 2015). To address the challenge </w:t>
      </w:r>
      <w:r w:rsidR="00EF1C6B" w:rsidRPr="00B06331">
        <w:rPr>
          <w:rFonts w:cs="Calibri"/>
        </w:rPr>
        <w:t xml:space="preserve">of product diversification, </w:t>
      </w:r>
      <w:r w:rsidRPr="00B06331">
        <w:rPr>
          <w:rFonts w:cs="Calibri"/>
        </w:rPr>
        <w:t xml:space="preserve">government will develop strategies and collaborate with development partners and through Public Private Partnership (PPP) to promote the export of other priority products such as sesame, findi, moringa and cashew. The target for trade facilitation, promotion and investment is to increase the total export </w:t>
      </w:r>
      <w:r w:rsidR="00EF1C6B" w:rsidRPr="00B06331">
        <w:rPr>
          <w:rFonts w:cs="Calibri"/>
        </w:rPr>
        <w:t xml:space="preserve">as a percentage of GDP to 13% by 2021. </w:t>
      </w:r>
      <w:r w:rsidRPr="00B06331">
        <w:rPr>
          <w:rFonts w:cs="Calibri"/>
        </w:rPr>
        <w:t xml:space="preserve">To promote the consumption of domestic products, Government will also develop strategies to encourage domestic consumption especially those anchored on backward linkages to tourism. </w:t>
      </w:r>
    </w:p>
    <w:p w:rsidR="003A5A07" w:rsidRPr="00B06331" w:rsidRDefault="003A5A07" w:rsidP="003A5A07">
      <w:pPr>
        <w:pStyle w:val="ListParagraph"/>
        <w:spacing w:after="0" w:line="240" w:lineRule="auto"/>
        <w:ind w:left="0"/>
        <w:jc w:val="both"/>
        <w:rPr>
          <w:rFonts w:eastAsia="MS Mincho" w:cs="Calibri"/>
          <w:b/>
        </w:rPr>
      </w:pPr>
    </w:p>
    <w:p w:rsidR="003A5A07" w:rsidRPr="00B06331" w:rsidRDefault="003A5A07" w:rsidP="003A5A07">
      <w:pPr>
        <w:pStyle w:val="ListParagraph"/>
        <w:spacing w:after="0" w:line="240" w:lineRule="auto"/>
        <w:ind w:left="0"/>
        <w:jc w:val="both"/>
        <w:rPr>
          <w:rFonts w:cs="Calibri"/>
          <w:b/>
        </w:rPr>
      </w:pPr>
      <w:r w:rsidRPr="00B06331">
        <w:rPr>
          <w:rFonts w:cs="Calibri"/>
          <w:b/>
        </w:rPr>
        <w:t>Create market linkages focusing on advocacy the quality infrastructure and hard Infrastructure for agricultural products</w:t>
      </w:r>
    </w:p>
    <w:p w:rsidR="003A5A07" w:rsidRPr="00B06331" w:rsidRDefault="003A5A07" w:rsidP="003A5A07">
      <w:pPr>
        <w:tabs>
          <w:tab w:val="left" w:pos="540"/>
        </w:tabs>
        <w:spacing w:after="120" w:line="240" w:lineRule="auto"/>
        <w:jc w:val="both"/>
        <w:rPr>
          <w:rFonts w:cs="Calibri"/>
        </w:rPr>
      </w:pPr>
    </w:p>
    <w:p w:rsidR="003A5A07" w:rsidRPr="00B06331" w:rsidRDefault="00EF1C6B" w:rsidP="003A5A07">
      <w:pPr>
        <w:tabs>
          <w:tab w:val="left" w:pos="540"/>
        </w:tabs>
        <w:spacing w:after="120" w:line="240" w:lineRule="auto"/>
        <w:jc w:val="both"/>
        <w:rPr>
          <w:rFonts w:cs="Calibri"/>
        </w:rPr>
      </w:pPr>
      <w:r w:rsidRPr="00B06331">
        <w:rPr>
          <w:rFonts w:cs="Calibri"/>
        </w:rPr>
        <w:t>Based on the country’s</w:t>
      </w:r>
      <w:r w:rsidR="003A5A07" w:rsidRPr="00B06331">
        <w:rPr>
          <w:rFonts w:cs="Calibri"/>
        </w:rPr>
        <w:t xml:space="preserve"> t</w:t>
      </w:r>
      <w:r w:rsidRPr="00B06331">
        <w:rPr>
          <w:rFonts w:cs="Calibri"/>
        </w:rPr>
        <w:t>rade realities,</w:t>
      </w:r>
      <w:r w:rsidR="003A5A07" w:rsidRPr="00B06331">
        <w:rPr>
          <w:rFonts w:cs="Calibri"/>
        </w:rPr>
        <w:t xml:space="preserve"> multi-sector strategies will be adopted to ensure that producers of goods and services are linked to market outlets in</w:t>
      </w:r>
      <w:r w:rsidRPr="00B06331">
        <w:rPr>
          <w:rFonts w:cs="Calibri"/>
        </w:rPr>
        <w:t xml:space="preserve"> an effective manner and at </w:t>
      </w:r>
      <w:r w:rsidR="003A5A07" w:rsidRPr="00B06331">
        <w:rPr>
          <w:rFonts w:cs="Calibri"/>
        </w:rPr>
        <w:t>least</w:t>
      </w:r>
      <w:r w:rsidRPr="00B06331">
        <w:rPr>
          <w:rFonts w:cs="Calibri"/>
        </w:rPr>
        <w:t xml:space="preserve"> cost of doing business. To ensure that</w:t>
      </w:r>
      <w:r w:rsidR="003A5A07" w:rsidRPr="00B06331">
        <w:rPr>
          <w:rFonts w:cs="Calibri"/>
        </w:rPr>
        <w:t xml:space="preserve"> trade infrastructures benefit</w:t>
      </w:r>
      <w:r w:rsidRPr="00B06331">
        <w:rPr>
          <w:rFonts w:cs="Calibri"/>
        </w:rPr>
        <w:t>s</w:t>
      </w:r>
      <w:r w:rsidR="003A5A07" w:rsidRPr="00B06331">
        <w:rPr>
          <w:rFonts w:cs="Calibri"/>
        </w:rPr>
        <w:t xml:space="preserve"> other sectors of the economy the following measures are envisaged</w:t>
      </w:r>
    </w:p>
    <w:p w:rsidR="003A5A07" w:rsidRPr="00B06331" w:rsidRDefault="003A5A07" w:rsidP="004143E3">
      <w:pPr>
        <w:numPr>
          <w:ilvl w:val="0"/>
          <w:numId w:val="26"/>
        </w:numPr>
        <w:tabs>
          <w:tab w:val="left" w:pos="540"/>
        </w:tabs>
        <w:spacing w:after="120" w:line="240" w:lineRule="auto"/>
        <w:jc w:val="both"/>
        <w:rPr>
          <w:rFonts w:cs="Calibri"/>
        </w:rPr>
      </w:pPr>
      <w:r w:rsidRPr="00B06331">
        <w:rPr>
          <w:rFonts w:cs="Calibri"/>
        </w:rPr>
        <w:t xml:space="preserve">    Improve road infrastructure network including feeder roads linking production areas and markets and drastically reduce the number of checkpoints;</w:t>
      </w:r>
    </w:p>
    <w:p w:rsidR="003A5A07" w:rsidRPr="00B06331" w:rsidRDefault="003A5A07" w:rsidP="004143E3">
      <w:pPr>
        <w:numPr>
          <w:ilvl w:val="0"/>
          <w:numId w:val="26"/>
        </w:numPr>
        <w:tabs>
          <w:tab w:val="left" w:pos="540"/>
        </w:tabs>
        <w:spacing w:after="120" w:line="240" w:lineRule="auto"/>
        <w:jc w:val="both"/>
        <w:rPr>
          <w:rFonts w:cs="Calibri"/>
        </w:rPr>
      </w:pPr>
      <w:r w:rsidRPr="00B06331">
        <w:rPr>
          <w:rFonts w:cs="Calibri"/>
        </w:rPr>
        <w:t xml:space="preserve">Revitalize the river transportation system by encouraging private sector investment in support of re-export and the movement of goods into the hinterland and ultimately into neighboring </w:t>
      </w:r>
      <w:r w:rsidR="00AD467B" w:rsidRPr="00B06331">
        <w:rPr>
          <w:rFonts w:cs="Calibri"/>
        </w:rPr>
        <w:t>countries;</w:t>
      </w:r>
    </w:p>
    <w:p w:rsidR="003A5A07" w:rsidRPr="00B06331" w:rsidRDefault="003A5A07" w:rsidP="004143E3">
      <w:pPr>
        <w:numPr>
          <w:ilvl w:val="0"/>
          <w:numId w:val="26"/>
        </w:numPr>
        <w:tabs>
          <w:tab w:val="left" w:pos="540"/>
        </w:tabs>
        <w:spacing w:after="120" w:line="240" w:lineRule="auto"/>
        <w:jc w:val="both"/>
        <w:rPr>
          <w:rFonts w:cs="Calibri"/>
        </w:rPr>
      </w:pPr>
      <w:r w:rsidRPr="00B06331">
        <w:rPr>
          <w:rFonts w:cs="Calibri"/>
        </w:rPr>
        <w:t xml:space="preserve">    Encourage the reform of the Banjul Sea Port – to ensure its competitiveness. The authorities recognize this and have included in the NES the provision to “strengthen the position of the Port of Banjul as a gateway to the region by improving the port-handling services and expanding the port’s infrastructure”. A possible solution to balance the needs to upgrade port infrastructures and control public expenditures is to rely on private participation in port infrastructure (PPI).</w:t>
      </w:r>
    </w:p>
    <w:p w:rsidR="003A5A07" w:rsidRPr="00B06331" w:rsidRDefault="003A5A07" w:rsidP="004143E3">
      <w:pPr>
        <w:numPr>
          <w:ilvl w:val="0"/>
          <w:numId w:val="26"/>
        </w:numPr>
        <w:tabs>
          <w:tab w:val="left" w:pos="540"/>
        </w:tabs>
        <w:spacing w:after="120" w:line="240" w:lineRule="auto"/>
        <w:jc w:val="both"/>
        <w:rPr>
          <w:rFonts w:cs="Calibri"/>
        </w:rPr>
      </w:pPr>
      <w:r w:rsidRPr="00B06331">
        <w:rPr>
          <w:rFonts w:cs="Calibri"/>
        </w:rPr>
        <w:t xml:space="preserve">Improve Air Transportation to aid horticultural export and in support of the free zones initiative which has light manufacturing facilities, as well as cargo storage and handling facilities at the Banjul International Airport. The free-zone will be promoted to investors in addition to investments promotion for refrigerated transportation trucks; </w:t>
      </w:r>
    </w:p>
    <w:p w:rsidR="003A5A07" w:rsidRPr="00B06331" w:rsidRDefault="003A5A07" w:rsidP="004143E3">
      <w:pPr>
        <w:numPr>
          <w:ilvl w:val="0"/>
          <w:numId w:val="26"/>
        </w:numPr>
        <w:tabs>
          <w:tab w:val="left" w:pos="540"/>
        </w:tabs>
        <w:spacing w:after="120" w:line="240" w:lineRule="auto"/>
        <w:jc w:val="both"/>
        <w:rPr>
          <w:rFonts w:cs="Calibri"/>
        </w:rPr>
      </w:pPr>
      <w:r w:rsidRPr="00B06331">
        <w:rPr>
          <w:rFonts w:cs="Calibri"/>
        </w:rPr>
        <w:t xml:space="preserve">    Ca</w:t>
      </w:r>
      <w:r w:rsidR="00EF1C6B" w:rsidRPr="00B06331">
        <w:rPr>
          <w:rFonts w:cs="Calibri"/>
        </w:rPr>
        <w:t>pacity building for producers engaged in the</w:t>
      </w:r>
      <w:r w:rsidRPr="00B06331">
        <w:rPr>
          <w:rFonts w:cs="Calibri"/>
        </w:rPr>
        <w:t xml:space="preserve"> export </w:t>
      </w:r>
      <w:r w:rsidR="00EF1C6B" w:rsidRPr="00B06331">
        <w:rPr>
          <w:rFonts w:cs="Calibri"/>
        </w:rPr>
        <w:t xml:space="preserve">of </w:t>
      </w:r>
      <w:r w:rsidRPr="00B06331">
        <w:rPr>
          <w:rFonts w:cs="Calibri"/>
        </w:rPr>
        <w:t xml:space="preserve">products </w:t>
      </w:r>
      <w:r w:rsidR="00EF1C6B" w:rsidRPr="00B06331">
        <w:rPr>
          <w:rFonts w:cs="Calibri"/>
        </w:rPr>
        <w:t xml:space="preserve">in </w:t>
      </w:r>
      <w:r w:rsidRPr="00B06331">
        <w:rPr>
          <w:rFonts w:cs="Calibri"/>
        </w:rPr>
        <w:t>qua</w:t>
      </w:r>
      <w:r w:rsidR="00EF1C6B" w:rsidRPr="00B06331">
        <w:rPr>
          <w:rFonts w:cs="Calibri"/>
        </w:rPr>
        <w:t xml:space="preserve">lity and standards. </w:t>
      </w:r>
      <w:r w:rsidRPr="00B06331">
        <w:rPr>
          <w:rFonts w:cs="Calibri"/>
        </w:rPr>
        <w:t xml:space="preserve">Government will exploit preferential trade treaties, increase compliance with SPS agreements, and expand trade opportunities for agricultural produce: the country is currently not taking full advantage of the preferential treatment guaranteed by international agreements. The plan will also raise awareness about SPS requirements and improve linkages to testing facilities such as </w:t>
      </w:r>
      <w:r w:rsidRPr="00B06331">
        <w:rPr>
          <w:rFonts w:cs="Calibri"/>
        </w:rPr>
        <w:lastRenderedPageBreak/>
        <w:t xml:space="preserve">the NARI laboratory, testing for aflatoxin in groundnuts, or the Fisheries laboratory used for microbiology testing of fish. </w:t>
      </w:r>
    </w:p>
    <w:p w:rsidR="003A5A07" w:rsidRPr="00B06331" w:rsidRDefault="003A5A07" w:rsidP="004143E3">
      <w:pPr>
        <w:numPr>
          <w:ilvl w:val="0"/>
          <w:numId w:val="26"/>
        </w:numPr>
        <w:tabs>
          <w:tab w:val="left" w:pos="540"/>
        </w:tabs>
        <w:spacing w:after="120" w:line="240" w:lineRule="auto"/>
        <w:jc w:val="both"/>
        <w:rPr>
          <w:rFonts w:cs="Calibri"/>
        </w:rPr>
      </w:pPr>
      <w:r w:rsidRPr="00B06331">
        <w:rPr>
          <w:rFonts w:cs="Calibri"/>
        </w:rPr>
        <w:t xml:space="preserve">   Coordination of smallholder farmers for commercialization. This means access will be improved for farmer to take advantage of local high-end market. </w:t>
      </w:r>
    </w:p>
    <w:p w:rsidR="003A5A07" w:rsidRPr="00B06331" w:rsidRDefault="003A5A07" w:rsidP="003A5A07">
      <w:pPr>
        <w:pStyle w:val="ListParagraph"/>
        <w:spacing w:after="0" w:line="240" w:lineRule="auto"/>
        <w:ind w:left="0"/>
        <w:jc w:val="both"/>
        <w:rPr>
          <w:rFonts w:eastAsia="MS Mincho" w:cs="Calibri"/>
          <w:b/>
        </w:rPr>
      </w:pPr>
    </w:p>
    <w:p w:rsidR="003A5A07" w:rsidRPr="00B06331" w:rsidRDefault="003A5A07" w:rsidP="003A5A07">
      <w:pPr>
        <w:pStyle w:val="ListParagraph"/>
        <w:spacing w:line="240" w:lineRule="auto"/>
        <w:ind w:left="0"/>
        <w:jc w:val="both"/>
        <w:rPr>
          <w:rFonts w:cs="Calibri"/>
          <w:b/>
        </w:rPr>
      </w:pPr>
      <w:r w:rsidRPr="00B06331">
        <w:rPr>
          <w:rFonts w:cs="Calibri"/>
          <w:b/>
        </w:rPr>
        <w:t xml:space="preserve">Enhance capacity for custom clearance and establishment of Single Window Custom Clearance system. </w:t>
      </w:r>
    </w:p>
    <w:p w:rsidR="00EF1C6B" w:rsidRPr="00B06331" w:rsidRDefault="003A5A07" w:rsidP="003A5A07">
      <w:pPr>
        <w:spacing w:before="120" w:after="120"/>
        <w:jc w:val="both"/>
        <w:rPr>
          <w:rFonts w:cs="Calibri"/>
        </w:rPr>
      </w:pPr>
      <w:r w:rsidRPr="00B06331">
        <w:rPr>
          <w:rFonts w:cs="Calibri"/>
        </w:rPr>
        <w:t>The business environment is confronted with numerous</w:t>
      </w:r>
      <w:r w:rsidR="00EF1C6B" w:rsidRPr="00B06331">
        <w:rPr>
          <w:rFonts w:cs="Calibri"/>
        </w:rPr>
        <w:t xml:space="preserve"> challenges including </w:t>
      </w:r>
      <w:r w:rsidRPr="00B06331">
        <w:rPr>
          <w:rFonts w:cs="Calibri"/>
        </w:rPr>
        <w:t xml:space="preserve">the clearance of goods in more efficient and timely manner. The introduction of the current ASYCUDA ++ while helpful has not completely resolved the challenges. Government will therefore develop strategies to upgrade ASYCUDA++ to ASYCUDA Wall and expand it coverage to all the major customs posts. Government will also strengthen economic relations with </w:t>
      </w:r>
      <w:r w:rsidR="00EF1C6B" w:rsidRPr="00B06331">
        <w:rPr>
          <w:rFonts w:cs="Calibri"/>
        </w:rPr>
        <w:t>neighbors</w:t>
      </w:r>
      <w:r w:rsidRPr="00B06331">
        <w:rPr>
          <w:rFonts w:cs="Calibri"/>
        </w:rPr>
        <w:t xml:space="preserve"> to improve compliance with the ECOWAS principles and harmonize the GAINDE and ASYCUDA++ systems. The Government will also put in place the necessary policy and legal framework for common border procedure and documentation and build the technical capacity of the Trade Facilitation Committee, Custom officials and Clearing agents with the needed resources to carry out trade facilitation activities effectively. </w:t>
      </w:r>
    </w:p>
    <w:p w:rsidR="003A5A07" w:rsidRPr="00B06331" w:rsidRDefault="00EF1C6B" w:rsidP="003A5A07">
      <w:pPr>
        <w:spacing w:before="120" w:after="120"/>
        <w:jc w:val="both"/>
        <w:rPr>
          <w:rFonts w:cs="Calibri"/>
        </w:rPr>
      </w:pPr>
      <w:r w:rsidRPr="00B06331">
        <w:rPr>
          <w:rFonts w:cs="Calibri"/>
        </w:rPr>
        <w:t>G</w:t>
      </w:r>
      <w:r w:rsidR="003A5A07" w:rsidRPr="00B06331">
        <w:rPr>
          <w:rFonts w:cs="Calibri"/>
        </w:rPr>
        <w:t xml:space="preserve">overnment will invest in the necessary ICT infrastructure to streamline Customs &amp; trade documentation procedures with the objective of achieving in the medium to long term a single window custom clearance system. The single window will provide a one stop shop for Customs cargo clearing; cargo forwarding; transshipment; transit trade and haulage and better organization of Trucking &amp; Haulage services for the Re-export Trade. Government will also develop projects/programmes for implementation of Gambia’s Trade </w:t>
      </w:r>
      <w:r w:rsidR="00824BD0" w:rsidRPr="00B06331">
        <w:rPr>
          <w:rFonts w:cs="Calibri"/>
        </w:rPr>
        <w:t>Facilitation</w:t>
      </w:r>
      <w:r w:rsidR="003A5A07" w:rsidRPr="00B06331">
        <w:rPr>
          <w:rFonts w:cs="Calibri"/>
        </w:rPr>
        <w:t xml:space="preserve"> Agreement especially Category C commitments. </w:t>
      </w:r>
    </w:p>
    <w:p w:rsidR="003A5A07" w:rsidRPr="00B06331" w:rsidRDefault="003A5A07" w:rsidP="003A5A07">
      <w:pPr>
        <w:pStyle w:val="ListParagraph"/>
        <w:spacing w:after="0" w:line="240" w:lineRule="auto"/>
        <w:ind w:left="0"/>
        <w:jc w:val="both"/>
        <w:rPr>
          <w:rFonts w:eastAsia="MS Mincho" w:cs="Calibri"/>
          <w:b/>
        </w:rPr>
      </w:pPr>
    </w:p>
    <w:p w:rsidR="003A5A07" w:rsidRPr="00B06331" w:rsidRDefault="003A5A07" w:rsidP="003A5A07">
      <w:pPr>
        <w:pStyle w:val="ListParagraph"/>
        <w:spacing w:after="0" w:line="240" w:lineRule="auto"/>
        <w:ind w:left="0"/>
        <w:jc w:val="both"/>
        <w:rPr>
          <w:rFonts w:cs="Calibri"/>
          <w:b/>
        </w:rPr>
      </w:pPr>
      <w:r w:rsidRPr="00B06331">
        <w:rPr>
          <w:rFonts w:cs="Calibri"/>
          <w:b/>
        </w:rPr>
        <w:t xml:space="preserve">Diversify service export and strengthen Trade in Services data management </w:t>
      </w:r>
    </w:p>
    <w:p w:rsidR="003A5A07" w:rsidRPr="00B06331" w:rsidRDefault="003A5A07" w:rsidP="003A5A07">
      <w:pPr>
        <w:spacing w:after="0" w:line="240" w:lineRule="auto"/>
        <w:jc w:val="both"/>
        <w:rPr>
          <w:rFonts w:cs="Calibri"/>
        </w:rPr>
      </w:pPr>
    </w:p>
    <w:p w:rsidR="003A5A07" w:rsidRPr="00B06331" w:rsidRDefault="003A5A07" w:rsidP="003A5A07">
      <w:pPr>
        <w:spacing w:after="0" w:line="240" w:lineRule="auto"/>
        <w:jc w:val="both"/>
        <w:rPr>
          <w:rFonts w:cs="Calibri"/>
        </w:rPr>
      </w:pPr>
      <w:r w:rsidRPr="00B06331">
        <w:rPr>
          <w:rFonts w:cs="Calibri"/>
        </w:rPr>
        <w:t>Trade in services is a key driver of growth and development, and constitutes a major source of export earnings, and employment generation. Therefore, the Gambia will leverage on the WTO service waiver for LDC</w:t>
      </w:r>
      <w:r w:rsidR="00824BD0" w:rsidRPr="00B06331">
        <w:rPr>
          <w:rFonts w:cs="Calibri"/>
        </w:rPr>
        <w:t>s to export</w:t>
      </w:r>
      <w:r w:rsidRPr="00B06331">
        <w:rPr>
          <w:rFonts w:cs="Calibri"/>
        </w:rPr>
        <w:t xml:space="preserve"> other services like sport, consultancy, and the performance arts. </w:t>
      </w:r>
    </w:p>
    <w:p w:rsidR="003A5A07" w:rsidRPr="00B06331" w:rsidRDefault="003A5A07" w:rsidP="003A5A07">
      <w:pPr>
        <w:spacing w:after="0" w:line="240" w:lineRule="auto"/>
        <w:jc w:val="both"/>
        <w:rPr>
          <w:rFonts w:cs="Calibri"/>
        </w:rPr>
      </w:pPr>
    </w:p>
    <w:p w:rsidR="003A5A07" w:rsidRPr="00B06331" w:rsidRDefault="003A5A07" w:rsidP="003A5A07">
      <w:pPr>
        <w:spacing w:after="0" w:line="240" w:lineRule="auto"/>
        <w:jc w:val="both"/>
        <w:rPr>
          <w:rFonts w:cs="Calibri"/>
        </w:rPr>
      </w:pPr>
      <w:r w:rsidRPr="00B06331">
        <w:rPr>
          <w:rFonts w:cs="Calibri"/>
        </w:rPr>
        <w:t xml:space="preserve">Given that The Gambia cannot optimize the full potential in the service sector </w:t>
      </w:r>
      <w:r w:rsidR="00824BD0" w:rsidRPr="00B06331">
        <w:rPr>
          <w:rFonts w:cs="Calibri"/>
        </w:rPr>
        <w:t>because of</w:t>
      </w:r>
      <w:r w:rsidRPr="00B06331">
        <w:rPr>
          <w:rFonts w:cs="Calibri"/>
        </w:rPr>
        <w:t xml:space="preserve"> limited capacity in trade in service data collection, Government will make optimal use of existing aid-for-trade channels such as the EIF and the technical assistance and capacity building work of relevant international institutions to establish data management system for enhanced trade in service data collection and analysis.  </w:t>
      </w:r>
    </w:p>
    <w:p w:rsidR="003A5A07" w:rsidRPr="00B06331" w:rsidRDefault="003A5A07" w:rsidP="003A5A07">
      <w:pPr>
        <w:pStyle w:val="ListParagraph"/>
        <w:spacing w:line="240" w:lineRule="auto"/>
        <w:ind w:left="0"/>
        <w:jc w:val="both"/>
        <w:rPr>
          <w:rFonts w:cs="Calibri"/>
          <w:b/>
        </w:rPr>
      </w:pPr>
    </w:p>
    <w:p w:rsidR="003A5A07" w:rsidRPr="00B06331" w:rsidRDefault="003A5A07" w:rsidP="003A5A07">
      <w:pPr>
        <w:pStyle w:val="ListParagraph"/>
        <w:spacing w:line="240" w:lineRule="auto"/>
        <w:ind w:left="0"/>
        <w:jc w:val="both"/>
        <w:rPr>
          <w:rFonts w:cs="Calibri"/>
          <w:b/>
        </w:rPr>
      </w:pPr>
      <w:r w:rsidRPr="00B06331">
        <w:rPr>
          <w:rFonts w:cs="Calibri"/>
          <w:b/>
        </w:rPr>
        <w:t>Improve Trade and Investment Negotiations.</w:t>
      </w:r>
    </w:p>
    <w:p w:rsidR="003A5A07" w:rsidRPr="00B06331" w:rsidRDefault="00824BD0" w:rsidP="003A5A07">
      <w:pPr>
        <w:spacing w:after="0" w:line="240" w:lineRule="auto"/>
        <w:jc w:val="both"/>
        <w:rPr>
          <w:rFonts w:cs="Calibri"/>
        </w:rPr>
      </w:pPr>
      <w:r w:rsidRPr="00B06331">
        <w:rPr>
          <w:rFonts w:cs="Calibri"/>
        </w:rPr>
        <w:t>Government will build the capacity of its Permanent Mission in Geneva</w:t>
      </w:r>
      <w:r w:rsidR="003A5A07" w:rsidRPr="00B06331">
        <w:rPr>
          <w:rFonts w:cs="Calibri"/>
        </w:rPr>
        <w:t xml:space="preserve"> on Trade and Investment negotiations. It is envisag</w:t>
      </w:r>
      <w:r w:rsidRPr="00B06331">
        <w:rPr>
          <w:rFonts w:cs="Calibri"/>
        </w:rPr>
        <w:t>ed that subsequently, the country</w:t>
      </w:r>
      <w:r w:rsidR="003A5A07" w:rsidRPr="00B06331">
        <w:rPr>
          <w:rFonts w:cs="Calibri"/>
        </w:rPr>
        <w:t xml:space="preserve"> will effectively and actively participate in bilateral, </w:t>
      </w:r>
      <w:r w:rsidRPr="00B06331">
        <w:rPr>
          <w:rFonts w:cs="Calibri"/>
        </w:rPr>
        <w:t>regional,</w:t>
      </w:r>
      <w:r w:rsidR="003A5A07" w:rsidRPr="00B06331">
        <w:rPr>
          <w:rFonts w:cs="Calibri"/>
        </w:rPr>
        <w:t xml:space="preserve"> and multilateral trade negotiations. </w:t>
      </w:r>
    </w:p>
    <w:p w:rsidR="003A5A07" w:rsidRPr="00B06331" w:rsidRDefault="003A5A07" w:rsidP="003A5A07">
      <w:pPr>
        <w:tabs>
          <w:tab w:val="left" w:pos="1770"/>
        </w:tabs>
        <w:spacing w:after="0"/>
        <w:rPr>
          <w:rFonts w:cs="Calibri"/>
          <w:b/>
        </w:rPr>
      </w:pPr>
    </w:p>
    <w:p w:rsidR="00C7179F" w:rsidRPr="00B06331" w:rsidRDefault="003A5A07" w:rsidP="00AD467B">
      <w:pPr>
        <w:tabs>
          <w:tab w:val="left" w:pos="1770"/>
        </w:tabs>
        <w:spacing w:after="0"/>
        <w:rPr>
          <w:rFonts w:cs="Calibri"/>
          <w:b/>
        </w:rPr>
      </w:pPr>
      <w:r w:rsidRPr="00B06331">
        <w:rPr>
          <w:rFonts w:cs="Calibri"/>
          <w:b/>
        </w:rPr>
        <w:t>Enhance Consumer Welf</w:t>
      </w:r>
      <w:r w:rsidR="00AD467B" w:rsidRPr="00B06331">
        <w:rPr>
          <w:rFonts w:cs="Calibri"/>
          <w:b/>
        </w:rPr>
        <w:t>are through Competitive markets</w:t>
      </w:r>
    </w:p>
    <w:p w:rsidR="00AD467B" w:rsidRPr="00B06331" w:rsidRDefault="00AD467B" w:rsidP="00AD467B">
      <w:pPr>
        <w:tabs>
          <w:tab w:val="left" w:pos="1770"/>
        </w:tabs>
        <w:spacing w:after="0"/>
        <w:rPr>
          <w:rFonts w:cs="Calibri"/>
          <w:b/>
        </w:rPr>
      </w:pPr>
    </w:p>
    <w:p w:rsidR="003A5A07" w:rsidRPr="00B06331" w:rsidRDefault="003A5A07" w:rsidP="003A5A07">
      <w:pPr>
        <w:spacing w:line="240" w:lineRule="auto"/>
        <w:jc w:val="both"/>
        <w:rPr>
          <w:rFonts w:cs="Calibri"/>
        </w:rPr>
      </w:pPr>
      <w:r w:rsidRPr="00B06331">
        <w:rPr>
          <w:rFonts w:cs="Calibri"/>
        </w:rPr>
        <w:lastRenderedPageBreak/>
        <w:t>Government recognizes that consumer welfare is multi-dimensional and its progress requires multi stakeholder engag</w:t>
      </w:r>
      <w:r w:rsidR="00824BD0" w:rsidRPr="00B06331">
        <w:rPr>
          <w:rFonts w:cs="Calibri"/>
        </w:rPr>
        <w:t>ements. Consequently, government will remove entry barriers in essential commodities m</w:t>
      </w:r>
      <w:r w:rsidRPr="00B06331">
        <w:rPr>
          <w:rFonts w:cs="Calibri"/>
        </w:rPr>
        <w:t>arket (Rice and Sugar) in keeping with The Gambia Competition and Consumer Protection Commission’s</w:t>
      </w:r>
      <w:r w:rsidR="00824BD0" w:rsidRPr="00B06331">
        <w:rPr>
          <w:rFonts w:cs="Calibri"/>
        </w:rPr>
        <w:t xml:space="preserve"> (GCCPC) findings which concluded</w:t>
      </w:r>
      <w:r w:rsidRPr="00B06331">
        <w:rPr>
          <w:rFonts w:cs="Calibri"/>
        </w:rPr>
        <w:t xml:space="preserve"> that these markets are uncompetitive with high entry barriers resulting to hardship for vulner</w:t>
      </w:r>
      <w:r w:rsidR="00824BD0" w:rsidRPr="00B06331">
        <w:rPr>
          <w:rFonts w:cs="Calibri"/>
        </w:rPr>
        <w:t>able communities. T</w:t>
      </w:r>
      <w:r w:rsidRPr="00B06331">
        <w:rPr>
          <w:rFonts w:cs="Calibri"/>
        </w:rPr>
        <w:t xml:space="preserve">he plan will support the effective functioning of the Consumer Protection Tribunals by establishing and building the capacities of three tribunals in WCR, NBR and URR by the end of 2021. This would enable consumers in these regions to seek appropriate redress from anti-competitive behavior. </w:t>
      </w:r>
    </w:p>
    <w:p w:rsidR="006C2AE4" w:rsidRPr="00B06331" w:rsidRDefault="00824BD0" w:rsidP="00B40E29">
      <w:pPr>
        <w:spacing w:line="240" w:lineRule="auto"/>
        <w:jc w:val="both"/>
        <w:rPr>
          <w:rFonts w:cs="Calibri"/>
        </w:rPr>
      </w:pPr>
      <w:r w:rsidRPr="00B06331">
        <w:rPr>
          <w:rFonts w:cs="Calibri"/>
        </w:rPr>
        <w:t>S</w:t>
      </w:r>
      <w:r w:rsidR="003A5A07" w:rsidRPr="00B06331">
        <w:rPr>
          <w:rFonts w:cs="Calibri"/>
        </w:rPr>
        <w:t>ensitization and capacity building on consumer protection and competition issues</w:t>
      </w:r>
      <w:r w:rsidRPr="00B06331">
        <w:rPr>
          <w:rFonts w:cs="Calibri"/>
        </w:rPr>
        <w:t xml:space="preserve"> will be undertaken</w:t>
      </w:r>
      <w:r w:rsidR="003A5A07" w:rsidRPr="00B06331">
        <w:rPr>
          <w:rFonts w:cs="Calibri"/>
        </w:rPr>
        <w:t>. GCCPC will therefore develop strategies to mainstream competition and consumer protection issues into government policies through series of training programs for Ministries, Agencies/Authorities, the private sector, CSOs and National Assembly members. The commission will also conduct market inquiries into key sectors and advise Government on competitio</w:t>
      </w:r>
      <w:r w:rsidR="00B40E29" w:rsidRPr="00B06331">
        <w:rPr>
          <w:rFonts w:cs="Calibri"/>
        </w:rPr>
        <w:t xml:space="preserve">n and consumer related issues. </w:t>
      </w:r>
    </w:p>
    <w:p w:rsidR="003A5A07" w:rsidRPr="00B06331" w:rsidRDefault="003A5A07" w:rsidP="003A5A07">
      <w:pPr>
        <w:pStyle w:val="ListParagraph"/>
        <w:spacing w:line="240" w:lineRule="auto"/>
        <w:ind w:left="0"/>
        <w:jc w:val="both"/>
        <w:rPr>
          <w:rFonts w:cs="Calibri"/>
          <w:b/>
        </w:rPr>
      </w:pPr>
      <w:r w:rsidRPr="00B06331">
        <w:rPr>
          <w:rFonts w:cs="Calibri"/>
          <w:b/>
        </w:rPr>
        <w:t>Strengthen Weights and Measures Bureau</w:t>
      </w:r>
    </w:p>
    <w:p w:rsidR="003A5A07" w:rsidRPr="00B06331" w:rsidRDefault="003A5A07" w:rsidP="00B40E29">
      <w:pPr>
        <w:jc w:val="both"/>
        <w:rPr>
          <w:rFonts w:cs="Calibri"/>
        </w:rPr>
      </w:pPr>
      <w:r w:rsidRPr="00B06331">
        <w:rPr>
          <w:rFonts w:cs="Calibri"/>
        </w:rPr>
        <w:t>Accuracy in the measurement of tradable goods is critical in ensuring maximum protection of consumer right</w:t>
      </w:r>
      <w:r w:rsidR="00824BD0" w:rsidRPr="00B06331">
        <w:rPr>
          <w:rFonts w:cs="Calibri"/>
        </w:rPr>
        <w:t>s</w:t>
      </w:r>
      <w:r w:rsidRPr="00B06331">
        <w:rPr>
          <w:rFonts w:cs="Calibri"/>
        </w:rPr>
        <w:t>. The Weights and Measures Bureau continue</w:t>
      </w:r>
      <w:r w:rsidR="00824BD0" w:rsidRPr="00B06331">
        <w:rPr>
          <w:rFonts w:cs="Calibri"/>
        </w:rPr>
        <w:t>s</w:t>
      </w:r>
      <w:r w:rsidRPr="00B06331">
        <w:rPr>
          <w:rFonts w:cs="Calibri"/>
        </w:rPr>
        <w:t xml:space="preserve"> to face capacity problems which are affecting the effective administration of their core function. To ensure effective functioning of the bureau, government will build the human and institutional capacity of the bureau by providing a legal metrology laboratory, </w:t>
      </w:r>
      <w:r w:rsidR="00824BD0" w:rsidRPr="00B06331">
        <w:rPr>
          <w:rFonts w:cs="Calibri"/>
        </w:rPr>
        <w:t xml:space="preserve">and </w:t>
      </w:r>
      <w:r w:rsidRPr="00B06331">
        <w:rPr>
          <w:rFonts w:cs="Calibri"/>
        </w:rPr>
        <w:t xml:space="preserve">standard calibration equipment and mobility. The bureau will also strengthen its regional offices.  Government will also provide training programmes for the bureau and support the building of the bureau’s headquarters. </w:t>
      </w:r>
    </w:p>
    <w:p w:rsidR="003A5A07" w:rsidRPr="00B06331" w:rsidRDefault="006C2AE4" w:rsidP="003A5A07">
      <w:pPr>
        <w:pStyle w:val="ListParagraph"/>
        <w:spacing w:line="240" w:lineRule="auto"/>
        <w:ind w:left="0"/>
        <w:jc w:val="both"/>
        <w:rPr>
          <w:rFonts w:cs="Calibri"/>
          <w:b/>
        </w:rPr>
      </w:pPr>
      <w:r w:rsidRPr="00B06331">
        <w:rPr>
          <w:rFonts w:cs="Calibri"/>
          <w:b/>
        </w:rPr>
        <w:t>Develop</w:t>
      </w:r>
      <w:r w:rsidR="003A5A07" w:rsidRPr="00B06331">
        <w:rPr>
          <w:rFonts w:cs="Calibri"/>
          <w:b/>
        </w:rPr>
        <w:t xml:space="preserve"> the J22 Park</w:t>
      </w:r>
    </w:p>
    <w:p w:rsidR="003A5A07" w:rsidRPr="00B06331" w:rsidRDefault="003A5A07" w:rsidP="003A5A07">
      <w:pPr>
        <w:pStyle w:val="ListParagraph"/>
        <w:spacing w:after="0" w:line="240" w:lineRule="auto"/>
        <w:ind w:left="0"/>
        <w:jc w:val="both"/>
        <w:rPr>
          <w:rFonts w:cs="Calibri"/>
          <w:b/>
        </w:rPr>
      </w:pPr>
    </w:p>
    <w:p w:rsidR="003A5A07" w:rsidRPr="00B06331" w:rsidRDefault="00824BD0" w:rsidP="003A5A07">
      <w:pPr>
        <w:pStyle w:val="ListParagraph"/>
        <w:spacing w:after="0" w:line="240" w:lineRule="auto"/>
        <w:ind w:left="0"/>
        <w:jc w:val="both"/>
        <w:rPr>
          <w:rFonts w:cs="Calibri"/>
        </w:rPr>
      </w:pPr>
      <w:r w:rsidRPr="00B06331">
        <w:rPr>
          <w:rFonts w:cs="Calibri"/>
        </w:rPr>
        <w:t>Government</w:t>
      </w:r>
      <w:r w:rsidR="003A5A07" w:rsidRPr="00B06331">
        <w:rPr>
          <w:rFonts w:cs="Calibri"/>
        </w:rPr>
        <w:t xml:space="preserve"> has developed 8.8 hectares industrial park out of a total land area of 168 hectares situated at Banjul International Airport, to accelerate development and the country’s export performance. The park </w:t>
      </w:r>
      <w:r w:rsidRPr="00B06331">
        <w:rPr>
          <w:rFonts w:cs="Calibri"/>
        </w:rPr>
        <w:t xml:space="preserve">is designed to provide </w:t>
      </w:r>
      <w:r w:rsidR="003A5A07" w:rsidRPr="00B06331">
        <w:rPr>
          <w:rFonts w:cs="Calibri"/>
        </w:rPr>
        <w:t>entrepreneurs and</w:t>
      </w:r>
      <w:r w:rsidRPr="00B06331">
        <w:rPr>
          <w:rFonts w:cs="Calibri"/>
        </w:rPr>
        <w:t xml:space="preserve"> external outreach and</w:t>
      </w:r>
      <w:r w:rsidR="003A5A07" w:rsidRPr="00B06331">
        <w:rPr>
          <w:rFonts w:cs="Calibri"/>
        </w:rPr>
        <w:t xml:space="preserve"> economies </w:t>
      </w:r>
      <w:r w:rsidRPr="00B06331">
        <w:rPr>
          <w:rFonts w:cs="Calibri"/>
        </w:rPr>
        <w:t xml:space="preserve">of scale, </w:t>
      </w:r>
      <w:r w:rsidR="003A5A07" w:rsidRPr="00B06331">
        <w:rPr>
          <w:rFonts w:cs="Calibri"/>
        </w:rPr>
        <w:t xml:space="preserve">so </w:t>
      </w:r>
      <w:r w:rsidRPr="00B06331">
        <w:rPr>
          <w:rFonts w:cs="Calibri"/>
        </w:rPr>
        <w:t xml:space="preserve">that </w:t>
      </w:r>
      <w:r w:rsidR="003A5A07" w:rsidRPr="00B06331">
        <w:rPr>
          <w:rFonts w:cs="Calibri"/>
        </w:rPr>
        <w:t>their competition power and productivity is augmented, whiles decreasing cost and improving quali</w:t>
      </w:r>
      <w:r w:rsidRPr="00B06331">
        <w:rPr>
          <w:rFonts w:cs="Calibri"/>
        </w:rPr>
        <w:t xml:space="preserve">ty of products. </w:t>
      </w:r>
      <w:r w:rsidR="003A5A07" w:rsidRPr="00B06331">
        <w:rPr>
          <w:rFonts w:cs="Calibri"/>
        </w:rPr>
        <w:t>GIEPA in partnership with the private sector will implement strategies to enhance the utilization and development of the park.</w:t>
      </w:r>
    </w:p>
    <w:p w:rsidR="004143E3" w:rsidRPr="00B06331" w:rsidRDefault="004143E3" w:rsidP="003A5A07">
      <w:pPr>
        <w:pStyle w:val="ListParagraph"/>
        <w:spacing w:line="240" w:lineRule="auto"/>
        <w:ind w:left="0"/>
        <w:jc w:val="both"/>
        <w:rPr>
          <w:rFonts w:cs="Calibri"/>
          <w:b/>
        </w:rPr>
      </w:pPr>
    </w:p>
    <w:p w:rsidR="004143E3" w:rsidRPr="00B06331" w:rsidRDefault="004143E3" w:rsidP="003A5A07">
      <w:pPr>
        <w:pStyle w:val="ListParagraph"/>
        <w:spacing w:line="240" w:lineRule="auto"/>
        <w:ind w:left="0"/>
        <w:jc w:val="both"/>
        <w:rPr>
          <w:rFonts w:cs="Calibri"/>
          <w:b/>
        </w:rPr>
      </w:pPr>
    </w:p>
    <w:p w:rsidR="003A5A07" w:rsidRPr="00B06331" w:rsidRDefault="003A5A07" w:rsidP="003A5A07">
      <w:pPr>
        <w:pStyle w:val="ListParagraph"/>
        <w:spacing w:line="240" w:lineRule="auto"/>
        <w:ind w:left="0"/>
        <w:jc w:val="both"/>
        <w:rPr>
          <w:rFonts w:cs="Calibri"/>
          <w:b/>
        </w:rPr>
      </w:pPr>
      <w:r w:rsidRPr="00B06331">
        <w:rPr>
          <w:rFonts w:cs="Calibri"/>
          <w:b/>
        </w:rPr>
        <w:t>Improve the implementation of Regional programmes</w:t>
      </w:r>
    </w:p>
    <w:p w:rsidR="00824BD0" w:rsidRPr="00B06331" w:rsidRDefault="003A5A07" w:rsidP="00B40E29">
      <w:pPr>
        <w:jc w:val="both"/>
        <w:rPr>
          <w:rFonts w:cs="Calibri"/>
        </w:rPr>
      </w:pPr>
      <w:r w:rsidRPr="00B06331">
        <w:rPr>
          <w:rFonts w:cs="Calibri"/>
        </w:rPr>
        <w:t>Government is committed to the full implementation of the regional integration programmes both under ECOWAS and African Union. The goal is to ensure the creation of a single economic space to help increase trade, stimulate economic growth, attract foreign direct investment, and enable domestic producers to build up their capacity. To achieve this, Government will continue to monitor</w:t>
      </w:r>
      <w:r w:rsidR="00824BD0" w:rsidRPr="00B06331">
        <w:rPr>
          <w:rFonts w:cs="Calibri"/>
        </w:rPr>
        <w:t xml:space="preserve"> the implementation of </w:t>
      </w:r>
      <w:r w:rsidRPr="00B06331">
        <w:rPr>
          <w:rFonts w:cs="Calibri"/>
        </w:rPr>
        <w:t xml:space="preserve">ECOWAS programmes. These include among others, the ECOWAS Trade Liberalization Scheme (ETLS), the Inter-State Road Transit Scheme (ISRT), the Common External Tariff (CET), and the ECOWAS Protocol on the Community Levy, the ECOWAS Free Movement Protocol, the ECOWAS Trans Africa road project, the ECOWAS Energy Expansion Project. Government will also support the operation and construction of the Head Office of ECOWAS Regional Competition Authority. </w:t>
      </w:r>
    </w:p>
    <w:p w:rsidR="003A5A07" w:rsidRPr="00B06331" w:rsidRDefault="00824BD0" w:rsidP="00B40E29">
      <w:pPr>
        <w:jc w:val="both"/>
        <w:rPr>
          <w:rFonts w:cs="Calibri"/>
        </w:rPr>
      </w:pPr>
      <w:r w:rsidRPr="00B06331">
        <w:rPr>
          <w:rFonts w:cs="Calibri"/>
        </w:rPr>
        <w:lastRenderedPageBreak/>
        <w:t>Government</w:t>
      </w:r>
      <w:r w:rsidR="003A5A07" w:rsidRPr="00B06331">
        <w:rPr>
          <w:rFonts w:cs="Calibri"/>
        </w:rPr>
        <w:t xml:space="preserve"> will also put in place strategies to complete the ratification and domestication of regional protocols of ECOWAS</w:t>
      </w:r>
      <w:r w:rsidR="00F6011C" w:rsidRPr="00B06331">
        <w:rPr>
          <w:rFonts w:cs="Calibri"/>
        </w:rPr>
        <w:t xml:space="preserve">, AU, </w:t>
      </w:r>
      <w:r w:rsidR="00FF43D6" w:rsidRPr="00B06331">
        <w:rPr>
          <w:rFonts w:cs="Calibri"/>
        </w:rPr>
        <w:t>and OIC</w:t>
      </w:r>
      <w:r w:rsidR="00F6011C" w:rsidRPr="00B06331">
        <w:rPr>
          <w:rFonts w:cs="Calibri"/>
        </w:rPr>
        <w:t xml:space="preserve">, </w:t>
      </w:r>
      <w:r w:rsidR="003A5A07" w:rsidRPr="00B06331">
        <w:rPr>
          <w:rFonts w:cs="Calibri"/>
        </w:rPr>
        <w:t>conduct sensitization programmes on the regional protocols and undertake trade and investment missions for effective implementation of regional integration programmes. Fina</w:t>
      </w:r>
      <w:r w:rsidR="00F6011C" w:rsidRPr="00B06331">
        <w:rPr>
          <w:rFonts w:cs="Calibri"/>
        </w:rPr>
        <w:t xml:space="preserve">lly, </w:t>
      </w:r>
    </w:p>
    <w:p w:rsidR="003A5A07" w:rsidRPr="00B06331" w:rsidRDefault="003A5A07" w:rsidP="003A5A07">
      <w:pPr>
        <w:pStyle w:val="ListParagraph"/>
        <w:spacing w:line="240" w:lineRule="auto"/>
        <w:ind w:left="0"/>
        <w:jc w:val="both"/>
        <w:rPr>
          <w:rFonts w:cs="Calibri"/>
          <w:b/>
        </w:rPr>
      </w:pPr>
      <w:r w:rsidRPr="00B06331">
        <w:rPr>
          <w:rFonts w:cs="Calibri"/>
          <w:b/>
        </w:rPr>
        <w:t>Improve access to finance</w:t>
      </w:r>
    </w:p>
    <w:p w:rsidR="003A5A07" w:rsidRPr="00B06331" w:rsidRDefault="003A5A07" w:rsidP="003A5A07">
      <w:pPr>
        <w:tabs>
          <w:tab w:val="left" w:pos="720"/>
        </w:tabs>
        <w:spacing w:before="120" w:after="120"/>
        <w:jc w:val="both"/>
        <w:rPr>
          <w:rFonts w:cs="Calibri"/>
        </w:rPr>
      </w:pPr>
      <w:r w:rsidRPr="00B06331">
        <w:rPr>
          <w:rFonts w:cs="Calibri"/>
        </w:rPr>
        <w:t>Government will nurture the development of the private sector by improving access to low cost financing and so ensure that the private sector acts as a catalyst for sustainable and inclusive economic growth and development.  It will collaborate with the private sector in the implementation of its medium and long-term development objectives through private public partnerships (PPPs), especially in priority areas such as agriculture, tourism, telecommunications, infrastructure and manufacturing. By seeking increased financing by private sector investors as well as remittances from the Diaspora, Government intends to trigger a perception change of the country and thereby its credit rating and ability to attract more investors. To ensure a lower cost of borrowing and private secto</w:t>
      </w:r>
      <w:r w:rsidR="00F6011C" w:rsidRPr="00B06331">
        <w:rPr>
          <w:rFonts w:cs="Calibri"/>
        </w:rPr>
        <w:t xml:space="preserve">r access to finance, government </w:t>
      </w:r>
      <w:r w:rsidRPr="00B06331">
        <w:rPr>
          <w:rFonts w:cs="Calibri"/>
        </w:rPr>
        <w:t>will continue to promote prudent fiscal policy, encourage investment in mortgage, development, agriculture, and investment banks, deepen &amp; broaden the financial sector and the creation of a Capital Market</w:t>
      </w:r>
      <w:r w:rsidR="00B40E29" w:rsidRPr="00B06331">
        <w:rPr>
          <w:rFonts w:cs="Calibri"/>
        </w:rPr>
        <w:t xml:space="preserve"> along with a regulatory body. </w:t>
      </w:r>
    </w:p>
    <w:p w:rsidR="00CC69CB" w:rsidRPr="00B06331" w:rsidRDefault="00CC69CB" w:rsidP="003A5A07">
      <w:pPr>
        <w:pStyle w:val="ListParagraph"/>
        <w:spacing w:line="240" w:lineRule="auto"/>
        <w:ind w:left="0"/>
        <w:jc w:val="both"/>
        <w:rPr>
          <w:rFonts w:cs="Calibri"/>
          <w:b/>
        </w:rPr>
      </w:pPr>
    </w:p>
    <w:p w:rsidR="003A5A07" w:rsidRPr="00B06331" w:rsidRDefault="003A5A07" w:rsidP="003A5A07">
      <w:pPr>
        <w:pStyle w:val="ListParagraph"/>
        <w:spacing w:line="240" w:lineRule="auto"/>
        <w:ind w:left="0"/>
        <w:jc w:val="both"/>
        <w:rPr>
          <w:rFonts w:cs="Calibri"/>
          <w:b/>
        </w:rPr>
      </w:pPr>
      <w:r w:rsidRPr="00B06331">
        <w:rPr>
          <w:rFonts w:cs="Calibri"/>
          <w:b/>
        </w:rPr>
        <w:t>Tax reforms</w:t>
      </w:r>
    </w:p>
    <w:p w:rsidR="003A5A07" w:rsidRPr="00B06331" w:rsidRDefault="003A5A07" w:rsidP="003A5A07">
      <w:pPr>
        <w:spacing w:after="0"/>
        <w:jc w:val="both"/>
        <w:rPr>
          <w:rFonts w:cs="Calibri"/>
        </w:rPr>
      </w:pPr>
      <w:r w:rsidRPr="00B06331">
        <w:rPr>
          <w:rFonts w:cs="Calibri"/>
        </w:rPr>
        <w:t>The tax system is another problematic area for the private sector in The Gambia. Currently, the existences of numerous taxes (government, local and municip</w:t>
      </w:r>
      <w:r w:rsidR="00F6011C" w:rsidRPr="00B06331">
        <w:rPr>
          <w:rFonts w:cs="Calibri"/>
        </w:rPr>
        <w:t xml:space="preserve">al taxes) are </w:t>
      </w:r>
      <w:r w:rsidRPr="00B06331">
        <w:rPr>
          <w:rFonts w:cs="Calibri"/>
        </w:rPr>
        <w:t xml:space="preserve">a disincentive for growth of small businesses in both formal and </w:t>
      </w:r>
      <w:r w:rsidR="00F6011C" w:rsidRPr="00B06331">
        <w:rPr>
          <w:rFonts w:cs="Calibri"/>
        </w:rPr>
        <w:t>informal sector. T</w:t>
      </w:r>
      <w:r w:rsidRPr="00B06331">
        <w:rPr>
          <w:rFonts w:cs="Calibri"/>
        </w:rPr>
        <w:t>he absence of predictability and clarity of tax policies have also affected the conduciveness of the business environment. Government will therefore pursue macro-economic reform measures to reduce the tax rates especially corporate and income tax, stream line and broaden the tax base of the economy through formalizing of the informal sector, eliminate the “nuisance” taxes as much as possible, and simplify the tax system to adopt less burdensome procedures and thus ensure higher levels of compliance.</w:t>
      </w:r>
    </w:p>
    <w:p w:rsidR="003A5A07" w:rsidRPr="00B06331" w:rsidRDefault="003A5A07" w:rsidP="003A5A07">
      <w:pPr>
        <w:pStyle w:val="ListParagraph"/>
        <w:spacing w:line="240" w:lineRule="auto"/>
        <w:ind w:left="0"/>
        <w:jc w:val="both"/>
        <w:rPr>
          <w:rFonts w:cs="Calibri"/>
          <w:b/>
        </w:rPr>
      </w:pPr>
    </w:p>
    <w:p w:rsidR="003A5A07" w:rsidRPr="00B06331" w:rsidRDefault="003A5A07" w:rsidP="003A5A07">
      <w:pPr>
        <w:pStyle w:val="ListParagraph"/>
        <w:spacing w:line="240" w:lineRule="auto"/>
        <w:ind w:left="0"/>
        <w:jc w:val="both"/>
        <w:rPr>
          <w:rFonts w:cs="Calibri"/>
          <w:b/>
        </w:rPr>
      </w:pPr>
      <w:r w:rsidRPr="00B06331">
        <w:rPr>
          <w:rFonts w:cs="Calibri"/>
          <w:b/>
        </w:rPr>
        <w:t>Revive the National Economic Council</w:t>
      </w:r>
    </w:p>
    <w:p w:rsidR="003A5A07" w:rsidRPr="00B06331" w:rsidRDefault="003A5A07" w:rsidP="003A5A07">
      <w:pPr>
        <w:tabs>
          <w:tab w:val="left" w:pos="720"/>
        </w:tabs>
        <w:spacing w:before="120" w:after="120"/>
        <w:jc w:val="both"/>
        <w:rPr>
          <w:rFonts w:cs="Calibri"/>
        </w:rPr>
      </w:pPr>
      <w:r w:rsidRPr="00B06331">
        <w:rPr>
          <w:rFonts w:cs="Calibri"/>
        </w:rPr>
        <w:t xml:space="preserve">A multi-stakeholder platform for continuous dialogue between Government, private sector as well as other stakeholders is also critical for the establishment of conducive investment environment. The Gambia Chamber of Commerce and Industry (GCCI) is the private sector representation at public fora. Government will thus support the functionality of the national economic council (NEC) by providing technical and financial resources. Government will also partner with GCCI and other stakeholders </w:t>
      </w:r>
      <w:r w:rsidR="00F6011C" w:rsidRPr="00B06331">
        <w:rPr>
          <w:rFonts w:cs="Calibri"/>
        </w:rPr>
        <w:t>on capacity building</w:t>
      </w:r>
      <w:r w:rsidRPr="00B06331">
        <w:rPr>
          <w:rFonts w:cs="Calibri"/>
        </w:rPr>
        <w:t xml:space="preserve"> for public private dialog</w:t>
      </w:r>
      <w:r w:rsidR="00F6011C" w:rsidRPr="00B06331">
        <w:rPr>
          <w:rFonts w:cs="Calibri"/>
        </w:rPr>
        <w:t xml:space="preserve">ue. </w:t>
      </w:r>
      <w:r w:rsidRPr="00B06331">
        <w:rPr>
          <w:rFonts w:cs="Calibri"/>
        </w:rPr>
        <w:t>Government will continue to conduct the National Eco</w:t>
      </w:r>
      <w:r w:rsidR="00F6011C" w:rsidRPr="00B06331">
        <w:rPr>
          <w:rFonts w:cs="Calibri"/>
        </w:rPr>
        <w:t xml:space="preserve">nomic Summit which is </w:t>
      </w:r>
      <w:r w:rsidRPr="00B06331">
        <w:rPr>
          <w:rFonts w:cs="Calibri"/>
        </w:rPr>
        <w:t xml:space="preserve">a platform for open and frank dialogue between government and private sector and for information sharing. Government will institutionalize the NEC as an annual event. Allied to this will be a tripartite Foreign Affairs-Trade-GCCI partnership platform that is aimed at positioning commercial representatives in key foreign based export markets. This will have positive effects on the trading possibilities of The Gambia’s producers of goods and services. </w:t>
      </w:r>
    </w:p>
    <w:p w:rsidR="003A5A07" w:rsidRPr="00B06331" w:rsidRDefault="003A5A07" w:rsidP="003A5A07">
      <w:pPr>
        <w:pStyle w:val="ListParagraph"/>
        <w:spacing w:line="240" w:lineRule="auto"/>
        <w:ind w:left="0"/>
        <w:jc w:val="both"/>
        <w:rPr>
          <w:rFonts w:cs="Calibri"/>
          <w:b/>
        </w:rPr>
      </w:pPr>
    </w:p>
    <w:p w:rsidR="003A5A07" w:rsidRPr="00B06331" w:rsidRDefault="003A5A07" w:rsidP="003A5A07">
      <w:pPr>
        <w:pStyle w:val="ListParagraph"/>
        <w:spacing w:line="240" w:lineRule="auto"/>
        <w:ind w:left="0"/>
        <w:jc w:val="both"/>
        <w:rPr>
          <w:rFonts w:cs="Calibri"/>
          <w:b/>
        </w:rPr>
      </w:pPr>
      <w:r w:rsidRPr="00B06331">
        <w:rPr>
          <w:rFonts w:cs="Calibri"/>
          <w:b/>
        </w:rPr>
        <w:t xml:space="preserve">Conduct and implement investment policy reform </w:t>
      </w:r>
    </w:p>
    <w:p w:rsidR="003A5A07" w:rsidRPr="00B06331" w:rsidRDefault="003A5A07" w:rsidP="003A5A07">
      <w:pPr>
        <w:tabs>
          <w:tab w:val="left" w:pos="720"/>
        </w:tabs>
        <w:spacing w:before="120" w:after="120"/>
        <w:jc w:val="both"/>
        <w:rPr>
          <w:rFonts w:cs="Calibri"/>
        </w:rPr>
      </w:pPr>
      <w:r w:rsidRPr="00B06331">
        <w:rPr>
          <w:rFonts w:cs="Calibri"/>
        </w:rPr>
        <w:t xml:space="preserve">Through policy reforms and other catalytic arrangements, Government will continue to provide incentives to encourage private sector investments in priority areas of agriculture, tourism, other services, and industry. The reform will also include the decentralization of the Single Window Business Registration to facilitate the formalization of businesses in all regions. </w:t>
      </w:r>
    </w:p>
    <w:p w:rsidR="003A5A07" w:rsidRPr="00B06331" w:rsidRDefault="003A5A07" w:rsidP="003A5A07">
      <w:pPr>
        <w:spacing w:after="0"/>
        <w:jc w:val="both"/>
        <w:rPr>
          <w:rFonts w:cs="Calibri"/>
        </w:rPr>
      </w:pPr>
      <w:r w:rsidRPr="00B06331">
        <w:rPr>
          <w:rFonts w:cs="Calibri"/>
        </w:rPr>
        <w:t xml:space="preserve">The quality of investment policy directly influences the decisions of all investors, be it small or large, domestic or foreign. Transparency, protection from expropriation and non-discrimination are investment policy principles that underpin efforts to create a sound investment environment for all. </w:t>
      </w:r>
    </w:p>
    <w:p w:rsidR="003A5A07" w:rsidRPr="00B06331" w:rsidRDefault="003A5A07" w:rsidP="003A5A07">
      <w:pPr>
        <w:spacing w:after="0"/>
        <w:jc w:val="both"/>
        <w:rPr>
          <w:rFonts w:cs="Calibri"/>
        </w:rPr>
      </w:pPr>
    </w:p>
    <w:p w:rsidR="00C7179F" w:rsidRPr="00B06331" w:rsidRDefault="003A5A07" w:rsidP="00AD467B">
      <w:pPr>
        <w:spacing w:after="0"/>
        <w:jc w:val="both"/>
        <w:rPr>
          <w:rFonts w:cs="Calibri"/>
        </w:rPr>
      </w:pPr>
      <w:r w:rsidRPr="00B06331">
        <w:rPr>
          <w:rFonts w:cs="Calibri"/>
        </w:rPr>
        <w:t>Transparent information on how government implements and change rules and regulations dealing with investment are critical determinants in any investment decision. Transparency and predictability are especially important for small and medium sized enterprises that ten</w:t>
      </w:r>
      <w:r w:rsidR="00F6011C" w:rsidRPr="00B06331">
        <w:rPr>
          <w:rFonts w:cs="Calibri"/>
        </w:rPr>
        <w:t>d to face challenges to enter</w:t>
      </w:r>
      <w:r w:rsidRPr="00B06331">
        <w:rPr>
          <w:rFonts w:cs="Calibri"/>
        </w:rPr>
        <w:t xml:space="preserve"> the formal econom</w:t>
      </w:r>
      <w:r w:rsidR="00F6011C" w:rsidRPr="00B06331">
        <w:rPr>
          <w:rFonts w:cs="Calibri"/>
        </w:rPr>
        <w:t xml:space="preserve">y. A </w:t>
      </w:r>
      <w:r w:rsidRPr="00B06331">
        <w:rPr>
          <w:rFonts w:cs="Calibri"/>
        </w:rPr>
        <w:t xml:space="preserve">clear and coherent policy </w:t>
      </w:r>
      <w:r w:rsidR="00F6011C" w:rsidRPr="00B06331">
        <w:rPr>
          <w:rFonts w:cs="Calibri"/>
        </w:rPr>
        <w:t xml:space="preserve">framework for investment is critical. Government will formulate </w:t>
      </w:r>
      <w:r w:rsidRPr="00B06331">
        <w:rPr>
          <w:rFonts w:cs="Calibri"/>
        </w:rPr>
        <w:t>an investment policy that will guarantee transparent and predictable investment environment as well as strengthen GIEPA to provide and administer investment incentives. The implementation of the IPR would be based on the following dimensions: (i) Strengthen the national and international legal framework for FDI to nurture openness, transparency, and predictability; (ii) Foster an environment that is conducive to business operations; (iii) Promote investment in priority sectors; and (iv) Build institutional capaci</w:t>
      </w:r>
      <w:r w:rsidR="00AD467B" w:rsidRPr="00B06331">
        <w:rPr>
          <w:rFonts w:cs="Calibri"/>
        </w:rPr>
        <w:t xml:space="preserve">ties for investment promotion. </w:t>
      </w:r>
    </w:p>
    <w:p w:rsidR="00AD467B" w:rsidRPr="00B06331" w:rsidRDefault="00AD467B" w:rsidP="00AD467B">
      <w:pPr>
        <w:spacing w:after="0"/>
        <w:jc w:val="both"/>
        <w:rPr>
          <w:rFonts w:cs="Calibri"/>
        </w:rPr>
      </w:pPr>
    </w:p>
    <w:p w:rsidR="003A5A07" w:rsidRPr="00B06331" w:rsidRDefault="00F6011C" w:rsidP="003A5A07">
      <w:pPr>
        <w:pStyle w:val="ListParagraph"/>
        <w:spacing w:line="240" w:lineRule="auto"/>
        <w:ind w:left="0"/>
        <w:jc w:val="both"/>
        <w:rPr>
          <w:rFonts w:cs="Calibri"/>
          <w:b/>
        </w:rPr>
      </w:pPr>
      <w:r w:rsidRPr="00B06331">
        <w:rPr>
          <w:rFonts w:cs="Calibri"/>
          <w:b/>
        </w:rPr>
        <w:t>Promote “</w:t>
      </w:r>
      <w:r w:rsidR="003A5A07" w:rsidRPr="00B06331">
        <w:rPr>
          <w:rFonts w:cs="Calibri"/>
          <w:b/>
        </w:rPr>
        <w:t>The Gambia</w:t>
      </w:r>
      <w:r w:rsidR="006C2AE4" w:rsidRPr="00B06331">
        <w:rPr>
          <w:rFonts w:cs="Calibri"/>
          <w:b/>
        </w:rPr>
        <w:t>”</w:t>
      </w:r>
      <w:r w:rsidR="003A5A07" w:rsidRPr="00B06331">
        <w:rPr>
          <w:rFonts w:cs="Calibri"/>
          <w:b/>
        </w:rPr>
        <w:t xml:space="preserve"> Brand and Undertake Inward/Outreach mission </w:t>
      </w:r>
    </w:p>
    <w:p w:rsidR="003A5A07" w:rsidRPr="00B06331" w:rsidRDefault="00F6011C" w:rsidP="003A5A07">
      <w:pPr>
        <w:jc w:val="both"/>
        <w:rPr>
          <w:rFonts w:cs="Calibri"/>
          <w:color w:val="000000"/>
        </w:rPr>
      </w:pPr>
      <w:r w:rsidRPr="00B06331">
        <w:rPr>
          <w:rFonts w:cs="Calibri"/>
          <w:color w:val="000000"/>
        </w:rPr>
        <w:t>The importance of a</w:t>
      </w:r>
      <w:r w:rsidR="003A5A07" w:rsidRPr="00B06331">
        <w:rPr>
          <w:rFonts w:cs="Calibri"/>
          <w:color w:val="000000"/>
        </w:rPr>
        <w:t xml:space="preserve"> compelling and unifying brand ca</w:t>
      </w:r>
      <w:r w:rsidRPr="00B06331">
        <w:rPr>
          <w:rFonts w:cs="Calibri"/>
          <w:color w:val="000000"/>
        </w:rPr>
        <w:t xml:space="preserve">nnot be overemphasized. Government therefore </w:t>
      </w:r>
      <w:r w:rsidR="003A5A07" w:rsidRPr="00B06331">
        <w:rPr>
          <w:rFonts w:cs="Calibri"/>
          <w:color w:val="000000"/>
        </w:rPr>
        <w:t>set up a committee to spearhead the development of a strong country master brand that will promote investment, commerce and tourism. This committ</w:t>
      </w:r>
      <w:r w:rsidRPr="00B06331">
        <w:rPr>
          <w:rFonts w:cs="Calibri"/>
          <w:color w:val="000000"/>
        </w:rPr>
        <w:t xml:space="preserve">ee </w:t>
      </w:r>
      <w:r w:rsidR="003A5A07" w:rsidRPr="00B06331">
        <w:rPr>
          <w:rFonts w:cs="Calibri"/>
          <w:color w:val="000000"/>
        </w:rPr>
        <w:t>f</w:t>
      </w:r>
      <w:r w:rsidRPr="00B06331">
        <w:rPr>
          <w:rFonts w:cs="Calibri"/>
          <w:color w:val="000000"/>
        </w:rPr>
        <w:t>ormed</w:t>
      </w:r>
      <w:r w:rsidR="003A5A07" w:rsidRPr="00B06331">
        <w:rPr>
          <w:rFonts w:cs="Calibri"/>
          <w:color w:val="000000"/>
        </w:rPr>
        <w:t xml:space="preserve"> a Brand Council which comprise experts from both government and private sector whose task is to build a new country master brand that will serve as a Unique Selling Point (USP) for The Gambia. The new country brand was launched in July 2016 and has since been dormant largely due to lack of funds. </w:t>
      </w:r>
      <w:r w:rsidRPr="00B06331">
        <w:rPr>
          <w:rFonts w:cs="Calibri"/>
          <w:color w:val="000000"/>
        </w:rPr>
        <w:t>The Brand seeks to make The Gambia the preferred destination for investors looking for high-growth opportunities in West Africa and for tourists interested in accessible, friendly African experiences. Currently the Foreign Direct Investment (FDI) as a percentage of GDP stands at 2.4% (GBoS, 2014). By 2021, the target is to increase FDI to 5% of GDP. The</w:t>
      </w:r>
      <w:r w:rsidR="003A5A07" w:rsidRPr="00B06331">
        <w:rPr>
          <w:rFonts w:cs="Calibri"/>
          <w:color w:val="000000"/>
        </w:rPr>
        <w:t xml:space="preserve"> birth of new Gambia ushers in new impetus for economic progress which cannot be done without buildi</w:t>
      </w:r>
      <w:r w:rsidRPr="00B06331">
        <w:rPr>
          <w:rFonts w:cs="Calibri"/>
          <w:color w:val="000000"/>
        </w:rPr>
        <w:t xml:space="preserve">ng a strong country brand. </w:t>
      </w:r>
    </w:p>
    <w:p w:rsidR="003A5A07" w:rsidRPr="00B06331" w:rsidRDefault="003A5A07" w:rsidP="00B40E29">
      <w:pPr>
        <w:jc w:val="both"/>
        <w:rPr>
          <w:rFonts w:cs="Calibri"/>
          <w:color w:val="000000"/>
        </w:rPr>
      </w:pPr>
      <w:r w:rsidRPr="00B06331">
        <w:rPr>
          <w:rFonts w:cs="Calibri"/>
          <w:color w:val="000000"/>
        </w:rPr>
        <w:t>In addition, the plan provides for a series of in market promotional events organised with the relevant Gambian Embassy or Consulate.  These will have the benefit of building on the existing presence of Gambian officials in key markets. As the GIEPA team develops experience and a track record in the organisation and follow up action on these events</w:t>
      </w:r>
      <w:r w:rsidR="00FF43D6" w:rsidRPr="00B06331">
        <w:rPr>
          <w:rFonts w:cs="Calibri"/>
          <w:color w:val="000000"/>
        </w:rPr>
        <w:t>,</w:t>
      </w:r>
      <w:r w:rsidRPr="00B06331">
        <w:rPr>
          <w:rFonts w:cs="Calibri"/>
          <w:color w:val="000000"/>
        </w:rPr>
        <w:t xml:space="preserve"> it will be possible to add additional dimensions.  This would include, for example, the involvement of members of The Gambian Diaspora as ambassadors for Invest in The Gambia.  Such initiatives are recommended for the latter end of this planning </w:t>
      </w:r>
      <w:r w:rsidR="00FF43D6" w:rsidRPr="00B06331">
        <w:rPr>
          <w:rFonts w:cs="Calibri"/>
          <w:color w:val="000000"/>
        </w:rPr>
        <w:t>period,</w:t>
      </w:r>
      <w:r w:rsidRPr="00B06331">
        <w:rPr>
          <w:rFonts w:cs="Calibri"/>
          <w:color w:val="000000"/>
        </w:rPr>
        <w:t xml:space="preserve"> as </w:t>
      </w:r>
      <w:r w:rsidRPr="00B06331">
        <w:rPr>
          <w:rFonts w:cs="Calibri"/>
          <w:color w:val="000000"/>
        </w:rPr>
        <w:lastRenderedPageBreak/>
        <w:t>they require significant groundwork and must be built on a foundation which provides benefits for both the co</w:t>
      </w:r>
      <w:r w:rsidR="00B40E29" w:rsidRPr="00B06331">
        <w:rPr>
          <w:rFonts w:cs="Calibri"/>
          <w:color w:val="000000"/>
        </w:rPr>
        <w:t>untry and the Diaspora.</w:t>
      </w:r>
    </w:p>
    <w:p w:rsidR="003A5A07" w:rsidRPr="00B06331" w:rsidRDefault="003A5A07" w:rsidP="003A5A07">
      <w:pPr>
        <w:pStyle w:val="ListParagraph"/>
        <w:ind w:left="0"/>
        <w:jc w:val="both"/>
        <w:rPr>
          <w:rFonts w:cs="Calibri"/>
        </w:rPr>
      </w:pPr>
      <w:r w:rsidRPr="00B06331">
        <w:rPr>
          <w:rFonts w:cs="Calibri"/>
          <w:b/>
        </w:rPr>
        <w:t>Improve access to Land for investments</w:t>
      </w:r>
    </w:p>
    <w:p w:rsidR="003A5A07" w:rsidRPr="00B06331" w:rsidRDefault="003A5A07" w:rsidP="003A5A07">
      <w:pPr>
        <w:pStyle w:val="ListParagraph"/>
        <w:ind w:left="0"/>
        <w:jc w:val="both"/>
        <w:rPr>
          <w:rFonts w:cs="Calibri"/>
        </w:rPr>
      </w:pPr>
    </w:p>
    <w:p w:rsidR="003A5A07" w:rsidRPr="00B06331" w:rsidRDefault="003A5A07" w:rsidP="003A5A07">
      <w:pPr>
        <w:pStyle w:val="ListParagraph"/>
        <w:ind w:left="0"/>
        <w:jc w:val="both"/>
        <w:rPr>
          <w:rFonts w:cs="Calibri"/>
        </w:rPr>
      </w:pPr>
      <w:r w:rsidRPr="00B06331">
        <w:rPr>
          <w:rFonts w:cs="Calibri"/>
        </w:rPr>
        <w:t xml:space="preserve">The State Land Act of 1991 provides a legal basis to improve and rationalize the land tenure system by the replacement of the customary tenure with a long term (99 year) leasehold system in designated (specified) areas of the country. To curb the delay associated with leasing and title deeds, Government will establish a Land Commission and build the Capacity of land management institutions to simplify the process of leasing and land allocation to make investment much easier and cheaper. Moreover, to encourage FDI and rein in the complicated land tenure system, government would establish industrial parks, zones and clusters across all regions that would attract investment through easy access to land. </w:t>
      </w:r>
    </w:p>
    <w:p w:rsidR="003A5A07" w:rsidRPr="00B06331" w:rsidRDefault="003A5A07" w:rsidP="003A5A07">
      <w:pPr>
        <w:pStyle w:val="ListParagraph"/>
        <w:spacing w:after="0" w:line="240" w:lineRule="auto"/>
        <w:ind w:left="0"/>
        <w:jc w:val="both"/>
        <w:rPr>
          <w:rFonts w:eastAsia="MS Mincho" w:cs="Calibri"/>
          <w:b/>
        </w:rPr>
      </w:pPr>
    </w:p>
    <w:p w:rsidR="003A5A07" w:rsidRPr="00B06331" w:rsidRDefault="003A5A07" w:rsidP="003A5A07">
      <w:pPr>
        <w:pStyle w:val="ListParagraph"/>
        <w:ind w:left="0"/>
        <w:jc w:val="both"/>
        <w:rPr>
          <w:rFonts w:cs="Calibri"/>
          <w:b/>
          <w:sz w:val="20"/>
        </w:rPr>
      </w:pPr>
      <w:r w:rsidRPr="00B06331">
        <w:rPr>
          <w:rFonts w:cs="Calibri"/>
          <w:b/>
          <w:sz w:val="20"/>
        </w:rPr>
        <w:t>Reposition GIEPA</w:t>
      </w:r>
    </w:p>
    <w:p w:rsidR="003A5A07" w:rsidRPr="00B06331" w:rsidRDefault="003A5A07" w:rsidP="003A5A07">
      <w:pPr>
        <w:jc w:val="both"/>
      </w:pPr>
      <w:r w:rsidRPr="00B06331">
        <w:t>Gambia Investment and Export Promotion Agency has been mand</w:t>
      </w:r>
      <w:r w:rsidR="00F6011C" w:rsidRPr="00B06331">
        <w:t>ated by government</w:t>
      </w:r>
      <w:r w:rsidRPr="00B06331">
        <w:t xml:space="preserve"> to perform key functions of Investment Facilitation and Promotion; Export Development and Promotion; support to Micro Small and Medium Enterprises (MSMEs) and Policy Advocacy services</w:t>
      </w:r>
    </w:p>
    <w:p w:rsidR="003A5A07" w:rsidRPr="00B06331" w:rsidRDefault="003A5A07" w:rsidP="009931CE">
      <w:r w:rsidRPr="00B06331">
        <w:t xml:space="preserve"> As an investment agency responsible for the branding of the Gambia for in-ward and out-ward bound investments, there should be a deliberate strategy fo</w:t>
      </w:r>
      <w:r w:rsidR="00F6011C" w:rsidRPr="00B06331">
        <w:t>r the visibility of the agency’s</w:t>
      </w:r>
      <w:r w:rsidRPr="00B06331">
        <w:t xml:space="preserve"> programs and activities. Externally, GIEPA has only i</w:t>
      </w:r>
      <w:r w:rsidR="00F6011C" w:rsidRPr="00B06331">
        <w:t xml:space="preserve">mprint on very </w:t>
      </w:r>
      <w:r w:rsidRPr="00B06331">
        <w:t xml:space="preserve">few markets like the Nigeria, Ghana, Senegal, Turkey, UK, US and some Asian markets. A lot more needs to be done to make GIEPA a household name within and outside The Gambia. </w:t>
      </w:r>
    </w:p>
    <w:p w:rsidR="00F6011C" w:rsidRPr="00B06331" w:rsidRDefault="003A5A07" w:rsidP="009931CE">
      <w:r w:rsidRPr="00B06331">
        <w:t xml:space="preserve">The new GIEPA Act and other instruments available to GIEPA will be used to organize aggressive campaigns both locally and internationally to make GIEPA easily accessible. The advocacy role of GIEPA will also be heightened to make all policies relevant and responsive to the needs of the clientele. </w:t>
      </w:r>
    </w:p>
    <w:p w:rsidR="003A5A07" w:rsidRPr="00B06331" w:rsidRDefault="00B40E29" w:rsidP="003A5A07">
      <w:pPr>
        <w:pStyle w:val="ListParagraph"/>
        <w:spacing w:after="0" w:line="240" w:lineRule="auto"/>
        <w:ind w:left="0"/>
        <w:jc w:val="both"/>
        <w:rPr>
          <w:rFonts w:eastAsia="MS Mincho" w:cs="Calibri"/>
          <w:b/>
          <w:i/>
          <w:color w:val="4472C4" w:themeColor="accent1"/>
        </w:rPr>
      </w:pPr>
      <w:r w:rsidRPr="00B06331">
        <w:rPr>
          <w:rFonts w:eastAsia="MS Mincho" w:cs="Calibri"/>
          <w:b/>
          <w:i/>
          <w:color w:val="4472C4" w:themeColor="accent1"/>
        </w:rPr>
        <w:t>Outcome 8.3: MSME and Industrial Growth Enhanced</w:t>
      </w:r>
    </w:p>
    <w:p w:rsidR="003A5A07" w:rsidRPr="00B06331" w:rsidRDefault="003A5A07" w:rsidP="003A5A07">
      <w:pPr>
        <w:pStyle w:val="ListParagraph"/>
        <w:spacing w:after="0" w:line="240" w:lineRule="auto"/>
        <w:ind w:left="0"/>
        <w:jc w:val="both"/>
        <w:rPr>
          <w:rFonts w:eastAsia="MS Mincho" w:cs="Calibri"/>
          <w:b/>
        </w:rPr>
      </w:pPr>
    </w:p>
    <w:p w:rsidR="003A5A07" w:rsidRPr="00B06331" w:rsidRDefault="003A5A07" w:rsidP="003A5A07">
      <w:pPr>
        <w:pStyle w:val="ListParagraph"/>
        <w:ind w:left="0"/>
        <w:jc w:val="both"/>
        <w:rPr>
          <w:rFonts w:cs="Calibri"/>
          <w:b/>
        </w:rPr>
      </w:pPr>
      <w:r w:rsidRPr="00B06331">
        <w:rPr>
          <w:rFonts w:cs="Calibri"/>
          <w:b/>
        </w:rPr>
        <w:t>Review and implement the MSME policy and action plan</w:t>
      </w:r>
    </w:p>
    <w:p w:rsidR="003A5A07" w:rsidRPr="00B06331" w:rsidRDefault="003A5A07" w:rsidP="003A5A07">
      <w:pPr>
        <w:pStyle w:val="ListParagraph"/>
        <w:spacing w:after="0" w:line="240" w:lineRule="auto"/>
        <w:ind w:left="0"/>
        <w:jc w:val="both"/>
        <w:rPr>
          <w:rFonts w:cs="Calibri"/>
        </w:rPr>
      </w:pPr>
    </w:p>
    <w:p w:rsidR="003A5A07" w:rsidRPr="00B06331" w:rsidRDefault="003A5A07" w:rsidP="003A5A07">
      <w:pPr>
        <w:pStyle w:val="ListParagraph"/>
        <w:spacing w:after="0" w:line="240" w:lineRule="auto"/>
        <w:ind w:left="0"/>
        <w:jc w:val="both"/>
        <w:rPr>
          <w:rFonts w:cs="Calibri"/>
        </w:rPr>
      </w:pPr>
      <w:r w:rsidRPr="00B06331">
        <w:rPr>
          <w:rFonts w:cs="Calibri"/>
        </w:rPr>
        <w:t>The MSME sub sector is key to economic growth</w:t>
      </w:r>
      <w:r w:rsidR="00F6011C" w:rsidRPr="00B06331">
        <w:rPr>
          <w:rFonts w:cs="Calibri"/>
        </w:rPr>
        <w:t xml:space="preserve"> in the country. </w:t>
      </w:r>
      <w:r w:rsidRPr="00B06331">
        <w:rPr>
          <w:rFonts w:cs="Calibri"/>
        </w:rPr>
        <w:t>The proportion of MSMEs contribution to employment in urban Gambia is 62% (MSME mapping, 2013) and is targeted at 75% nationwide by 2021. In addition to advoca</w:t>
      </w:r>
      <w:r w:rsidR="00F6011C" w:rsidRPr="00B06331">
        <w:rPr>
          <w:rFonts w:cs="Calibri"/>
        </w:rPr>
        <w:t>ting for overcoming the</w:t>
      </w:r>
      <w:r w:rsidRPr="00B06331">
        <w:rPr>
          <w:rFonts w:cs="Calibri"/>
        </w:rPr>
        <w:t xml:space="preserve"> challenges of energy, tax and financing, Government will facilitate linkages between MSMEs, large scale enterprises, financial institutions, and insurance companies. Capacity building and the provision of basic infrastructure will also be promoted during the plan period especially relating to priority sectors</w:t>
      </w:r>
      <w:r w:rsidR="00AD467B" w:rsidRPr="00B06331">
        <w:rPr>
          <w:rFonts w:cs="Calibri"/>
        </w:rPr>
        <w:t xml:space="preserve">. </w:t>
      </w:r>
      <w:r w:rsidRPr="00B06331">
        <w:rPr>
          <w:rFonts w:cs="Calibri"/>
        </w:rPr>
        <w:t xml:space="preserve">The target is to increase MSMEs contribution to GDP by 30%. </w:t>
      </w:r>
    </w:p>
    <w:p w:rsidR="003A5A07" w:rsidRPr="00B06331" w:rsidRDefault="003A5A07" w:rsidP="003A5A07">
      <w:pPr>
        <w:pStyle w:val="ListParagraph"/>
        <w:spacing w:after="0"/>
        <w:ind w:left="0"/>
        <w:jc w:val="both"/>
        <w:rPr>
          <w:rFonts w:cs="Calibri"/>
        </w:rPr>
      </w:pPr>
    </w:p>
    <w:p w:rsidR="003A5A07" w:rsidRPr="00B06331" w:rsidRDefault="003A5A07" w:rsidP="003A5A07">
      <w:pPr>
        <w:pStyle w:val="ListParagraph"/>
        <w:ind w:left="0"/>
        <w:jc w:val="both"/>
        <w:rPr>
          <w:rFonts w:cs="Calibri"/>
          <w:b/>
        </w:rPr>
      </w:pPr>
      <w:r w:rsidRPr="00B06331">
        <w:rPr>
          <w:rFonts w:cs="Calibri"/>
          <w:b/>
        </w:rPr>
        <w:t>Implement the updated Industrial policy and action plan</w:t>
      </w:r>
    </w:p>
    <w:p w:rsidR="003A5A07" w:rsidRPr="00B06331" w:rsidRDefault="003A5A07" w:rsidP="003A5A07">
      <w:pPr>
        <w:jc w:val="both"/>
        <w:rPr>
          <w:rFonts w:cs="Calibri"/>
        </w:rPr>
      </w:pPr>
      <w:r w:rsidRPr="00B06331">
        <w:rPr>
          <w:rFonts w:cs="Calibri"/>
        </w:rPr>
        <w:t xml:space="preserve">The long-term aspiration is to increase the industrial sector’s contribution to the GDP from 11 per cent to 20 per cent by 2021. However, the level of industrialization of the Gambian economy is </w:t>
      </w:r>
      <w:r w:rsidR="00F6011C" w:rsidRPr="00B06331">
        <w:rPr>
          <w:rFonts w:cs="Calibri"/>
        </w:rPr>
        <w:t>low</w:t>
      </w:r>
      <w:r w:rsidRPr="00B06331">
        <w:rPr>
          <w:rFonts w:cs="Calibri"/>
        </w:rPr>
        <w:t xml:space="preserve">, as </w:t>
      </w:r>
      <w:r w:rsidRPr="00B06331">
        <w:rPr>
          <w:rFonts w:cs="Calibri"/>
        </w:rPr>
        <w:lastRenderedPageBreak/>
        <w:t xml:space="preserve">indicated by its Manufacturing Value Added (MVA) per capita, which has almost stagnated at about US$16 since 1995 (UNIDO, 2010). </w:t>
      </w:r>
    </w:p>
    <w:p w:rsidR="003A5A07" w:rsidRPr="00B06331" w:rsidRDefault="003A5A07" w:rsidP="003A5A07">
      <w:pPr>
        <w:jc w:val="both"/>
        <w:rPr>
          <w:rFonts w:cs="Calibri"/>
        </w:rPr>
      </w:pPr>
      <w:r w:rsidRPr="00B06331">
        <w:rPr>
          <w:rFonts w:cs="Calibri"/>
        </w:rPr>
        <w:t xml:space="preserve">The current industrial policy was </w:t>
      </w:r>
      <w:r w:rsidR="00F6011C" w:rsidRPr="00B06331">
        <w:rPr>
          <w:rFonts w:cs="Calibri"/>
        </w:rPr>
        <w:t>prepared in 1996 and is</w:t>
      </w:r>
      <w:r w:rsidRPr="00B06331">
        <w:rPr>
          <w:rFonts w:cs="Calibri"/>
        </w:rPr>
        <w:t xml:space="preserve"> outdated. MOTIE, with support fromECOWAS, has initiated the review and update of the 1996 industrial policy that supports a private sector-led growth geared towards an aggressive e</w:t>
      </w:r>
      <w:r w:rsidR="00F6011C" w:rsidRPr="00B06331">
        <w:rPr>
          <w:rFonts w:cs="Calibri"/>
        </w:rPr>
        <w:t>xport-led strategy. T</w:t>
      </w:r>
      <w:r w:rsidRPr="00B06331">
        <w:rPr>
          <w:rFonts w:cs="Calibri"/>
        </w:rPr>
        <w:t xml:space="preserve">he new industrial policy would embrace continuous change in technology as a basis for reducing unit cost of production and increasing productivity. Its focus will be to expand productive employment and expand technological capacity in the manufacturing sector, promote agro-based industrial development and exports, promote the growth and development of MSMEs and promote linkages between agriculture and industry. </w:t>
      </w:r>
    </w:p>
    <w:p w:rsidR="003A5A07" w:rsidRPr="00B06331" w:rsidRDefault="003A5A07" w:rsidP="009C4337">
      <w:pPr>
        <w:pStyle w:val="ListParagraph"/>
        <w:tabs>
          <w:tab w:val="left" w:pos="720"/>
        </w:tabs>
        <w:spacing w:before="120" w:after="120"/>
        <w:ind w:left="0"/>
        <w:jc w:val="both"/>
        <w:rPr>
          <w:rFonts w:cs="Calibri"/>
        </w:rPr>
      </w:pPr>
      <w:r w:rsidRPr="00B06331">
        <w:rPr>
          <w:rFonts w:cs="Calibri"/>
        </w:rPr>
        <w:t xml:space="preserve">In addition to getting the production quantities (consistency of </w:t>
      </w:r>
      <w:r w:rsidR="00F6011C" w:rsidRPr="00B06331">
        <w:rPr>
          <w:rFonts w:cs="Calibri"/>
        </w:rPr>
        <w:t>supplies) and quality right,</w:t>
      </w:r>
      <w:r w:rsidRPr="00B06331">
        <w:rPr>
          <w:rFonts w:cs="Calibri"/>
        </w:rPr>
        <w:t xml:space="preserve"> Government will put in place the required national quality infrastructure to facilitate collaboration among stakeholders and enhance standards and quality operations of budding agro-food processors. Priority will be</w:t>
      </w:r>
      <w:r w:rsidR="009C4337" w:rsidRPr="00B06331">
        <w:rPr>
          <w:rFonts w:cs="Calibri"/>
        </w:rPr>
        <w:t xml:space="preserve"> given to facilitating </w:t>
      </w:r>
      <w:r w:rsidRPr="00B06331">
        <w:rPr>
          <w:rFonts w:cs="Calibri"/>
        </w:rPr>
        <w:t xml:space="preserve">technology transfer, the encouragement of adaptive research in production and post-harvest handling technologies, and accelerated training and development of human resources to man </w:t>
      </w:r>
      <w:r w:rsidR="009C4337" w:rsidRPr="00B06331">
        <w:rPr>
          <w:rFonts w:cs="Calibri"/>
        </w:rPr>
        <w:t xml:space="preserve">the agro-industrial operations. </w:t>
      </w:r>
      <w:r w:rsidRPr="00B06331">
        <w:rPr>
          <w:rFonts w:cs="Calibri"/>
        </w:rPr>
        <w:t>The Ministry of Trade will work closely with the Ministry of Agriculture and the private sector to strengthen Agro-industry and value addition</w:t>
      </w:r>
    </w:p>
    <w:p w:rsidR="003A5A07" w:rsidRPr="00B06331" w:rsidRDefault="003A5A07" w:rsidP="003A5A07">
      <w:pPr>
        <w:pStyle w:val="ListParagraph"/>
        <w:spacing w:line="240" w:lineRule="auto"/>
        <w:ind w:left="0"/>
        <w:jc w:val="both"/>
        <w:rPr>
          <w:rFonts w:cs="Calibri"/>
          <w:b/>
        </w:rPr>
      </w:pPr>
    </w:p>
    <w:p w:rsidR="003A5A07" w:rsidRPr="00B06331" w:rsidRDefault="003A5A07" w:rsidP="003A5A07">
      <w:pPr>
        <w:pStyle w:val="ListParagraph"/>
        <w:spacing w:line="240" w:lineRule="auto"/>
        <w:ind w:left="0"/>
        <w:jc w:val="both"/>
        <w:rPr>
          <w:rFonts w:cs="Calibri"/>
          <w:b/>
        </w:rPr>
      </w:pPr>
      <w:r w:rsidRPr="00B06331">
        <w:rPr>
          <w:rFonts w:cs="Calibri"/>
          <w:b/>
        </w:rPr>
        <w:t>Implement the Entrepreneurship Policy and Action Plan.</w:t>
      </w:r>
    </w:p>
    <w:p w:rsidR="003A5A07" w:rsidRPr="00B06331" w:rsidRDefault="003A5A07" w:rsidP="003A5A07">
      <w:pPr>
        <w:tabs>
          <w:tab w:val="left" w:pos="720"/>
        </w:tabs>
        <w:spacing w:before="120" w:after="120"/>
        <w:jc w:val="both"/>
        <w:rPr>
          <w:rFonts w:cs="Calibri"/>
        </w:rPr>
      </w:pPr>
      <w:r w:rsidRPr="00B06331">
        <w:rPr>
          <w:rFonts w:cs="Calibri"/>
        </w:rPr>
        <w:t xml:space="preserve">Given that the policy, regulatory and institutional environment in The Gambia has so far not addressed entrepreneurship in a systemic way, Government will ensure the effective implementation of the National entrepreneurship policy focusing on youth entrepreneurs </w:t>
      </w:r>
      <w:r w:rsidR="009C4337" w:rsidRPr="00B06331">
        <w:rPr>
          <w:rFonts w:cs="Calibri"/>
        </w:rPr>
        <w:t>and persons with disability</w:t>
      </w:r>
      <w:r w:rsidRPr="00B06331">
        <w:rPr>
          <w:rFonts w:cs="Calibri"/>
        </w:rPr>
        <w:t xml:space="preserve"> in various sectors of the economy. The private sector will therefore </w:t>
      </w:r>
      <w:r w:rsidR="00C7179F" w:rsidRPr="00B06331">
        <w:rPr>
          <w:rFonts w:cs="Calibri"/>
        </w:rPr>
        <w:t>benefit from</w:t>
      </w:r>
      <w:r w:rsidRPr="00B06331">
        <w:rPr>
          <w:rFonts w:cs="Calibri"/>
        </w:rPr>
        <w:t xml:space="preserve"> a strategy for growing businesses through various institutional support and arrangements that are based on enterprise sizes and turnover and which aim to facilitate progression from one enterprise category to another, for example from micro to small and ultimately</w:t>
      </w:r>
      <w:r w:rsidR="009C4337" w:rsidRPr="00B06331">
        <w:rPr>
          <w:rFonts w:cs="Calibri"/>
        </w:rPr>
        <w:t xml:space="preserve"> medium size enterprises. This w</w:t>
      </w:r>
      <w:r w:rsidRPr="00B06331">
        <w:rPr>
          <w:rFonts w:cs="Calibri"/>
        </w:rPr>
        <w:t xml:space="preserve">ould expand the size of the private sector and with it the catalytic effects of increased production, relevance, and revenue generation for public financing. </w:t>
      </w:r>
    </w:p>
    <w:p w:rsidR="003A5A07" w:rsidRPr="00B06331" w:rsidRDefault="003A5A07" w:rsidP="003A5A07">
      <w:pPr>
        <w:pStyle w:val="ListParagraph"/>
        <w:spacing w:after="0" w:line="240" w:lineRule="auto"/>
        <w:ind w:left="0"/>
        <w:rPr>
          <w:rFonts w:cs="Calibri"/>
        </w:rPr>
      </w:pPr>
    </w:p>
    <w:p w:rsidR="003A5A07" w:rsidRPr="00B06331" w:rsidRDefault="003A5A07" w:rsidP="003A5A07">
      <w:pPr>
        <w:pStyle w:val="ListParagraph"/>
        <w:tabs>
          <w:tab w:val="left" w:pos="720"/>
        </w:tabs>
        <w:spacing w:before="120" w:after="120"/>
        <w:ind w:left="0"/>
        <w:jc w:val="both"/>
        <w:rPr>
          <w:rFonts w:cs="Calibri"/>
        </w:rPr>
      </w:pPr>
      <w:r w:rsidRPr="00B06331">
        <w:rPr>
          <w:rFonts w:cs="Calibri"/>
        </w:rPr>
        <w:t>In the drive to commercialize agriculture in The Gambia, emphasis will be placed on the “agri-preneurs” agenda which aims at empowering the youth through skills training and the provision of financing, start-up capital (grants/loan) for agricultural enterprise development. Additionally, the Plan will ensure that the country ‘s youth play an appropriate role in ongoing regional initiatives geared towards youth employment in the agricultural sector such as the AfDB-IITA-AGRA programme Empowering Novel Agribusiness-Led Employment for Youth (ENABLE Youth), the African Agribusiness Incubation Network (AAIN) and FAO’s YES Africa. Allied to this strategy is the engagement of the youth through SME clusters or business incubators in furtherance of youth economic empowerment and participation in national develop</w:t>
      </w:r>
      <w:r w:rsidR="006C2AE4" w:rsidRPr="00B06331">
        <w:rPr>
          <w:rFonts w:cs="Calibri"/>
        </w:rPr>
        <w:t xml:space="preserve">ment. </w:t>
      </w:r>
    </w:p>
    <w:p w:rsidR="003A5A07" w:rsidRPr="00B06331" w:rsidRDefault="006C6E23" w:rsidP="003A5A07">
      <w:pPr>
        <w:rPr>
          <w:rFonts w:cs="Calibri"/>
          <w:b/>
        </w:rPr>
      </w:pPr>
      <w:r w:rsidRPr="00B06331">
        <w:rPr>
          <w:rFonts w:cs="Calibri"/>
          <w:b/>
        </w:rPr>
        <w:t>Strengthen I</w:t>
      </w:r>
      <w:r w:rsidR="003A5A07" w:rsidRPr="00B06331">
        <w:rPr>
          <w:rFonts w:cs="Calibri"/>
          <w:b/>
        </w:rPr>
        <w:t xml:space="preserve">ndustry development and value addition (incubators and clusters) </w:t>
      </w:r>
    </w:p>
    <w:p w:rsidR="003A5A07" w:rsidRPr="00B06331" w:rsidRDefault="009C4337" w:rsidP="003A5A07">
      <w:pPr>
        <w:jc w:val="both"/>
        <w:rPr>
          <w:rFonts w:cs="Calibri"/>
        </w:rPr>
      </w:pPr>
      <w:r w:rsidRPr="00B06331">
        <w:rPr>
          <w:rFonts w:cs="Calibri"/>
        </w:rPr>
        <w:lastRenderedPageBreak/>
        <w:t>Government’s</w:t>
      </w:r>
      <w:r w:rsidR="003A5A07" w:rsidRPr="00B06331">
        <w:rPr>
          <w:rFonts w:cs="Calibri"/>
        </w:rPr>
        <w:t xml:space="preserve"> strategic focus is to revitalize the cotton ginnery, the Kuntaur rice mill and the agro-oil mills, feed mills, continue to support and protect existing industries while promoting agricultural value addition, production of inputs, poultry (hatchery), farm machinery and packaging. The private sector will be supported to exploit these opportunities during the plan period through appropriate incentives and the creation of the enabling environment. </w:t>
      </w:r>
    </w:p>
    <w:p w:rsidR="003A5A07" w:rsidRPr="00B06331" w:rsidRDefault="009C4337" w:rsidP="003A5A07">
      <w:pPr>
        <w:jc w:val="both"/>
        <w:rPr>
          <w:rFonts w:cs="Calibri"/>
        </w:rPr>
      </w:pPr>
      <w:r w:rsidRPr="00B06331">
        <w:rPr>
          <w:rFonts w:cs="Calibri"/>
        </w:rPr>
        <w:t>A</w:t>
      </w:r>
      <w:r w:rsidR="003A5A07" w:rsidRPr="00B06331">
        <w:rPr>
          <w:rFonts w:cs="Calibri"/>
        </w:rPr>
        <w:t xml:space="preserve"> cluster-based approach to fostering MSMEs is a timely development that is complementary to a broader range of actions </w:t>
      </w:r>
      <w:r w:rsidRPr="00B06331">
        <w:rPr>
          <w:rFonts w:cs="Calibri"/>
        </w:rPr>
        <w:t>already taking place. Government</w:t>
      </w:r>
      <w:r w:rsidR="003A5A07" w:rsidRPr="00B06331">
        <w:rPr>
          <w:rFonts w:cs="Calibri"/>
        </w:rPr>
        <w:t xml:space="preserve"> will develop industrial clusters, or geographical concentration of firms and ancillary units engaged in the same sector, to generate various advantages for small firms, from agglomeration economies to joint action benefits. This approach is also intended to facilitate economies of scale in terms of the deployment of resources and sustainable and synergistic results in MSME development in the medium to long term.  The growing evidence on small firm clusters in developing countries competing in local and global markets will continue to generate enthusiasm for promoting clusters.</w:t>
      </w:r>
    </w:p>
    <w:p w:rsidR="003A5A07" w:rsidRPr="00B06331" w:rsidRDefault="003A5A07" w:rsidP="003A5A07">
      <w:pPr>
        <w:jc w:val="both"/>
        <w:rPr>
          <w:rFonts w:cs="Calibri"/>
          <w:b/>
        </w:rPr>
      </w:pPr>
      <w:r w:rsidRPr="00B06331">
        <w:rPr>
          <w:rFonts w:cs="Calibri"/>
          <w:b/>
        </w:rPr>
        <w:t>Develop the Manufacturing Sub Sector</w:t>
      </w:r>
    </w:p>
    <w:p w:rsidR="009C4337" w:rsidRPr="00B06331" w:rsidRDefault="009C4337" w:rsidP="009C4337">
      <w:pPr>
        <w:jc w:val="both"/>
        <w:rPr>
          <w:rFonts w:cs="Calibri"/>
        </w:rPr>
      </w:pPr>
      <w:r w:rsidRPr="00B06331">
        <w:rPr>
          <w:rFonts w:cs="Calibri"/>
        </w:rPr>
        <w:t>T</w:t>
      </w:r>
      <w:r w:rsidR="003A5A07" w:rsidRPr="00B06331">
        <w:rPr>
          <w:rFonts w:cs="Calibri"/>
        </w:rPr>
        <w:t>he Manufacturing sector contributes 4%-5% to GDP. However, the sub sector’s contribution to GDP c</w:t>
      </w:r>
      <w:r w:rsidRPr="00B06331">
        <w:rPr>
          <w:rFonts w:cs="Calibri"/>
        </w:rPr>
        <w:t xml:space="preserve">ontinues to decline over time. </w:t>
      </w:r>
      <w:r w:rsidR="003A5A07" w:rsidRPr="00B06331">
        <w:rPr>
          <w:rFonts w:cs="Calibri"/>
        </w:rPr>
        <w:t>The strategy for the manufacturing subsector is to build on the small domestic base to encourage companies to supp</w:t>
      </w:r>
      <w:r w:rsidRPr="00B06331">
        <w:rPr>
          <w:rFonts w:cs="Calibri"/>
        </w:rPr>
        <w:t xml:space="preserve">ly </w:t>
      </w:r>
      <w:r w:rsidR="003A5A07" w:rsidRPr="00B06331">
        <w:rPr>
          <w:rFonts w:cs="Calibri"/>
        </w:rPr>
        <w:t xml:space="preserve">Gambian and regional markets, and subsequently develop products which can be exported to the EU and other markets taking advantage of the preferential schemes offered. </w:t>
      </w:r>
    </w:p>
    <w:p w:rsidR="009C4337" w:rsidRPr="00B06331" w:rsidRDefault="003A5A07" w:rsidP="009C4337">
      <w:pPr>
        <w:jc w:val="both"/>
        <w:rPr>
          <w:rFonts w:cs="Calibri"/>
        </w:rPr>
      </w:pPr>
      <w:r w:rsidRPr="00B06331">
        <w:rPr>
          <w:rFonts w:cs="Calibri"/>
        </w:rPr>
        <w:t xml:space="preserve">Private sector opportunities for manufacturing exist in many areas including farm inputs (fertilizer, etc.) and implements, food and drink processing, packaging, plastics for consumer market and construction industry, basic electronic assembling, light pharmaceutical manufacturing, cosmetics production, and stainless-steel fabrication. A well-developed manufacturing sub-sector is expected to increase </w:t>
      </w:r>
      <w:r w:rsidR="00FF43D6" w:rsidRPr="00B06331">
        <w:rPr>
          <w:rFonts w:cs="Calibri"/>
        </w:rPr>
        <w:t>its</w:t>
      </w:r>
      <w:r w:rsidRPr="00B06331">
        <w:rPr>
          <w:rFonts w:cs="Calibri"/>
        </w:rPr>
        <w:t xml:space="preserve"> contribution to GDP from a baseline of 5% in 2016 to 7% by 2021.</w:t>
      </w:r>
    </w:p>
    <w:p w:rsidR="003A5A07" w:rsidRPr="00B06331" w:rsidRDefault="003A5A07" w:rsidP="003A5A07">
      <w:pPr>
        <w:pStyle w:val="ListParagraph"/>
        <w:spacing w:line="240" w:lineRule="auto"/>
        <w:ind w:left="0"/>
        <w:jc w:val="both"/>
        <w:rPr>
          <w:rFonts w:cs="Calibri"/>
          <w:b/>
        </w:rPr>
      </w:pPr>
      <w:r w:rsidRPr="00B06331">
        <w:rPr>
          <w:rFonts w:cs="Calibri"/>
          <w:b/>
        </w:rPr>
        <w:t>Strengthen Research and Development</w:t>
      </w:r>
    </w:p>
    <w:p w:rsidR="003A5A07" w:rsidRPr="00B06331" w:rsidRDefault="003A5A07" w:rsidP="003A5A07">
      <w:pPr>
        <w:pStyle w:val="ListParagraph"/>
        <w:ind w:left="0"/>
        <w:jc w:val="both"/>
        <w:rPr>
          <w:rFonts w:cs="Calibri"/>
        </w:rPr>
      </w:pPr>
    </w:p>
    <w:p w:rsidR="003A5A07" w:rsidRPr="00B06331" w:rsidRDefault="003A5A07" w:rsidP="003A5A07">
      <w:pPr>
        <w:pStyle w:val="ListParagraph"/>
        <w:ind w:left="0"/>
        <w:jc w:val="both"/>
        <w:rPr>
          <w:rFonts w:cs="Calibri"/>
          <w:b/>
        </w:rPr>
      </w:pPr>
      <w:r w:rsidRPr="00B06331">
        <w:rPr>
          <w:rFonts w:cs="Calibri"/>
        </w:rPr>
        <w:t>One of the critical challenges affecting the industrialization process is the lack of technolo</w:t>
      </w:r>
      <w:r w:rsidR="009C4337" w:rsidRPr="00B06331">
        <w:rPr>
          <w:rFonts w:cs="Calibri"/>
        </w:rPr>
        <w:t>gical innovation. R</w:t>
      </w:r>
      <w:r w:rsidRPr="00B06331">
        <w:rPr>
          <w:rFonts w:cs="Calibri"/>
        </w:rPr>
        <w:t xml:space="preserve">esearch and development in agro-industry is </w:t>
      </w:r>
      <w:r w:rsidR="009C4337" w:rsidRPr="00B06331">
        <w:rPr>
          <w:rFonts w:cs="Calibri"/>
        </w:rPr>
        <w:t xml:space="preserve">also </w:t>
      </w:r>
      <w:r w:rsidRPr="00B06331">
        <w:rPr>
          <w:rFonts w:cs="Calibri"/>
        </w:rPr>
        <w:t>not well-developed and public-private partnerships in this d</w:t>
      </w:r>
      <w:r w:rsidR="009C4337" w:rsidRPr="00B06331">
        <w:rPr>
          <w:rFonts w:cs="Calibri"/>
        </w:rPr>
        <w:t>omain are very limited due to</w:t>
      </w:r>
      <w:r w:rsidRPr="00B06331">
        <w:rPr>
          <w:rFonts w:cs="Calibri"/>
        </w:rPr>
        <w:t xml:space="preserve"> lack of resources.</w:t>
      </w:r>
      <w:r w:rsidR="009C4337" w:rsidRPr="00B06331">
        <w:rPr>
          <w:rFonts w:cs="Calibri"/>
        </w:rPr>
        <w:t xml:space="preserve"> U</w:t>
      </w:r>
      <w:r w:rsidRPr="00B06331">
        <w:rPr>
          <w:rFonts w:cs="Calibri"/>
        </w:rPr>
        <w:t>nless appropriate steps are taken these industries, which are vital for The Gambian economy, may be dominated by international competition.  Prio</w:t>
      </w:r>
      <w:r w:rsidR="009C4337" w:rsidRPr="00B06331">
        <w:rPr>
          <w:rFonts w:cs="Calibri"/>
        </w:rPr>
        <w:t>rity will be given to technology transfer</w:t>
      </w:r>
      <w:r w:rsidRPr="00B06331">
        <w:rPr>
          <w:rFonts w:cs="Calibri"/>
        </w:rPr>
        <w:t>, the encouragement of adaptive research in production and process technologies, and accelerated training and development of human resources. Flexible investment policies that attract big multinational companies to establish research and development centers in the Gambia will be pursued. These corporations could work with higher education and research institutions in the country to strengthen research and development that would support growth and development of agro-industry, light manufacturing as well as ITC which are all priority areas of the government.</w:t>
      </w:r>
    </w:p>
    <w:p w:rsidR="00B40E29" w:rsidRPr="00B06331" w:rsidRDefault="00B40E29" w:rsidP="003A5A07">
      <w:pPr>
        <w:pStyle w:val="ListParagraph"/>
        <w:spacing w:after="0"/>
        <w:ind w:left="0"/>
        <w:jc w:val="both"/>
        <w:rPr>
          <w:rFonts w:cs="Calibri"/>
          <w:b/>
        </w:rPr>
      </w:pPr>
    </w:p>
    <w:p w:rsidR="003A5A07" w:rsidRPr="00B06331" w:rsidRDefault="00B40E29" w:rsidP="003A5A07">
      <w:pPr>
        <w:pStyle w:val="ListParagraph"/>
        <w:spacing w:after="0"/>
        <w:ind w:left="0"/>
        <w:jc w:val="both"/>
        <w:rPr>
          <w:rFonts w:cs="Calibri"/>
          <w:b/>
          <w:i/>
          <w:color w:val="4472C4" w:themeColor="accent1"/>
        </w:rPr>
      </w:pPr>
      <w:r w:rsidRPr="00B06331">
        <w:rPr>
          <w:rFonts w:cs="Calibri"/>
          <w:b/>
          <w:i/>
          <w:color w:val="4472C4" w:themeColor="accent1"/>
        </w:rPr>
        <w:lastRenderedPageBreak/>
        <w:t>Outcome 8.4: Enhanced skills for employment and employability</w:t>
      </w:r>
    </w:p>
    <w:p w:rsidR="00B40E29" w:rsidRPr="00B06331" w:rsidRDefault="00B40E29" w:rsidP="003A5A07">
      <w:pPr>
        <w:pStyle w:val="ListParagraph"/>
        <w:spacing w:after="0"/>
        <w:ind w:left="0"/>
        <w:jc w:val="both"/>
        <w:rPr>
          <w:rFonts w:cs="Calibri"/>
          <w:b/>
        </w:rPr>
      </w:pPr>
    </w:p>
    <w:p w:rsidR="003A5A07" w:rsidRPr="00B06331" w:rsidRDefault="003A5A07" w:rsidP="003A5A07">
      <w:pPr>
        <w:pStyle w:val="ListParagraph"/>
        <w:spacing w:after="0"/>
        <w:ind w:left="0"/>
        <w:jc w:val="both"/>
        <w:rPr>
          <w:rFonts w:cs="Calibri"/>
          <w:b/>
        </w:rPr>
      </w:pPr>
      <w:r w:rsidRPr="00B06331">
        <w:rPr>
          <w:rFonts w:cs="Calibri"/>
          <w:b/>
        </w:rPr>
        <w:t>Review and Implement NEP and NEAP for inclusiveness of youth development and employability through skills development initiatives and training programmes</w:t>
      </w:r>
    </w:p>
    <w:p w:rsidR="003A5A07" w:rsidRPr="00B06331" w:rsidRDefault="003A5A07" w:rsidP="003A5A07">
      <w:pPr>
        <w:pStyle w:val="Default"/>
        <w:spacing w:line="276" w:lineRule="auto"/>
        <w:jc w:val="both"/>
        <w:rPr>
          <w:rFonts w:ascii="Calibri" w:hAnsi="Calibri" w:cs="Calibri"/>
          <w:color w:val="auto"/>
          <w:sz w:val="22"/>
          <w:szCs w:val="22"/>
        </w:rPr>
      </w:pPr>
    </w:p>
    <w:p w:rsidR="003A5A07" w:rsidRPr="00B06331" w:rsidRDefault="003A5A07" w:rsidP="003A5A07">
      <w:pPr>
        <w:jc w:val="both"/>
        <w:rPr>
          <w:rFonts w:cs="Calibri"/>
        </w:rPr>
      </w:pPr>
      <w:r w:rsidRPr="00B06331">
        <w:rPr>
          <w:rFonts w:cs="Calibri"/>
        </w:rPr>
        <w:t xml:space="preserve">A survey by the National Accreditation and Quality Assurance Authority (NAQAA 2014), </w:t>
      </w:r>
      <w:r w:rsidR="009C4337" w:rsidRPr="00B06331">
        <w:rPr>
          <w:rFonts w:cs="Calibri"/>
        </w:rPr>
        <w:t xml:space="preserve">to </w:t>
      </w:r>
      <w:r w:rsidRPr="00B06331">
        <w:rPr>
          <w:rFonts w:cs="Calibri"/>
        </w:rPr>
        <w:t xml:space="preserve">establish the contribution of Technical, Vocational Education and Entrepreneurship Training (TVET) to employment creation in the Gambia, highlighted that the number of persons receiving skills training is low and there </w:t>
      </w:r>
      <w:r w:rsidR="000E4D6C" w:rsidRPr="00B06331">
        <w:rPr>
          <w:rFonts w:cs="Calibri"/>
        </w:rPr>
        <w:t>is</w:t>
      </w:r>
      <w:r w:rsidRPr="00B06331">
        <w:rPr>
          <w:rFonts w:cs="Calibri"/>
        </w:rPr>
        <w:t xml:space="preserve"> limited access and uneven distribution of formal TVET institutions in The Gambia.  Government will therefore develop and implement skill training programmes to build the skill requirement for youth, women and persons with disability to enhance their employability. According to the Labour Force Survey (2012), youth unemployment is at 38% and strategies are in place to reduce the r</w:t>
      </w:r>
      <w:r w:rsidR="009C4337" w:rsidRPr="00B06331">
        <w:rPr>
          <w:rFonts w:cs="Calibri"/>
        </w:rPr>
        <w:t>ate to 30% by 2021.</w:t>
      </w:r>
      <w:r w:rsidRPr="00B06331">
        <w:rPr>
          <w:rFonts w:cs="Calibri"/>
        </w:rPr>
        <w:t xml:space="preserve"> Government will work with partner institutions to encourage the development of labor intensive technologies that promote employment roll out training programs including the Songhai Initiative Model. This will help in achieving the target to reduce unemployment by 9% in 2021. </w:t>
      </w:r>
    </w:p>
    <w:p w:rsidR="00CC69CB" w:rsidRPr="00B06331" w:rsidRDefault="00CC69CB" w:rsidP="003A5A07">
      <w:pPr>
        <w:jc w:val="both"/>
        <w:rPr>
          <w:rFonts w:cs="Calibri"/>
          <w:b/>
          <w:i/>
          <w:color w:val="4472C4" w:themeColor="accent1"/>
        </w:rPr>
      </w:pPr>
    </w:p>
    <w:p w:rsidR="00CC69CB" w:rsidRPr="00B06331" w:rsidRDefault="00CC69CB" w:rsidP="003A5A07">
      <w:pPr>
        <w:jc w:val="both"/>
        <w:rPr>
          <w:rFonts w:cs="Calibri"/>
          <w:b/>
          <w:i/>
          <w:color w:val="4472C4" w:themeColor="accent1"/>
        </w:rPr>
      </w:pPr>
    </w:p>
    <w:p w:rsidR="00CC69CB" w:rsidRPr="00B06331" w:rsidRDefault="00CC69CB" w:rsidP="003A5A07">
      <w:pPr>
        <w:jc w:val="both"/>
        <w:rPr>
          <w:rFonts w:cs="Calibri"/>
          <w:b/>
          <w:i/>
          <w:color w:val="4472C4" w:themeColor="accent1"/>
        </w:rPr>
      </w:pPr>
    </w:p>
    <w:p w:rsidR="003A5A07" w:rsidRPr="00B06331" w:rsidRDefault="00B40E29" w:rsidP="003A5A07">
      <w:pPr>
        <w:jc w:val="both"/>
        <w:rPr>
          <w:rFonts w:cs="Calibri"/>
          <w:b/>
          <w:i/>
          <w:color w:val="4472C4" w:themeColor="accent1"/>
        </w:rPr>
      </w:pPr>
      <w:r w:rsidRPr="00B06331">
        <w:rPr>
          <w:rFonts w:cs="Calibri"/>
          <w:b/>
          <w:i/>
          <w:color w:val="4472C4" w:themeColor="accent1"/>
        </w:rPr>
        <w:t>Outcome 8.5: The National Quality Infrastructure Improved</w:t>
      </w:r>
    </w:p>
    <w:p w:rsidR="003A5A07" w:rsidRPr="00B06331" w:rsidRDefault="003A5A07" w:rsidP="003A5A07">
      <w:pPr>
        <w:pStyle w:val="ListParagraph"/>
        <w:ind w:left="0"/>
        <w:jc w:val="both"/>
        <w:rPr>
          <w:rFonts w:cs="Calibri"/>
          <w:b/>
        </w:rPr>
      </w:pPr>
      <w:r w:rsidRPr="00B06331">
        <w:rPr>
          <w:rFonts w:cs="Calibri"/>
          <w:b/>
        </w:rPr>
        <w:t>Implement the National Standardization strategy and relevant standards</w:t>
      </w:r>
    </w:p>
    <w:p w:rsidR="003A5A07" w:rsidRPr="00B06331" w:rsidRDefault="003A5A07" w:rsidP="003A5A07">
      <w:pPr>
        <w:pStyle w:val="ListParagraph"/>
        <w:ind w:left="0"/>
        <w:jc w:val="both"/>
        <w:rPr>
          <w:rFonts w:cs="Calibri"/>
        </w:rPr>
      </w:pPr>
    </w:p>
    <w:p w:rsidR="003A5A07" w:rsidRPr="00B06331" w:rsidRDefault="003A5A07" w:rsidP="003A5A07">
      <w:pPr>
        <w:pStyle w:val="ListParagraph"/>
        <w:ind w:left="0"/>
        <w:jc w:val="both"/>
        <w:rPr>
          <w:rFonts w:cs="Calibri"/>
        </w:rPr>
      </w:pPr>
      <w:r w:rsidRPr="00B06331">
        <w:rPr>
          <w:rFonts w:cs="Calibri"/>
        </w:rPr>
        <w:t>To overcome quality related challenges and ensure that the national quality infrastructure is functional, Government will prioritize the implementation of the Quality Policy for The Gamb</w:t>
      </w:r>
      <w:r w:rsidR="009C4337" w:rsidRPr="00B06331">
        <w:rPr>
          <w:rFonts w:cs="Calibri"/>
        </w:rPr>
        <w:t xml:space="preserve">ia 2014. </w:t>
      </w:r>
      <w:r w:rsidRPr="00B06331">
        <w:rPr>
          <w:rFonts w:cs="Calibri"/>
        </w:rPr>
        <w:t>Government has developed a three-year National Standardization Strategy (2018 – 2020) to develop and publish standards in priority areas. TGSB has published 100 National Standards in food and electro-technology among others. During the planned period, the bureau targets to publish 400 standards in prio</w:t>
      </w:r>
      <w:r w:rsidR="009C4337" w:rsidRPr="00B06331">
        <w:rPr>
          <w:rFonts w:cs="Calibri"/>
        </w:rPr>
        <w:t>rity areas by 2021.</w:t>
      </w:r>
      <w:r w:rsidRPr="00B06331">
        <w:rPr>
          <w:rFonts w:cs="Calibri"/>
        </w:rPr>
        <w:t xml:space="preserve"> Government will </w:t>
      </w:r>
      <w:r w:rsidR="009C4337" w:rsidRPr="00B06331">
        <w:rPr>
          <w:rFonts w:cs="Calibri"/>
        </w:rPr>
        <w:t xml:space="preserve">also </w:t>
      </w:r>
      <w:r w:rsidRPr="00B06331">
        <w:rPr>
          <w:rFonts w:cs="Calibri"/>
        </w:rPr>
        <w:t>promote and build capacity for the implementation of relevant national standards at private and public-sector level as well as create the requisite awareness.</w:t>
      </w:r>
    </w:p>
    <w:p w:rsidR="003A5A07" w:rsidRPr="00B06331" w:rsidRDefault="003A5A07" w:rsidP="003A5A07">
      <w:pPr>
        <w:pStyle w:val="ListParagraph"/>
        <w:ind w:left="0"/>
        <w:jc w:val="both"/>
        <w:rPr>
          <w:rFonts w:cs="Calibri"/>
        </w:rPr>
      </w:pPr>
    </w:p>
    <w:p w:rsidR="003A5A07" w:rsidRPr="00B06331" w:rsidRDefault="003A5A07" w:rsidP="003A5A07">
      <w:pPr>
        <w:pStyle w:val="ListParagraph"/>
        <w:ind w:left="0"/>
        <w:jc w:val="both"/>
        <w:rPr>
          <w:rFonts w:cs="Calibri"/>
          <w:b/>
        </w:rPr>
      </w:pPr>
      <w:r w:rsidRPr="00B06331">
        <w:rPr>
          <w:rFonts w:cs="Calibri"/>
          <w:b/>
        </w:rPr>
        <w:t>Setup and develop the national Certification Services</w:t>
      </w:r>
    </w:p>
    <w:p w:rsidR="003A5A07" w:rsidRPr="00B06331" w:rsidRDefault="003A5A07" w:rsidP="003A5A07">
      <w:pPr>
        <w:pStyle w:val="ListParagraph"/>
        <w:ind w:left="0"/>
        <w:jc w:val="both"/>
        <w:rPr>
          <w:rFonts w:cs="Calibri"/>
        </w:rPr>
      </w:pPr>
    </w:p>
    <w:p w:rsidR="003A5A07" w:rsidRPr="00B06331" w:rsidRDefault="009C4337" w:rsidP="003A5A07">
      <w:pPr>
        <w:pStyle w:val="ListParagraph"/>
        <w:ind w:left="0"/>
        <w:jc w:val="both"/>
        <w:rPr>
          <w:rFonts w:cs="Calibri"/>
        </w:rPr>
      </w:pPr>
      <w:r w:rsidRPr="00B06331">
        <w:rPr>
          <w:rFonts w:cs="Calibri"/>
        </w:rPr>
        <w:t>T</w:t>
      </w:r>
      <w:r w:rsidR="003A5A07" w:rsidRPr="00B06331">
        <w:rPr>
          <w:rFonts w:cs="Calibri"/>
        </w:rPr>
        <w:t xml:space="preserve">here are </w:t>
      </w:r>
      <w:r w:rsidRPr="00B06331">
        <w:rPr>
          <w:rFonts w:cs="Calibri"/>
        </w:rPr>
        <w:t xml:space="preserve">currently </w:t>
      </w:r>
      <w:r w:rsidR="003A5A07" w:rsidRPr="00B06331">
        <w:rPr>
          <w:rFonts w:cs="Calibri"/>
        </w:rPr>
        <w:t>no national activities for system o</w:t>
      </w:r>
      <w:r w:rsidRPr="00B06331">
        <w:rPr>
          <w:rFonts w:cs="Calibri"/>
        </w:rPr>
        <w:t xml:space="preserve">r product certification and </w:t>
      </w:r>
      <w:r w:rsidR="003A5A07" w:rsidRPr="00B06331">
        <w:rPr>
          <w:rFonts w:cs="Calibri"/>
        </w:rPr>
        <w:t>the requirement to demonstrate evidence of complianc</w:t>
      </w:r>
      <w:r w:rsidRPr="00B06331">
        <w:rPr>
          <w:rFonts w:cs="Calibri"/>
        </w:rPr>
        <w:t xml:space="preserve">e with standards is lacking. </w:t>
      </w:r>
      <w:r w:rsidR="003A5A07" w:rsidRPr="00B06331">
        <w:rPr>
          <w:rFonts w:cs="Calibri"/>
        </w:rPr>
        <w:t>Government will ensure that TGSB develops a national Certification Service with the required human and technical resources including suitably certified Auditors for Management Systems and Product Certifications.</w:t>
      </w:r>
    </w:p>
    <w:p w:rsidR="003A5A07" w:rsidRPr="00B06331" w:rsidRDefault="003A5A07" w:rsidP="003A5A07">
      <w:pPr>
        <w:pStyle w:val="ListParagraph"/>
        <w:spacing w:after="0" w:line="240" w:lineRule="auto"/>
        <w:jc w:val="both"/>
        <w:rPr>
          <w:rFonts w:cs="Calibri"/>
        </w:rPr>
      </w:pPr>
    </w:p>
    <w:p w:rsidR="003A5A07" w:rsidRPr="00B06331" w:rsidRDefault="003A5A07" w:rsidP="003A5A07">
      <w:pPr>
        <w:pStyle w:val="ListParagraph"/>
        <w:spacing w:after="0" w:line="240" w:lineRule="auto"/>
        <w:ind w:left="0"/>
        <w:jc w:val="both"/>
        <w:rPr>
          <w:rFonts w:cs="Calibri"/>
          <w:b/>
        </w:rPr>
      </w:pPr>
      <w:r w:rsidRPr="00B06331">
        <w:rPr>
          <w:rFonts w:cs="Calibri"/>
          <w:b/>
        </w:rPr>
        <w:t>Strengthen the National Metrology System</w:t>
      </w:r>
    </w:p>
    <w:p w:rsidR="003A5A07" w:rsidRPr="00B06331" w:rsidRDefault="003A5A07" w:rsidP="003A5A07">
      <w:pPr>
        <w:pStyle w:val="ListParagraph"/>
        <w:spacing w:after="0" w:line="240" w:lineRule="auto"/>
        <w:jc w:val="both"/>
        <w:rPr>
          <w:rFonts w:cs="Calibri"/>
        </w:rPr>
      </w:pPr>
    </w:p>
    <w:p w:rsidR="003A5A07" w:rsidRPr="00B06331" w:rsidRDefault="009C4337" w:rsidP="003A5A07">
      <w:pPr>
        <w:spacing w:after="0"/>
        <w:ind w:right="52"/>
        <w:jc w:val="both"/>
        <w:rPr>
          <w:rFonts w:cs="Calibri"/>
        </w:rPr>
      </w:pPr>
      <w:r w:rsidRPr="00B06331">
        <w:rPr>
          <w:rFonts w:cs="Calibri"/>
        </w:rPr>
        <w:lastRenderedPageBreak/>
        <w:t>E</w:t>
      </w:r>
      <w:r w:rsidR="003A5A07" w:rsidRPr="00B06331">
        <w:rPr>
          <w:rFonts w:cs="Calibri"/>
        </w:rPr>
        <w:t>stablish</w:t>
      </w:r>
      <w:r w:rsidRPr="00B06331">
        <w:rPr>
          <w:rFonts w:cs="Calibri"/>
        </w:rPr>
        <w:t>ing</w:t>
      </w:r>
      <w:r w:rsidR="003A5A07" w:rsidRPr="00B06331">
        <w:rPr>
          <w:rFonts w:cs="Calibri"/>
        </w:rPr>
        <w:t xml:space="preserve"> a</w:t>
      </w:r>
      <w:r w:rsidRPr="00B06331">
        <w:rPr>
          <w:rFonts w:cs="Calibri"/>
        </w:rPr>
        <w:t xml:space="preserve"> common metrological framework is one of the</w:t>
      </w:r>
      <w:r w:rsidR="003A5A07" w:rsidRPr="00B06331">
        <w:rPr>
          <w:rFonts w:cs="Calibri"/>
        </w:rPr>
        <w:t xml:space="preserve"> building blocks</w:t>
      </w:r>
      <w:r w:rsidRPr="00B06331">
        <w:rPr>
          <w:rFonts w:cs="Calibri"/>
        </w:rPr>
        <w:t xml:space="preserve"> of the quality infrastructure. </w:t>
      </w:r>
      <w:r w:rsidR="003A5A07" w:rsidRPr="00B06331">
        <w:rPr>
          <w:rFonts w:cs="Calibri"/>
        </w:rPr>
        <w:t xml:space="preserve">Government created the national metrology system through the establishment of a National Metrology Laboratory under TGSB.  During the plan period and to enable The Gambia fulfill international traceability requirements, additional metrology equipment would be acquired, relevant training provided and National Metrology Laboratory will </w:t>
      </w:r>
      <w:r w:rsidRPr="00B06331">
        <w:rPr>
          <w:rFonts w:cs="Calibri"/>
        </w:rPr>
        <w:t>seek ISO</w:t>
      </w:r>
      <w:r w:rsidR="003A5A07" w:rsidRPr="00B06331">
        <w:rPr>
          <w:rFonts w:cs="Calibri"/>
        </w:rPr>
        <w:t xml:space="preserve"> 17025 accreditation. This will support the development of a technically-competent national calibration system that will have the capacity to diffuse measurement standards in industry, public sector, SMEs and the markets.  This will also provide for the calibration service needs for the certification of enterprises and service providers to ISO 9001, ISO 14001 or ISO 22000 as well as the accreditation of testing laboratories and inspection bodies.</w:t>
      </w:r>
    </w:p>
    <w:p w:rsidR="003A5A07" w:rsidRPr="00B06331" w:rsidRDefault="003A5A07" w:rsidP="003A5A07">
      <w:pPr>
        <w:pStyle w:val="ListParagraph"/>
        <w:spacing w:after="0" w:line="240" w:lineRule="auto"/>
        <w:jc w:val="both"/>
        <w:rPr>
          <w:rFonts w:cs="Calibri"/>
        </w:rPr>
      </w:pPr>
    </w:p>
    <w:p w:rsidR="003A5A07" w:rsidRPr="00B06331" w:rsidRDefault="003A5A07" w:rsidP="003A5A07">
      <w:pPr>
        <w:pStyle w:val="ListParagraph"/>
        <w:ind w:left="0"/>
        <w:jc w:val="both"/>
        <w:rPr>
          <w:rFonts w:cs="Calibri"/>
          <w:b/>
        </w:rPr>
      </w:pPr>
      <w:r w:rsidRPr="00B06331">
        <w:rPr>
          <w:rFonts w:cs="Calibri"/>
          <w:b/>
        </w:rPr>
        <w:t>Setup testing laboratories for construction materials, electrical and solar products for safety and Quality</w:t>
      </w:r>
    </w:p>
    <w:p w:rsidR="003A5A07" w:rsidRPr="00B06331" w:rsidRDefault="009C4337" w:rsidP="003A5A07">
      <w:pPr>
        <w:jc w:val="both"/>
        <w:rPr>
          <w:rFonts w:cs="Calibri"/>
        </w:rPr>
      </w:pPr>
      <w:r w:rsidRPr="00B06331">
        <w:rPr>
          <w:rFonts w:cs="Calibri"/>
        </w:rPr>
        <w:t>Currently, t</w:t>
      </w:r>
      <w:r w:rsidR="003A5A07" w:rsidRPr="00B06331">
        <w:rPr>
          <w:rFonts w:cs="Calibri"/>
        </w:rPr>
        <w:t xml:space="preserve">esting facilities for construction materials, electrical and solar products are absent.  Given that the Government is committed to meet its infrastructure and energy needs, there is a concomitant need to check the safety and quality of the above-mentioned products </w:t>
      </w:r>
      <w:r w:rsidRPr="00B06331">
        <w:rPr>
          <w:rFonts w:cs="Calibri"/>
        </w:rPr>
        <w:t>to</w:t>
      </w:r>
      <w:r w:rsidR="003A5A07" w:rsidRPr="00B06331">
        <w:rPr>
          <w:rFonts w:cs="Calibri"/>
        </w:rPr>
        <w:t xml:space="preserve"> ensure the safety and health of its citizens, prevent dumping of sub-standard products, and ensure value-for-money of</w:t>
      </w:r>
      <w:r w:rsidRPr="00B06331">
        <w:rPr>
          <w:rFonts w:cs="Calibri"/>
        </w:rPr>
        <w:t xml:space="preserve"> public procurement. </w:t>
      </w:r>
      <w:r w:rsidR="003A5A07" w:rsidRPr="00B06331">
        <w:rPr>
          <w:rFonts w:cs="Calibri"/>
        </w:rPr>
        <w:t xml:space="preserve">Government will kick-start these initiatives by supporting TGSB to establish three (3) testing facilities in construction materials, electrical and solar products by 2021. Also in achieving this target, the private sector will be encouraged to participate in this initiative through PPP arrangements. </w:t>
      </w:r>
    </w:p>
    <w:p w:rsidR="00CC69CB" w:rsidRPr="00B06331" w:rsidRDefault="00CC69CB" w:rsidP="003A5A07">
      <w:pPr>
        <w:pStyle w:val="NoSpacing"/>
        <w:rPr>
          <w:rFonts w:ascii="Calibri" w:cs="Calibri"/>
          <w:b/>
          <w:color w:val="000000"/>
        </w:rPr>
      </w:pPr>
    </w:p>
    <w:p w:rsidR="00CC69CB" w:rsidRPr="00B06331" w:rsidRDefault="00CC69CB" w:rsidP="003A5A07">
      <w:pPr>
        <w:pStyle w:val="NoSpacing"/>
        <w:rPr>
          <w:rFonts w:ascii="Calibri" w:cs="Calibri"/>
          <w:b/>
          <w:color w:val="000000"/>
        </w:rPr>
      </w:pPr>
    </w:p>
    <w:p w:rsidR="003A5A07" w:rsidRPr="00B06331" w:rsidRDefault="003A5A07" w:rsidP="003A5A07">
      <w:pPr>
        <w:pStyle w:val="NoSpacing"/>
        <w:rPr>
          <w:rFonts w:ascii="Calibri" w:cs="Calibri"/>
          <w:b/>
          <w:color w:val="000000"/>
        </w:rPr>
      </w:pPr>
      <w:r w:rsidRPr="00B06331">
        <w:rPr>
          <w:rFonts w:ascii="Calibri" w:cs="Calibri"/>
          <w:b/>
          <w:color w:val="000000"/>
        </w:rPr>
        <w:t>Establish and operationalize a National Accreditation Focal Point</w:t>
      </w:r>
    </w:p>
    <w:p w:rsidR="003A5A07" w:rsidRPr="00B06331" w:rsidRDefault="003A5A07" w:rsidP="003A5A07">
      <w:pPr>
        <w:pStyle w:val="NoSpacing"/>
        <w:rPr>
          <w:rFonts w:ascii="Calibri" w:cs="Calibri"/>
          <w:color w:val="000000"/>
        </w:rPr>
      </w:pPr>
    </w:p>
    <w:p w:rsidR="003A5A07" w:rsidRPr="00B06331" w:rsidRDefault="003A5A07" w:rsidP="003A5A07">
      <w:r w:rsidRPr="00B06331">
        <w:rPr>
          <w:rFonts w:cs="Calibri"/>
          <w:color w:val="000000"/>
        </w:rPr>
        <w:t>The technical competency of laboratories, inspection agencies and certification bodies is of paramount importance if inspection reports, test reports and certificates from The Gambia are to be recognized in the export markets as well as by regula</w:t>
      </w:r>
      <w:r w:rsidR="00CC69CB" w:rsidRPr="00B06331">
        <w:rPr>
          <w:rFonts w:cs="Calibri"/>
          <w:color w:val="000000"/>
        </w:rPr>
        <w:t>tory agencies locally</w:t>
      </w:r>
      <w:r w:rsidRPr="00B06331">
        <w:rPr>
          <w:rFonts w:cs="Calibri"/>
          <w:color w:val="000000"/>
        </w:rPr>
        <w:t>. The Gambia does not have a national accreditation body and hence accreditation remains one of the most serious challenges for The Gambia to get its inspection, testing and certification acce</w:t>
      </w:r>
      <w:r w:rsidR="00CC69CB" w:rsidRPr="00B06331">
        <w:rPr>
          <w:rFonts w:cs="Calibri"/>
          <w:color w:val="000000"/>
        </w:rPr>
        <w:t xml:space="preserve">pted internationally. </w:t>
      </w:r>
      <w:r w:rsidRPr="00B06331">
        <w:rPr>
          <w:rFonts w:cs="Calibri"/>
          <w:color w:val="000000"/>
        </w:rPr>
        <w:t>Government will put in place and make operational an Accreditation Focal Point to facilitate the access to accreditation services and create awareness on accreditation.</w:t>
      </w:r>
    </w:p>
    <w:p w:rsidR="003A5A07" w:rsidRPr="00B06331" w:rsidRDefault="003A5A07" w:rsidP="003A5A07">
      <w:pPr>
        <w:rPr>
          <w:rFonts w:ascii="Avenir Book" w:hAnsi="Avenir Book"/>
          <w:b/>
          <w:sz w:val="24"/>
          <w:szCs w:val="24"/>
        </w:rPr>
        <w:sectPr w:rsidR="003A5A07" w:rsidRPr="00B06331" w:rsidSect="001C4D71">
          <w:pgSz w:w="12240" w:h="15840"/>
          <w:pgMar w:top="1440" w:right="1440" w:bottom="1440" w:left="1440" w:header="720" w:footer="720" w:gutter="0"/>
          <w:cols w:space="720"/>
          <w:docGrid w:linePitch="360"/>
        </w:sectPr>
      </w:pPr>
    </w:p>
    <w:p w:rsidR="003A5A07" w:rsidRPr="00B06331" w:rsidRDefault="003A5A07" w:rsidP="003A5A07">
      <w:pPr>
        <w:pStyle w:val="Heading1"/>
        <w:jc w:val="center"/>
        <w:rPr>
          <w:rFonts w:ascii="Calibri" w:hAnsi="Calibri" w:cs="Calibri"/>
          <w:b/>
          <w:sz w:val="24"/>
          <w:szCs w:val="24"/>
        </w:rPr>
      </w:pPr>
      <w:bookmarkStart w:id="150" w:name="_Toc488689347"/>
      <w:bookmarkStart w:id="151" w:name="_Toc492364791"/>
      <w:r w:rsidRPr="00B06331">
        <w:rPr>
          <w:rFonts w:ascii="Calibri" w:hAnsi="Calibri" w:cs="Calibri"/>
          <w:b/>
          <w:sz w:val="24"/>
          <w:szCs w:val="24"/>
        </w:rPr>
        <w:lastRenderedPageBreak/>
        <w:t>Chapter 8: Critical Enablers</w:t>
      </w:r>
      <w:bookmarkEnd w:id="150"/>
      <w:bookmarkEnd w:id="151"/>
    </w:p>
    <w:p w:rsidR="003A5A07" w:rsidRPr="00B06331" w:rsidRDefault="003A5A07" w:rsidP="003A5A07">
      <w:pPr>
        <w:pStyle w:val="Heading2"/>
        <w:rPr>
          <w:rFonts w:ascii="Calibri" w:hAnsi="Calibri" w:cs="Calibri"/>
          <w:sz w:val="22"/>
          <w:szCs w:val="22"/>
        </w:rPr>
      </w:pPr>
      <w:bookmarkStart w:id="152" w:name="_Toc488689348"/>
      <w:bookmarkStart w:id="153" w:name="_Toc492364792"/>
      <w:r w:rsidRPr="00B06331">
        <w:rPr>
          <w:rFonts w:ascii="Calibri" w:hAnsi="Calibri" w:cs="Calibri"/>
          <w:sz w:val="22"/>
          <w:szCs w:val="22"/>
        </w:rPr>
        <w:t>8.1 Introduction</w:t>
      </w:r>
      <w:bookmarkEnd w:id="152"/>
      <w:bookmarkEnd w:id="153"/>
    </w:p>
    <w:p w:rsidR="003A5A07" w:rsidRPr="00B06331" w:rsidRDefault="00405874" w:rsidP="003A5A07">
      <w:pPr>
        <w:jc w:val="both"/>
      </w:pPr>
      <w:r w:rsidRPr="00B06331">
        <w:t>Chapter (8</w:t>
      </w:r>
      <w:r w:rsidR="003A5A07" w:rsidRPr="00B06331">
        <w:t>) presents the seven (7) critical enablers of the NDP, namely: strengthening public institutions; empowerment of women; environment, natural resources, and climate change; decentralization, land use planning and management; strengthening civil society and non-state actors; ICT and data for development.</w:t>
      </w:r>
    </w:p>
    <w:p w:rsidR="003A5A07" w:rsidRPr="00B06331" w:rsidRDefault="003A5A07" w:rsidP="003A5A07">
      <w:pPr>
        <w:jc w:val="both"/>
      </w:pPr>
      <w:r w:rsidRPr="00B06331">
        <w:t xml:space="preserve">These enablers constitute the foundational and cross-cutting themes that contribute directly towards achieving the overall goal of the NDP, which is to </w:t>
      </w:r>
      <w:r w:rsidRPr="00B06331">
        <w:rPr>
          <w:b/>
          <w:i/>
        </w:rPr>
        <w:t>deliver good governance and accountability, social cohesion, and national reconciliation, and a revitalized and transformed economy for the well-being of all Gambians</w:t>
      </w:r>
      <w:r w:rsidRPr="00B06331">
        <w:t>. By their linkages with the strategic prio</w:t>
      </w:r>
      <w:r w:rsidR="00405874" w:rsidRPr="00B06331">
        <w:t>rities outlined in chapter 7</w:t>
      </w:r>
      <w:r w:rsidRPr="00B06331">
        <w:t>, they also contribute indirectly towards the overall goal of the NDP.</w:t>
      </w:r>
    </w:p>
    <w:p w:rsidR="003A5A07" w:rsidRPr="00B06331" w:rsidRDefault="003A5A07" w:rsidP="003A5A07">
      <w:pPr>
        <w:jc w:val="both"/>
      </w:pPr>
      <w:r w:rsidRPr="00B06331">
        <w:t>For instances, strong public institutions are critical for the macro-economic stabilization and economic management and governance reforms outcomes to be attained, the service delivery outcomes in education and health sector are to be achieved, and poverty reduced through a revitalized agriculture sector. Similarly, the empowerment of women if embedded within all the strategic priorities of the plan will result in multiplier effects with wide-ranging impacts across all sectors. And finally, across the board, the need for sound data to drive evidence-based policy and programming is uniformly required for all the strategic priorities and across all sectors.</w:t>
      </w:r>
    </w:p>
    <w:p w:rsidR="003A5A07" w:rsidRPr="00B06331" w:rsidRDefault="003A5A07" w:rsidP="003A5A07">
      <w:pPr>
        <w:jc w:val="both"/>
      </w:pPr>
      <w:r w:rsidRPr="00B06331">
        <w:t>Below, is a detailed outline of the specific goals, outcomes, and key interventions for each of the critical enablers.</w:t>
      </w:r>
    </w:p>
    <w:p w:rsidR="003A5A07" w:rsidRPr="00B06331" w:rsidRDefault="003A5A07" w:rsidP="003A5A07">
      <w:pPr>
        <w:pStyle w:val="Heading2"/>
        <w:rPr>
          <w:rFonts w:ascii="Calibri" w:hAnsi="Calibri" w:cs="Calibri"/>
          <w:sz w:val="22"/>
          <w:szCs w:val="22"/>
        </w:rPr>
      </w:pPr>
      <w:bookmarkStart w:id="154" w:name="_Toc488689349"/>
      <w:bookmarkStart w:id="155" w:name="_Toc492364793"/>
      <w:r w:rsidRPr="00B06331">
        <w:rPr>
          <w:rFonts w:ascii="Calibri" w:hAnsi="Calibri" w:cs="Calibri"/>
          <w:sz w:val="22"/>
          <w:szCs w:val="22"/>
        </w:rPr>
        <w:t>8.2 Strengthening Public Institutions</w:t>
      </w:r>
      <w:bookmarkEnd w:id="154"/>
      <w:bookmarkEnd w:id="155"/>
    </w:p>
    <w:p w:rsidR="003A5A07" w:rsidRPr="00B06331" w:rsidRDefault="003A5A07" w:rsidP="003A5A07">
      <w:pPr>
        <w:pStyle w:val="ListParagraph"/>
        <w:spacing w:after="0"/>
        <w:ind w:left="0"/>
        <w:jc w:val="both"/>
        <w:rPr>
          <w:rFonts w:ascii="Avenir Book" w:hAnsi="Avenir Book"/>
        </w:rPr>
      </w:pPr>
      <w:r w:rsidRPr="00B06331">
        <w:rPr>
          <w:rFonts w:ascii="Avenir Book" w:hAnsi="Avenir Book"/>
        </w:rPr>
        <w:t>Gambia’s public institutions have been degraded due to years of poor management and political interference.  The quality and quantity of the public sector’s physical, financial, and human resources have been depleted by years of mismanagement and neglect. The multiplicity of ministries, agencies, departments, and functions has led to a bloated civil service characterized by poor coordination, inadequate synergies, and duplication of interventions. Lack of performance management system, inadequate programming capacity and generally low pay and pension scales has led to low productivity.</w:t>
      </w:r>
    </w:p>
    <w:p w:rsidR="003A5A07" w:rsidRPr="00B06331" w:rsidRDefault="003A5A07" w:rsidP="003A5A07">
      <w:pPr>
        <w:pStyle w:val="ListParagraph"/>
        <w:spacing w:after="0"/>
        <w:ind w:left="0"/>
        <w:jc w:val="both"/>
        <w:rPr>
          <w:rFonts w:ascii="Avenir Book" w:hAnsi="Avenir Book"/>
        </w:rPr>
      </w:pPr>
    </w:p>
    <w:p w:rsidR="003A5A07" w:rsidRPr="00B06331" w:rsidRDefault="003A5A07" w:rsidP="003A5A07">
      <w:pPr>
        <w:jc w:val="both"/>
        <w:rPr>
          <w:rFonts w:ascii="Avenir Book" w:hAnsi="Avenir Book"/>
          <w:b/>
          <w:i/>
          <w:color w:val="000000"/>
          <w:sz w:val="20"/>
          <w:szCs w:val="20"/>
        </w:rPr>
      </w:pPr>
      <w:r w:rsidRPr="00B06331">
        <w:rPr>
          <w:rFonts w:ascii="Avenir Book" w:hAnsi="Avenir Book"/>
        </w:rPr>
        <w:t xml:space="preserve">The new government’s bold reform agenda will require strong public institutions and civil service reform is therefore a key priority. The goal of civil service reform is: </w:t>
      </w:r>
      <w:r w:rsidRPr="00B06331">
        <w:rPr>
          <w:rFonts w:ascii="Avenir Book" w:hAnsi="Avenir Book"/>
          <w:b/>
          <w:i/>
          <w:color w:val="000000"/>
        </w:rPr>
        <w:t xml:space="preserve">efficient and responsive public-sector institutions </w:t>
      </w:r>
      <w:r w:rsidRPr="00B06331">
        <w:rPr>
          <w:rFonts w:ascii="Avenir Book" w:hAnsi="Avenir Book"/>
          <w:color w:val="000000"/>
        </w:rPr>
        <w:t xml:space="preserve">and in </w:t>
      </w:r>
      <w:r w:rsidRPr="00B06331">
        <w:rPr>
          <w:rFonts w:ascii="Avenir Book" w:hAnsi="Avenir Book"/>
        </w:rPr>
        <w:t>this context, one outcome is provided for in this plan (Outcome 9.1) and it is aimed at improving performance through an appropriate incentive structure and improving the management of the public service.</w:t>
      </w:r>
    </w:p>
    <w:p w:rsidR="003A5A07" w:rsidRPr="00B06331" w:rsidRDefault="003A5A07" w:rsidP="003A5A07">
      <w:pPr>
        <w:pStyle w:val="ListParagraph"/>
        <w:spacing w:after="0"/>
        <w:ind w:left="0"/>
        <w:jc w:val="both"/>
        <w:rPr>
          <w:rFonts w:ascii="Avenir Book" w:hAnsi="Avenir Book"/>
        </w:rPr>
      </w:pPr>
      <w:r w:rsidRPr="00B06331">
        <w:rPr>
          <w:rFonts w:ascii="Avenir Book" w:hAnsi="Avenir Book"/>
        </w:rPr>
        <w:t xml:space="preserve">The implementation of all four interventions (further elaborated on below) that are to be undertaken for the attainment of Outcome </w:t>
      </w:r>
      <w:r w:rsidR="000E4D6C" w:rsidRPr="00B06331">
        <w:rPr>
          <w:rFonts w:ascii="Avenir Book" w:hAnsi="Avenir Book"/>
        </w:rPr>
        <w:t>9.1</w:t>
      </w:r>
      <w:r w:rsidRPr="00B06331">
        <w:rPr>
          <w:rFonts w:ascii="Avenir Book" w:hAnsi="Avenir Book"/>
        </w:rPr>
        <w:t xml:space="preserve"> will begin within the first two years of the NDP period.</w:t>
      </w:r>
    </w:p>
    <w:p w:rsidR="003A5A07" w:rsidRPr="00B06331" w:rsidRDefault="003A5A07" w:rsidP="003A5A07">
      <w:pPr>
        <w:pStyle w:val="ListParagraph"/>
        <w:ind w:left="0"/>
        <w:jc w:val="both"/>
        <w:rPr>
          <w:rFonts w:ascii="Avenir Book" w:eastAsia="MS Mincho" w:hAnsi="Avenir Book"/>
          <w:szCs w:val="20"/>
        </w:rPr>
      </w:pPr>
    </w:p>
    <w:p w:rsidR="00405874" w:rsidRPr="00B06331" w:rsidRDefault="00405874" w:rsidP="003A5A07">
      <w:pPr>
        <w:pStyle w:val="ListParagraph"/>
        <w:ind w:left="0"/>
        <w:jc w:val="both"/>
        <w:rPr>
          <w:rFonts w:ascii="Avenir Book" w:eastAsia="MS Mincho" w:hAnsi="Avenir Book"/>
          <w:b/>
          <w:szCs w:val="20"/>
        </w:rPr>
      </w:pPr>
      <w:r w:rsidRPr="00B06331">
        <w:rPr>
          <w:rFonts w:ascii="Avenir Book" w:eastAsia="MS Mincho" w:hAnsi="Avenir Book"/>
          <w:b/>
          <w:szCs w:val="20"/>
        </w:rPr>
        <w:t>Table 8.1: Key Expected Results for Strengthening Public</w:t>
      </w:r>
      <w:r w:rsidR="004143E3" w:rsidRPr="00B06331">
        <w:rPr>
          <w:rFonts w:ascii="Avenir Book" w:eastAsia="MS Mincho" w:hAnsi="Avenir Book"/>
          <w:b/>
          <w:szCs w:val="20"/>
        </w:rPr>
        <w:t xml:space="preserve"> Institutions </w:t>
      </w:r>
    </w:p>
    <w:p w:rsidR="003A5A07" w:rsidRPr="00B06331" w:rsidRDefault="003A5A07" w:rsidP="003A5A07">
      <w:pPr>
        <w:pStyle w:val="ListParagraph"/>
        <w:ind w:left="0"/>
        <w:jc w:val="both"/>
        <w:rPr>
          <w:rFonts w:ascii="Avenir Book" w:eastAsia="MS Mincho" w:hAnsi="Avenir Book"/>
          <w:szCs w:val="20"/>
        </w:rPr>
      </w:pPr>
    </w:p>
    <w:tbl>
      <w:tblPr>
        <w:tblStyle w:val="TableGrid"/>
        <w:tblW w:w="0" w:type="auto"/>
        <w:tblLook w:val="04A0"/>
      </w:tblPr>
      <w:tblGrid>
        <w:gridCol w:w="7015"/>
      </w:tblGrid>
      <w:tr w:rsidR="00405874" w:rsidRPr="00B06331" w:rsidTr="00405874">
        <w:tc>
          <w:tcPr>
            <w:tcW w:w="7015" w:type="dxa"/>
            <w:shd w:val="clear" w:color="auto" w:fill="D9E2F3" w:themeFill="accent1" w:themeFillTint="33"/>
          </w:tcPr>
          <w:p w:rsidR="00405874" w:rsidRPr="00B06331" w:rsidRDefault="00405874" w:rsidP="004143E3">
            <w:pPr>
              <w:pStyle w:val="ListParagraph"/>
              <w:numPr>
                <w:ilvl w:val="0"/>
                <w:numId w:val="52"/>
              </w:numPr>
              <w:jc w:val="both"/>
              <w:rPr>
                <w:rFonts w:ascii="Avenir Book" w:eastAsia="MS Mincho" w:hAnsi="Avenir Book"/>
              </w:rPr>
            </w:pPr>
            <w:r w:rsidRPr="00B06331">
              <w:rPr>
                <w:rFonts w:ascii="Avenir Book" w:eastAsia="MS Mincho" w:hAnsi="Avenir Book"/>
              </w:rPr>
              <w:t>Increase change in salaries and pensions payments as % of GDP from 0% to 5%</w:t>
            </w:r>
          </w:p>
          <w:p w:rsidR="00405874" w:rsidRPr="00B06331" w:rsidRDefault="00405874" w:rsidP="004143E3">
            <w:pPr>
              <w:pStyle w:val="ListParagraph"/>
              <w:numPr>
                <w:ilvl w:val="0"/>
                <w:numId w:val="52"/>
              </w:numPr>
              <w:jc w:val="both"/>
              <w:rPr>
                <w:rFonts w:ascii="Avenir Book" w:eastAsia="MS Mincho" w:hAnsi="Avenir Book"/>
              </w:rPr>
            </w:pPr>
            <w:r w:rsidRPr="00B06331">
              <w:rPr>
                <w:rFonts w:ascii="Avenir Book" w:eastAsia="MS Mincho" w:hAnsi="Avenir Book"/>
              </w:rPr>
              <w:t xml:space="preserve">Increase number of MDAs Inspected (staff inspection exercises) from 0% to 18% </w:t>
            </w:r>
          </w:p>
          <w:p w:rsidR="00405874" w:rsidRPr="00B06331" w:rsidRDefault="00405874" w:rsidP="004143E3">
            <w:pPr>
              <w:pStyle w:val="ListParagraph"/>
              <w:numPr>
                <w:ilvl w:val="0"/>
                <w:numId w:val="52"/>
              </w:numPr>
              <w:jc w:val="both"/>
              <w:rPr>
                <w:rFonts w:ascii="Avenir Book" w:eastAsia="MS Mincho" w:hAnsi="Avenir Book"/>
              </w:rPr>
            </w:pPr>
            <w:r w:rsidRPr="00B06331">
              <w:rPr>
                <w:rFonts w:ascii="Avenir Book" w:eastAsia="MS Mincho" w:hAnsi="Avenir Book"/>
              </w:rPr>
              <w:t>Increase number of staff audit exercises from 0% to 3%</w:t>
            </w:r>
          </w:p>
          <w:p w:rsidR="00405874" w:rsidRPr="00B06331" w:rsidRDefault="00405874" w:rsidP="004143E3">
            <w:pPr>
              <w:pStyle w:val="ListParagraph"/>
              <w:numPr>
                <w:ilvl w:val="0"/>
                <w:numId w:val="52"/>
              </w:numPr>
              <w:jc w:val="both"/>
              <w:rPr>
                <w:rFonts w:ascii="Avenir Book" w:eastAsia="MS Mincho" w:hAnsi="Avenir Book"/>
              </w:rPr>
            </w:pPr>
            <w:r w:rsidRPr="00B06331">
              <w:rPr>
                <w:rFonts w:ascii="Avenir Book" w:eastAsia="MS Mincho" w:hAnsi="Avenir Book"/>
              </w:rPr>
              <w:t>Existence of a pay and pensions Policy</w:t>
            </w:r>
            <w:r w:rsidRPr="00B06331">
              <w:rPr>
                <w:rFonts w:ascii="Avenir Book" w:eastAsia="MS Mincho" w:hAnsi="Avenir Book"/>
              </w:rPr>
              <w:tab/>
            </w:r>
          </w:p>
          <w:p w:rsidR="00405874" w:rsidRPr="00B06331" w:rsidRDefault="00405874" w:rsidP="004143E3">
            <w:pPr>
              <w:pStyle w:val="ListParagraph"/>
              <w:numPr>
                <w:ilvl w:val="0"/>
                <w:numId w:val="52"/>
              </w:numPr>
              <w:jc w:val="both"/>
              <w:rPr>
                <w:rFonts w:ascii="Avenir Book" w:eastAsia="MS Mincho" w:hAnsi="Avenir Book"/>
              </w:rPr>
            </w:pPr>
            <w:r w:rsidRPr="00B06331">
              <w:rPr>
                <w:rFonts w:ascii="Avenir Book" w:eastAsia="MS Mincho" w:hAnsi="Avenir Book"/>
              </w:rPr>
              <w:t>Decrease % change in the size of the civil service from 47% to 0% Growth</w:t>
            </w:r>
          </w:p>
        </w:tc>
      </w:tr>
    </w:tbl>
    <w:p w:rsidR="00405874" w:rsidRPr="00B06331" w:rsidRDefault="00405874" w:rsidP="003A5A07">
      <w:pPr>
        <w:pStyle w:val="ListParagraph"/>
        <w:ind w:left="0"/>
        <w:jc w:val="both"/>
        <w:rPr>
          <w:rFonts w:ascii="Avenir Book" w:eastAsia="MS Mincho" w:hAnsi="Avenir Book"/>
          <w:szCs w:val="20"/>
        </w:rPr>
      </w:pPr>
    </w:p>
    <w:p w:rsidR="003F4301" w:rsidRPr="00B06331" w:rsidRDefault="00405874" w:rsidP="003A5A07">
      <w:pPr>
        <w:pStyle w:val="ListParagraph"/>
        <w:ind w:left="0"/>
        <w:jc w:val="both"/>
        <w:rPr>
          <w:rFonts w:ascii="Avenir Book" w:eastAsia="MS Mincho" w:hAnsi="Avenir Book"/>
          <w:b/>
          <w:i/>
          <w:color w:val="4472C4" w:themeColor="accent1"/>
          <w:szCs w:val="20"/>
        </w:rPr>
      </w:pPr>
      <w:r w:rsidRPr="00B06331">
        <w:rPr>
          <w:rFonts w:ascii="Avenir Book" w:eastAsia="MS Mincho" w:hAnsi="Avenir Book"/>
          <w:b/>
          <w:i/>
          <w:color w:val="4472C4" w:themeColor="accent1"/>
          <w:szCs w:val="20"/>
        </w:rPr>
        <w:t>Outcome 9.1:</w:t>
      </w:r>
      <w:r w:rsidR="003F4301" w:rsidRPr="00B06331">
        <w:rPr>
          <w:rFonts w:ascii="Avenir Book" w:eastAsia="MS Mincho" w:hAnsi="Avenir Book"/>
          <w:b/>
          <w:i/>
          <w:color w:val="4472C4" w:themeColor="accent1"/>
          <w:szCs w:val="20"/>
        </w:rPr>
        <w:t>Appropriately remunerated, motivated and well managed public service</w:t>
      </w:r>
    </w:p>
    <w:p w:rsidR="003A5A07" w:rsidRPr="00B06331" w:rsidRDefault="003A5A07" w:rsidP="003A5A07">
      <w:pPr>
        <w:jc w:val="both"/>
        <w:rPr>
          <w:rFonts w:ascii="Avenir Book" w:eastAsia="MS Mincho" w:hAnsi="Avenir Book"/>
          <w:b/>
          <w:szCs w:val="20"/>
        </w:rPr>
      </w:pPr>
      <w:r w:rsidRPr="00B06331">
        <w:rPr>
          <w:rFonts w:ascii="Avenir Book" w:eastAsia="MS Mincho" w:hAnsi="Avenir Book"/>
          <w:b/>
          <w:szCs w:val="20"/>
        </w:rPr>
        <w:t>Staff audit and inspection exercise</w:t>
      </w:r>
    </w:p>
    <w:p w:rsidR="003A5A07" w:rsidRPr="00B06331" w:rsidRDefault="00DF7DDA" w:rsidP="003A5A07">
      <w:pPr>
        <w:jc w:val="both"/>
        <w:rPr>
          <w:rFonts w:ascii="Avenir Book" w:eastAsia="MS Mincho" w:hAnsi="Avenir Book"/>
          <w:szCs w:val="20"/>
        </w:rPr>
      </w:pPr>
      <w:r w:rsidRPr="00B06331">
        <w:rPr>
          <w:rFonts w:ascii="Avenir Book" w:eastAsia="MS Mincho" w:hAnsi="Avenir Book"/>
          <w:szCs w:val="20"/>
        </w:rPr>
        <w:t>To achieve</w:t>
      </w:r>
      <w:r w:rsidR="003A5A07" w:rsidRPr="00B06331">
        <w:rPr>
          <w:rFonts w:ascii="Avenir Book" w:eastAsia="MS Mincho" w:hAnsi="Avenir Book"/>
          <w:szCs w:val="20"/>
        </w:rPr>
        <w:t xml:space="preserve"> optimal organization and staffing of the Civil Service, a staff audit exercise will </w:t>
      </w:r>
      <w:r w:rsidRPr="00B06331">
        <w:rPr>
          <w:rFonts w:ascii="Avenir Book" w:eastAsia="MS Mincho" w:hAnsi="Avenir Book"/>
          <w:szCs w:val="20"/>
        </w:rPr>
        <w:t xml:space="preserve">be conducted </w:t>
      </w:r>
      <w:r w:rsidR="003A5A07" w:rsidRPr="00B06331">
        <w:rPr>
          <w:rFonts w:ascii="Avenir Book" w:eastAsia="MS Mincho" w:hAnsi="Avenir Book"/>
          <w:szCs w:val="20"/>
        </w:rPr>
        <w:t>lead</w:t>
      </w:r>
      <w:r w:rsidRPr="00B06331">
        <w:rPr>
          <w:rFonts w:ascii="Avenir Book" w:eastAsia="MS Mincho" w:hAnsi="Avenir Book"/>
          <w:szCs w:val="20"/>
        </w:rPr>
        <w:t>ing</w:t>
      </w:r>
      <w:r w:rsidR="003A5A07" w:rsidRPr="00B06331">
        <w:rPr>
          <w:rFonts w:ascii="Avenir Book" w:eastAsia="MS Mincho" w:hAnsi="Avenir Book"/>
          <w:szCs w:val="20"/>
        </w:rPr>
        <w:t xml:space="preserve"> to the elimination of ghost workers from the payroll of Government. This will in turn, bring about much needed fiscal savings</w:t>
      </w:r>
      <w:r w:rsidRPr="00B06331">
        <w:rPr>
          <w:rFonts w:ascii="Avenir Book" w:eastAsia="MS Mincho" w:hAnsi="Avenir Book"/>
          <w:szCs w:val="20"/>
        </w:rPr>
        <w:t xml:space="preserve"> for Government</w:t>
      </w:r>
      <w:r w:rsidR="003A5A07" w:rsidRPr="00B06331">
        <w:rPr>
          <w:rFonts w:ascii="Avenir Book" w:eastAsia="MS Mincho" w:hAnsi="Avenir Book"/>
          <w:szCs w:val="20"/>
        </w:rPr>
        <w:t>. A staff inspec</w:t>
      </w:r>
      <w:r w:rsidRPr="00B06331">
        <w:rPr>
          <w:rFonts w:ascii="Avenir Book" w:eastAsia="MS Mincho" w:hAnsi="Avenir Book"/>
          <w:szCs w:val="20"/>
        </w:rPr>
        <w:t>tion exercise will also ensure</w:t>
      </w:r>
      <w:r w:rsidR="003A5A07" w:rsidRPr="00B06331">
        <w:rPr>
          <w:rFonts w:ascii="Avenir Book" w:eastAsia="MS Mincho" w:hAnsi="Avenir Book"/>
          <w:szCs w:val="20"/>
        </w:rPr>
        <w:t xml:space="preserve"> that Government gets its value for money, by having the right and qualified people occupying the right jobs, as per their academic/professional qualifications and work experience. This will have a positive effect on effective and improved service delivery.</w:t>
      </w:r>
    </w:p>
    <w:p w:rsidR="003A5A07" w:rsidRPr="00B06331" w:rsidRDefault="003A5A07" w:rsidP="003A5A07">
      <w:pPr>
        <w:jc w:val="both"/>
        <w:rPr>
          <w:rFonts w:ascii="Avenir Book" w:eastAsia="MS Mincho" w:hAnsi="Avenir Book"/>
          <w:b/>
          <w:szCs w:val="20"/>
        </w:rPr>
      </w:pPr>
      <w:r w:rsidRPr="00B06331">
        <w:rPr>
          <w:rFonts w:ascii="Avenir Book" w:eastAsia="MS Mincho" w:hAnsi="Avenir Book"/>
          <w:b/>
          <w:szCs w:val="20"/>
        </w:rPr>
        <w:t>Mapping processes and esta</w:t>
      </w:r>
      <w:r w:rsidR="006C6E23" w:rsidRPr="00B06331">
        <w:rPr>
          <w:rFonts w:ascii="Avenir Book" w:eastAsia="MS Mincho" w:hAnsi="Avenir Book"/>
          <w:b/>
          <w:szCs w:val="20"/>
        </w:rPr>
        <w:t>blishment of HRMIS and integration</w:t>
      </w:r>
      <w:r w:rsidRPr="00B06331">
        <w:rPr>
          <w:rFonts w:ascii="Avenir Book" w:eastAsia="MS Mincho" w:hAnsi="Avenir Book"/>
          <w:b/>
          <w:szCs w:val="20"/>
        </w:rPr>
        <w:t xml:space="preserve"> into the IFMIS</w:t>
      </w:r>
    </w:p>
    <w:p w:rsidR="003A5A07" w:rsidRPr="00B06331" w:rsidRDefault="003A5A07" w:rsidP="003A5A07">
      <w:pPr>
        <w:jc w:val="both"/>
        <w:rPr>
          <w:rFonts w:ascii="Avenir Book" w:eastAsia="MS Mincho" w:hAnsi="Avenir Book"/>
          <w:szCs w:val="20"/>
        </w:rPr>
      </w:pPr>
      <w:r w:rsidRPr="00B06331">
        <w:rPr>
          <w:rFonts w:ascii="Avenir Book" w:eastAsia="MS Mincho" w:hAnsi="Avenir Book"/>
          <w:szCs w:val="20"/>
        </w:rPr>
        <w:t>To facilitate the management of organizational and staffing issues in the Civil Service, a Human Resources Management Information System (HRMIS) will be established and integrated into the IFMIS. This will avail timely information on the status of staffing in the public service; enable efficient payroll administration; and enable timely and effective decisions on recruitment, deployment, etc. This exercise will involve mapping out all processes in the management of personnel; customizing the IFMIS to factor all HR processes in Government; selecting a few MDAs to install advanced modules of the HRMIS, before rolling out the HRMIS to all other MDAs.</w:t>
      </w:r>
    </w:p>
    <w:p w:rsidR="003A5A07" w:rsidRPr="00B06331" w:rsidRDefault="003A5A07" w:rsidP="003A5A07">
      <w:pPr>
        <w:jc w:val="both"/>
        <w:rPr>
          <w:rFonts w:ascii="Avenir Book" w:eastAsia="MS Mincho" w:hAnsi="Avenir Book"/>
          <w:b/>
          <w:szCs w:val="20"/>
        </w:rPr>
      </w:pPr>
      <w:r w:rsidRPr="00B06331">
        <w:rPr>
          <w:rFonts w:ascii="Avenir Book" w:eastAsia="MS Mincho" w:hAnsi="Avenir Book"/>
          <w:b/>
          <w:szCs w:val="20"/>
        </w:rPr>
        <w:t>Pay and pensions reform</w:t>
      </w:r>
    </w:p>
    <w:p w:rsidR="003A5A07" w:rsidRPr="00B06331" w:rsidRDefault="00FC45E9" w:rsidP="003A5A07">
      <w:pPr>
        <w:jc w:val="both"/>
        <w:rPr>
          <w:rFonts w:ascii="Avenir Book" w:eastAsia="MS Mincho" w:hAnsi="Avenir Book"/>
          <w:szCs w:val="20"/>
        </w:rPr>
      </w:pPr>
      <w:r w:rsidRPr="00B06331">
        <w:rPr>
          <w:rFonts w:ascii="Avenir Book" w:eastAsia="MS Mincho" w:hAnsi="Avenir Book"/>
          <w:szCs w:val="20"/>
        </w:rPr>
        <w:t>R</w:t>
      </w:r>
      <w:r w:rsidR="00DF7DDA" w:rsidRPr="00B06331">
        <w:rPr>
          <w:rFonts w:ascii="Avenir Book" w:eastAsia="MS Mincho" w:hAnsi="Avenir Book"/>
          <w:szCs w:val="20"/>
        </w:rPr>
        <w:t>emuneration systems will</w:t>
      </w:r>
      <w:r w:rsidR="003A5A07" w:rsidRPr="00B06331">
        <w:rPr>
          <w:rFonts w:ascii="Avenir Book" w:eastAsia="MS Mincho" w:hAnsi="Avenir Book"/>
          <w:szCs w:val="20"/>
        </w:rPr>
        <w:t xml:space="preserve"> be strengthened in order to attract professional and skilled staff, reduce attritions in the Civil Servic</w:t>
      </w:r>
      <w:r w:rsidR="00DF7DDA" w:rsidRPr="00B06331">
        <w:rPr>
          <w:rFonts w:ascii="Avenir Book" w:eastAsia="MS Mincho" w:hAnsi="Avenir Book"/>
          <w:szCs w:val="20"/>
        </w:rPr>
        <w:t>e and motivate employees. This w</w:t>
      </w:r>
      <w:r w:rsidR="003A5A07" w:rsidRPr="00B06331">
        <w:rPr>
          <w:rFonts w:ascii="Avenir Book" w:eastAsia="MS Mincho" w:hAnsi="Avenir Book"/>
          <w:szCs w:val="20"/>
        </w:rPr>
        <w:t xml:space="preserve">ould be done by reviewing, developing and implementing, affordable and sustainable short to long-term policies, strategies and modalities for enhancing civil service remuneration and incentives. As such, pay provided to civil servants must be decent and competitive, and allowances rationalized, </w:t>
      </w:r>
      <w:r w:rsidRPr="00B06331">
        <w:rPr>
          <w:rFonts w:ascii="Avenir Book" w:eastAsia="MS Mincho" w:hAnsi="Avenir Book"/>
          <w:szCs w:val="20"/>
        </w:rPr>
        <w:t>to</w:t>
      </w:r>
      <w:r w:rsidR="003A5A07" w:rsidRPr="00B06331">
        <w:rPr>
          <w:rFonts w:ascii="Avenir Book" w:eastAsia="MS Mincho" w:hAnsi="Avenir Book"/>
          <w:szCs w:val="20"/>
        </w:rPr>
        <w:t xml:space="preserve"> ensure harmony, equity and fairness in pay across jobs and grades in the Civil Service. In the area on pension reform, there is a need to strengthen pension systems (through the timely provision of decent retirement benefits and pensions to retirees), to retain qualified and experienced civil servants, as well as reduce attritions at the managerial and </w:t>
      </w:r>
      <w:r w:rsidR="003A5A07" w:rsidRPr="00B06331">
        <w:rPr>
          <w:rFonts w:ascii="Avenir Book" w:eastAsia="MS Mincho" w:hAnsi="Avenir Book"/>
          <w:szCs w:val="20"/>
        </w:rPr>
        <w:lastRenderedPageBreak/>
        <w:t xml:space="preserve">technical levels in the Civil Service. The review of the Pension Act and development of a new Pension Policy will be undertaken.  </w:t>
      </w:r>
    </w:p>
    <w:p w:rsidR="003A5A07" w:rsidRPr="00B06331" w:rsidRDefault="003A5A07" w:rsidP="003A5A07">
      <w:pPr>
        <w:jc w:val="both"/>
        <w:rPr>
          <w:rFonts w:ascii="Avenir Book" w:eastAsia="MS Mincho" w:hAnsi="Avenir Book"/>
          <w:b/>
          <w:szCs w:val="20"/>
        </w:rPr>
      </w:pPr>
      <w:r w:rsidRPr="00B06331">
        <w:rPr>
          <w:rFonts w:ascii="Avenir Book" w:eastAsia="MS Mincho" w:hAnsi="Avenir Book"/>
          <w:b/>
          <w:szCs w:val="20"/>
        </w:rPr>
        <w:t>Performance management systems and processes</w:t>
      </w:r>
    </w:p>
    <w:p w:rsidR="003A5A07" w:rsidRPr="00B06331" w:rsidRDefault="003A5A07" w:rsidP="00405874">
      <w:pPr>
        <w:jc w:val="both"/>
        <w:rPr>
          <w:rFonts w:ascii="Avenir Book" w:eastAsia="MS Mincho" w:hAnsi="Avenir Book"/>
          <w:szCs w:val="20"/>
        </w:rPr>
      </w:pPr>
      <w:r w:rsidRPr="00B06331">
        <w:rPr>
          <w:rFonts w:ascii="Avenir Book" w:eastAsia="MS Mincho" w:hAnsi="Avenir Book"/>
          <w:szCs w:val="20"/>
        </w:rPr>
        <w:t xml:space="preserve">To enhance discipline, </w:t>
      </w:r>
      <w:r w:rsidR="00405874" w:rsidRPr="00B06331">
        <w:rPr>
          <w:rFonts w:ascii="Avenir Book" w:eastAsia="MS Mincho" w:hAnsi="Avenir Book"/>
          <w:szCs w:val="20"/>
        </w:rPr>
        <w:t>performance,</w:t>
      </w:r>
      <w:r w:rsidRPr="00B06331">
        <w:rPr>
          <w:rFonts w:ascii="Avenir Book" w:eastAsia="MS Mincho" w:hAnsi="Avenir Book"/>
          <w:szCs w:val="20"/>
        </w:rPr>
        <w:t xml:space="preserve"> and accountability of civil servants, it is vital to inculcate and nurture a performance management culture in the civil service. Where promotions and career growth is directly linked to performance, this will have a significant bearing on improved service delivery at the individual and MDA level. A Performan</w:t>
      </w:r>
      <w:r w:rsidR="00FC45E9" w:rsidRPr="00B06331">
        <w:rPr>
          <w:rFonts w:ascii="Avenir Book" w:eastAsia="MS Mincho" w:hAnsi="Avenir Book"/>
          <w:szCs w:val="20"/>
        </w:rPr>
        <w:t>ce Management System (PMS) will</w:t>
      </w:r>
      <w:r w:rsidRPr="00B06331">
        <w:rPr>
          <w:rFonts w:ascii="Avenir Book" w:eastAsia="MS Mincho" w:hAnsi="Avenir Book"/>
          <w:szCs w:val="20"/>
        </w:rPr>
        <w:t xml:space="preserve"> be developed and implemented around current planning, budgeting and staff appraisal systems. </w:t>
      </w:r>
      <w:bookmarkStart w:id="156" w:name="_Toc488689350"/>
    </w:p>
    <w:p w:rsidR="003A5A07" w:rsidRPr="00B06331" w:rsidRDefault="003A5A07" w:rsidP="003A5A07">
      <w:pPr>
        <w:pStyle w:val="Heading2"/>
        <w:rPr>
          <w:rFonts w:ascii="Calibri" w:hAnsi="Calibri" w:cs="Calibri"/>
          <w:caps/>
          <w:sz w:val="22"/>
          <w:szCs w:val="22"/>
        </w:rPr>
      </w:pPr>
      <w:bookmarkStart w:id="157" w:name="_Toc492364794"/>
      <w:r w:rsidRPr="00B06331">
        <w:rPr>
          <w:rFonts w:ascii="Calibri" w:hAnsi="Calibri" w:cs="Calibri"/>
          <w:sz w:val="22"/>
          <w:szCs w:val="22"/>
        </w:rPr>
        <w:t>8.3 Empowerment of Women</w:t>
      </w:r>
      <w:bookmarkEnd w:id="156"/>
      <w:bookmarkEnd w:id="157"/>
    </w:p>
    <w:p w:rsidR="003A5A07" w:rsidRPr="00B06331" w:rsidRDefault="003A5A07" w:rsidP="003A5A07">
      <w:pPr>
        <w:contextualSpacing/>
        <w:jc w:val="both"/>
        <w:rPr>
          <w:rFonts w:ascii="Avenir Book" w:hAnsi="Avenir Book"/>
        </w:rPr>
      </w:pPr>
      <w:r w:rsidRPr="00B06331">
        <w:rPr>
          <w:rFonts w:ascii="Avenir Book" w:hAnsi="Avenir Book"/>
        </w:rPr>
        <w:t xml:space="preserve">Gambia has made significant strides with respect to the empowerment of women. For example, notable is Gross Enrolment Ratio (GER) for girls, Net Enrolment Ratio (NER) for girls, protection of women against violence, ban on FGM, female representation at the National Assembly, Speaker of the National Assembly and successfully litigated cases by the female </w:t>
      </w:r>
      <w:r w:rsidR="003F4301" w:rsidRPr="00B06331">
        <w:rPr>
          <w:rFonts w:ascii="Avenir Book" w:hAnsi="Avenir Book"/>
        </w:rPr>
        <w:t>lawyers’</w:t>
      </w:r>
      <w:r w:rsidRPr="00B06331">
        <w:rPr>
          <w:rFonts w:ascii="Avenir Book" w:hAnsi="Avenir Book"/>
        </w:rPr>
        <w:t xml:space="preserve"> association that resulted in two landmark decisions on the enforcement of the Women’s Act’s provision on the equitable sharing of joint property (CCA 2015). </w:t>
      </w:r>
    </w:p>
    <w:p w:rsidR="003F4301" w:rsidRPr="00B06331" w:rsidRDefault="003F4301" w:rsidP="003A5A07">
      <w:pPr>
        <w:contextualSpacing/>
        <w:jc w:val="both"/>
        <w:rPr>
          <w:rFonts w:ascii="Avenir Book" w:hAnsi="Avenir Book"/>
        </w:rPr>
      </w:pPr>
    </w:p>
    <w:p w:rsidR="003A5A07" w:rsidRPr="00B06331" w:rsidRDefault="003A5A07" w:rsidP="003A5A07">
      <w:pPr>
        <w:jc w:val="both"/>
        <w:rPr>
          <w:rFonts w:ascii="Avenir Book" w:hAnsi="Avenir Book"/>
        </w:rPr>
      </w:pPr>
      <w:r w:rsidRPr="00B06331">
        <w:rPr>
          <w:rFonts w:ascii="Avenir Book" w:hAnsi="Avenir Book"/>
        </w:rPr>
        <w:t xml:space="preserve">In Gambian society, patriarchy dominants, and excludes women and girls from actively participating in certain sectors and at certain levels of the development process of the country. Women’s low control or ownership of the factors of production in agriculture- especially land and finances /credit is also cause for concern and this is despite their predominant role in farming </w:t>
      </w:r>
      <w:r w:rsidR="00FC45E9" w:rsidRPr="00B06331">
        <w:rPr>
          <w:rFonts w:ascii="Avenir Book" w:hAnsi="Avenir Book"/>
        </w:rPr>
        <w:t>and other economic activities</w:t>
      </w:r>
      <w:r w:rsidRPr="00B06331">
        <w:rPr>
          <w:rFonts w:ascii="Avenir Book" w:hAnsi="Avenir Book"/>
        </w:rPr>
        <w:t>.</w:t>
      </w:r>
    </w:p>
    <w:p w:rsidR="003A5A07" w:rsidRPr="00B06331" w:rsidRDefault="003A5A07" w:rsidP="003A5A07">
      <w:pPr>
        <w:contextualSpacing/>
        <w:jc w:val="both"/>
        <w:rPr>
          <w:rFonts w:cs="Calibri"/>
        </w:rPr>
      </w:pPr>
      <w:r w:rsidRPr="00B06331">
        <w:rPr>
          <w:rFonts w:ascii="Avenir Book" w:hAnsi="Avenir Book"/>
          <w:szCs w:val="24"/>
        </w:rPr>
        <w:t>The goal is to</w:t>
      </w:r>
      <w:r w:rsidRPr="00B06331">
        <w:rPr>
          <w:rFonts w:ascii="Avenir Book" w:hAnsi="Avenir Book"/>
          <w:sz w:val="24"/>
          <w:szCs w:val="24"/>
        </w:rPr>
        <w:t xml:space="preserve">: </w:t>
      </w:r>
      <w:r w:rsidRPr="00B06331">
        <w:rPr>
          <w:rFonts w:cs="Calibri"/>
          <w:b/>
          <w:i/>
        </w:rPr>
        <w:t>promote gender equity, equality and empowerment of women and girls for sustained socio-economic development.</w:t>
      </w:r>
      <w:r w:rsidRPr="00B06331">
        <w:rPr>
          <w:rFonts w:cs="Calibri"/>
        </w:rPr>
        <w:t xml:space="preserve"> Three outcomes (outcomes 10.1 – 10.3) have been identified to achieve this goal. </w:t>
      </w:r>
    </w:p>
    <w:p w:rsidR="003A5A07" w:rsidRPr="00B06331" w:rsidRDefault="003A5A07" w:rsidP="003A5A07">
      <w:pPr>
        <w:contextualSpacing/>
        <w:jc w:val="both"/>
        <w:rPr>
          <w:rFonts w:cs="Calibri"/>
        </w:rPr>
      </w:pPr>
    </w:p>
    <w:p w:rsidR="003F4301" w:rsidRPr="00B06331" w:rsidRDefault="003F4301" w:rsidP="003A5A07">
      <w:pPr>
        <w:contextualSpacing/>
        <w:jc w:val="both"/>
        <w:rPr>
          <w:rFonts w:ascii="Avenir Book" w:hAnsi="Avenir Book"/>
          <w:b/>
        </w:rPr>
      </w:pPr>
      <w:r w:rsidRPr="00B06331">
        <w:rPr>
          <w:rFonts w:ascii="Avenir Book" w:hAnsi="Avenir Book"/>
          <w:b/>
        </w:rPr>
        <w:t>Table 8.2: Key expected Results for Wo</w:t>
      </w:r>
      <w:r w:rsidR="004143E3" w:rsidRPr="00B06331">
        <w:rPr>
          <w:rFonts w:ascii="Avenir Book" w:hAnsi="Avenir Book"/>
          <w:b/>
        </w:rPr>
        <w:t xml:space="preserve">men’s Empowerment </w:t>
      </w:r>
    </w:p>
    <w:tbl>
      <w:tblPr>
        <w:tblStyle w:val="TableGrid"/>
        <w:tblW w:w="0" w:type="auto"/>
        <w:tblLook w:val="04A0"/>
      </w:tblPr>
      <w:tblGrid>
        <w:gridCol w:w="7285"/>
      </w:tblGrid>
      <w:tr w:rsidR="003F4301" w:rsidRPr="00B06331" w:rsidTr="003F4301">
        <w:tc>
          <w:tcPr>
            <w:tcW w:w="7285" w:type="dxa"/>
            <w:shd w:val="clear" w:color="auto" w:fill="D9E2F3" w:themeFill="accent1" w:themeFillTint="33"/>
          </w:tcPr>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Increase No. of gender mainstreamed sector policies from 4 to 16</w:t>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Decrease proportion of households below the poverty line headed by females from X% to X%</w:t>
            </w:r>
            <w:r w:rsidRPr="00B06331">
              <w:rPr>
                <w:rFonts w:ascii="Avenir Book" w:hAnsi="Avenir Book"/>
              </w:rPr>
              <w:tab/>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Existence of an enterprise development fund</w:t>
            </w:r>
            <w:r w:rsidRPr="00B06331">
              <w:rPr>
                <w:rFonts w:ascii="Avenir Book" w:hAnsi="Avenir Book"/>
              </w:rPr>
              <w:tab/>
            </w:r>
            <w:r w:rsidRPr="00B06331">
              <w:rPr>
                <w:rFonts w:ascii="Avenir Book" w:hAnsi="Avenir Book"/>
              </w:rPr>
              <w:tab/>
            </w:r>
            <w:r w:rsidRPr="00B06331">
              <w:rPr>
                <w:rFonts w:ascii="Avenir Book" w:hAnsi="Avenir Book"/>
              </w:rPr>
              <w:tab/>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Increase proportion of seats held by women in national parliaments from10% to 30%</w:t>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Increase proportion of women holding ministerial positions from 21% to 30%</w:t>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Decrease proportion of girls and women aged 15-49 who have undergone FGM/C from 75% to 50%</w:t>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Decrease proportion of women who are subjected to physical  violence from 40.9% to 10%</w:t>
            </w:r>
          </w:p>
          <w:p w:rsidR="003F4301" w:rsidRPr="00B06331" w:rsidRDefault="003F4301" w:rsidP="004143E3">
            <w:pPr>
              <w:pStyle w:val="ListParagraph"/>
              <w:numPr>
                <w:ilvl w:val="0"/>
                <w:numId w:val="52"/>
              </w:numPr>
              <w:jc w:val="both"/>
              <w:rPr>
                <w:rFonts w:ascii="Avenir Book" w:hAnsi="Avenir Book"/>
              </w:rPr>
            </w:pPr>
            <w:r w:rsidRPr="00B06331">
              <w:rPr>
                <w:rFonts w:ascii="Avenir Book" w:hAnsi="Avenir Book"/>
              </w:rPr>
              <w:t>Existence of a centre for survivors of domestic violence</w:t>
            </w:r>
            <w:r w:rsidRPr="00B06331">
              <w:rPr>
                <w:rFonts w:ascii="Avenir Book" w:hAnsi="Avenir Book"/>
              </w:rPr>
              <w:tab/>
            </w:r>
          </w:p>
        </w:tc>
      </w:tr>
    </w:tbl>
    <w:p w:rsidR="003A5A07" w:rsidRPr="00B06331" w:rsidRDefault="003A5A07" w:rsidP="003A5A07">
      <w:pPr>
        <w:pStyle w:val="ListParagraph"/>
        <w:ind w:left="0"/>
        <w:jc w:val="both"/>
        <w:rPr>
          <w:rFonts w:ascii="Times New Roman" w:eastAsia="MS Mincho" w:hAnsi="Times New Roman"/>
          <w:sz w:val="20"/>
          <w:szCs w:val="20"/>
        </w:rPr>
      </w:pPr>
    </w:p>
    <w:p w:rsidR="004521A9" w:rsidRPr="00B06331" w:rsidRDefault="004521A9" w:rsidP="003A5A07">
      <w:pPr>
        <w:contextualSpacing/>
        <w:jc w:val="both"/>
        <w:rPr>
          <w:rFonts w:cs="Calibri"/>
        </w:rPr>
      </w:pPr>
    </w:p>
    <w:p w:rsidR="004521A9" w:rsidRPr="00B06331" w:rsidRDefault="004521A9" w:rsidP="003A5A07">
      <w:pPr>
        <w:contextualSpacing/>
        <w:jc w:val="both"/>
        <w:rPr>
          <w:rFonts w:cs="Calibri"/>
          <w:b/>
          <w:i/>
          <w:color w:val="4472C4" w:themeColor="accent1"/>
        </w:rPr>
      </w:pPr>
      <w:r w:rsidRPr="00B06331">
        <w:rPr>
          <w:rFonts w:cs="Calibri"/>
          <w:b/>
          <w:i/>
          <w:color w:val="4472C4" w:themeColor="accent1"/>
        </w:rPr>
        <w:t>Outcome 10.1: Enhanced Women’s Economic Empowerment and Sustainable Livelihoods</w:t>
      </w:r>
      <w:bookmarkStart w:id="158" w:name="_Toc488689351"/>
    </w:p>
    <w:p w:rsidR="004143E3" w:rsidRPr="00B06331" w:rsidRDefault="004143E3" w:rsidP="003A5A07">
      <w:pPr>
        <w:contextualSpacing/>
        <w:jc w:val="both"/>
        <w:rPr>
          <w:rFonts w:cs="Calibri"/>
          <w:b/>
          <w:i/>
          <w:color w:val="4472C4" w:themeColor="accent1"/>
        </w:rPr>
      </w:pPr>
    </w:p>
    <w:p w:rsidR="003A5A07" w:rsidRPr="00B06331" w:rsidRDefault="003A5A07" w:rsidP="003A5A07">
      <w:pPr>
        <w:jc w:val="both"/>
        <w:rPr>
          <w:rFonts w:cs="Calibri"/>
          <w:b/>
        </w:rPr>
      </w:pPr>
      <w:r w:rsidRPr="00B06331">
        <w:rPr>
          <w:rFonts w:cs="Calibri"/>
          <w:b/>
        </w:rPr>
        <w:t>Gender mainstreaming</w:t>
      </w:r>
    </w:p>
    <w:p w:rsidR="003A5A07" w:rsidRPr="00B06331" w:rsidRDefault="003A5A07" w:rsidP="003A5A07">
      <w:pPr>
        <w:jc w:val="both"/>
        <w:rPr>
          <w:rFonts w:cs="Calibri"/>
        </w:rPr>
      </w:pPr>
      <w:r w:rsidRPr="00B06331">
        <w:rPr>
          <w:rFonts w:cs="Calibri"/>
        </w:rPr>
        <w:t>The integration of Gender analysis in sector policies and programmes is a significant mile</w:t>
      </w:r>
      <w:r w:rsidR="00474CCF" w:rsidRPr="00B06331">
        <w:rPr>
          <w:rFonts w:cs="Calibri"/>
        </w:rPr>
        <w:t>stone in ensuring sound design and programme</w:t>
      </w:r>
      <w:r w:rsidRPr="00B06331">
        <w:rPr>
          <w:rFonts w:cs="Calibri"/>
        </w:rPr>
        <w:t xml:space="preserve"> implementation.The Office of the Vice President, in collaboration with key stakeholders, will ensure the mainstreaming of gender in all sectoral policies, programmes and projects. Periodic assessment of sector policies will be undertaken and institutionalization of Gender Management System (Gender Focal Point Network, Gender Parliamentary Caucus, Cabinet Gender Committee, Technical Gender Committee, Gender Responsive Budgeting, and the Gender Equity Seal) will be pursued. Furthermore, OVP and </w:t>
      </w:r>
      <w:r w:rsidR="00474CCF" w:rsidRPr="00B06331">
        <w:rPr>
          <w:rFonts w:cs="Calibri"/>
        </w:rPr>
        <w:t>MoWA will work to ensure</w:t>
      </w:r>
      <w:r w:rsidRPr="00B06331">
        <w:rPr>
          <w:rFonts w:cs="Calibri"/>
        </w:rPr>
        <w:t xml:space="preserve"> coherence between the agricultural and trade policies to promote and protect women agricultural producers </w:t>
      </w:r>
      <w:r w:rsidR="00474CCF" w:rsidRPr="00B06331">
        <w:rPr>
          <w:rFonts w:cs="Calibri"/>
        </w:rPr>
        <w:t>as well as advocate for women to access</w:t>
      </w:r>
      <w:r w:rsidRPr="00B06331">
        <w:rPr>
          <w:rFonts w:cs="Calibri"/>
        </w:rPr>
        <w:t>, control, and own land through reviewing the Custom</w:t>
      </w:r>
      <w:r w:rsidR="004521A9" w:rsidRPr="00B06331">
        <w:rPr>
          <w:rFonts w:cs="Calibri"/>
        </w:rPr>
        <w:t xml:space="preserve">ary Law on land tenure system. </w:t>
      </w:r>
      <w:r w:rsidR="00474CCF" w:rsidRPr="00B06331">
        <w:rPr>
          <w:rFonts w:cs="Calibri"/>
        </w:rPr>
        <w:t xml:space="preserve">Under the </w:t>
      </w:r>
      <w:r w:rsidR="000E4D6C" w:rsidRPr="00B06331">
        <w:rPr>
          <w:rFonts w:cs="Calibri"/>
        </w:rPr>
        <w:t>plan,</w:t>
      </w:r>
      <w:r w:rsidR="00474CCF" w:rsidRPr="00B06331">
        <w:rPr>
          <w:rFonts w:cs="Calibri"/>
        </w:rPr>
        <w:t xml:space="preserve"> a full-fledged Ministry of Women Affairs will be established to ensure sustained momentum on enhancing women’s political and economic rights.</w:t>
      </w:r>
    </w:p>
    <w:p w:rsidR="003A5A07" w:rsidRPr="00B06331" w:rsidRDefault="003A5A07" w:rsidP="003A5A07">
      <w:pPr>
        <w:jc w:val="both"/>
        <w:rPr>
          <w:rFonts w:cs="Calibri"/>
          <w:b/>
        </w:rPr>
      </w:pPr>
      <w:r w:rsidRPr="00B06331">
        <w:rPr>
          <w:rFonts w:cs="Calibri"/>
          <w:b/>
        </w:rPr>
        <w:t>Capacity Development of Women Entrepreneurs</w:t>
      </w:r>
    </w:p>
    <w:p w:rsidR="003A5A07" w:rsidRPr="00B06331" w:rsidRDefault="003A5A07" w:rsidP="003A5A07">
      <w:pPr>
        <w:jc w:val="both"/>
        <w:rPr>
          <w:rFonts w:cs="Calibri"/>
        </w:rPr>
      </w:pPr>
      <w:r w:rsidRPr="00B06331">
        <w:rPr>
          <w:rFonts w:cs="Calibri"/>
        </w:rPr>
        <w:t xml:space="preserve">The Ministry of Women’s Affairs will focus on enhancing women economic empowerment through capacity development of women entrepreneurs who form most of the informal sector of the economy. Training of Women Groups in sustainable livelihood skills, entrepreneurship and group management will be conducted across the country during the implementation of the NDP. </w:t>
      </w:r>
      <w:r w:rsidR="00474CCF" w:rsidRPr="00B06331">
        <w:rPr>
          <w:rFonts w:cs="Calibri"/>
        </w:rPr>
        <w:t>Labour saving devices will be provided for women to reduce drudgery and work load.</w:t>
      </w:r>
    </w:p>
    <w:p w:rsidR="003A5A07" w:rsidRPr="00B06331" w:rsidRDefault="003A5A07" w:rsidP="003A5A07">
      <w:pPr>
        <w:jc w:val="both"/>
        <w:rPr>
          <w:rFonts w:cs="Calibri"/>
          <w:b/>
        </w:rPr>
      </w:pPr>
      <w:r w:rsidRPr="00B06331">
        <w:rPr>
          <w:rFonts w:cs="Calibri"/>
          <w:b/>
        </w:rPr>
        <w:t>Women Entrepreneurship Fund</w:t>
      </w:r>
    </w:p>
    <w:p w:rsidR="003A5A07" w:rsidRPr="00B06331" w:rsidRDefault="003A5A07" w:rsidP="003A5A07">
      <w:pPr>
        <w:jc w:val="both"/>
        <w:rPr>
          <w:rFonts w:cs="Calibri"/>
        </w:rPr>
      </w:pPr>
      <w:r w:rsidRPr="00B06331">
        <w:rPr>
          <w:rFonts w:cs="Calibri"/>
        </w:rPr>
        <w:t xml:space="preserve">A National Entrepreneurship Fund for women will be established and financed by Government and donor partners. This will ensure that women SMEs will have access to micro-credit services. </w:t>
      </w:r>
    </w:p>
    <w:p w:rsidR="003A5A07" w:rsidRPr="00B06331" w:rsidRDefault="004521A9" w:rsidP="003A5A07">
      <w:pPr>
        <w:jc w:val="both"/>
        <w:rPr>
          <w:rFonts w:cs="Calibri"/>
          <w:b/>
          <w:i/>
          <w:color w:val="4472C4" w:themeColor="accent1"/>
        </w:rPr>
      </w:pPr>
      <w:r w:rsidRPr="00B06331">
        <w:rPr>
          <w:rFonts w:cs="Calibri"/>
          <w:b/>
          <w:i/>
          <w:color w:val="4472C4" w:themeColor="accent1"/>
        </w:rPr>
        <w:t>Outcome 10.2: Increased Representation and Participation of Women in decision-making</w:t>
      </w:r>
    </w:p>
    <w:p w:rsidR="003A5A07" w:rsidRPr="00B06331" w:rsidRDefault="003A5A07" w:rsidP="003A5A07">
      <w:pPr>
        <w:jc w:val="both"/>
        <w:rPr>
          <w:rFonts w:cs="Calibri"/>
        </w:rPr>
      </w:pPr>
      <w:r w:rsidRPr="00B06331">
        <w:rPr>
          <w:rFonts w:cs="Calibri"/>
          <w:b/>
        </w:rPr>
        <w:t xml:space="preserve"> Legislative Reform</w:t>
      </w:r>
    </w:p>
    <w:p w:rsidR="00EB7E8A" w:rsidRPr="00B06331" w:rsidRDefault="00DF7DDA" w:rsidP="003A5A07">
      <w:pPr>
        <w:jc w:val="both"/>
        <w:rPr>
          <w:rFonts w:cs="Calibri"/>
        </w:rPr>
      </w:pPr>
      <w:r w:rsidRPr="00B06331">
        <w:rPr>
          <w:rFonts w:cs="Calibri"/>
        </w:rPr>
        <w:t>To address</w:t>
      </w:r>
      <w:r w:rsidR="003A5A07" w:rsidRPr="00B06331">
        <w:rPr>
          <w:rFonts w:cs="Calibri"/>
        </w:rPr>
        <w:t xml:space="preserve"> the underrepresentation of women in decision making positions, the Ministry of Women’s Affairs will support initiatives for legislative reform that will promulgate Affirmative Action (30 % quota system) in the 1997 Constitution of The Gambia, the 2005 Local Government Act, the District Tribunal Act as well as the 2015 Election Act. </w:t>
      </w:r>
    </w:p>
    <w:p w:rsidR="003A5A07" w:rsidRPr="00B06331" w:rsidRDefault="003A5A07" w:rsidP="003A5A07">
      <w:pPr>
        <w:jc w:val="both"/>
        <w:rPr>
          <w:rFonts w:cs="Calibri"/>
          <w:b/>
          <w:lang w:val="en-GB"/>
        </w:rPr>
      </w:pPr>
      <w:r w:rsidRPr="00B06331">
        <w:rPr>
          <w:rFonts w:cs="Calibri"/>
          <w:b/>
        </w:rPr>
        <w:t xml:space="preserve">Advocacy for Women’s participation in decision making </w:t>
      </w:r>
    </w:p>
    <w:p w:rsidR="003A5A07" w:rsidRPr="00B06331" w:rsidRDefault="003A5A07" w:rsidP="003A5A07">
      <w:pPr>
        <w:jc w:val="both"/>
        <w:rPr>
          <w:rFonts w:cs="Calibri"/>
        </w:rPr>
      </w:pPr>
      <w:r w:rsidRPr="00B06331">
        <w:rPr>
          <w:rFonts w:cs="Calibri"/>
        </w:rPr>
        <w:t xml:space="preserve">The Ministry will also undertake activities to sensitize communities on the importance of women’s representation in decision making structures such as the VDCs, WDCs, District Tribunals, Area Councils, </w:t>
      </w:r>
      <w:r w:rsidRPr="00B06331">
        <w:rPr>
          <w:rFonts w:cs="Calibri"/>
        </w:rPr>
        <w:lastRenderedPageBreak/>
        <w:t>Boards and Executive Committees, National Assembly, and Cabinet. Media advocacy programmes will also be conducted on the importance of women representation and participation in civil and political decision</w:t>
      </w:r>
      <w:r w:rsidR="00474CCF" w:rsidRPr="00B06331">
        <w:rPr>
          <w:rFonts w:cs="Calibri"/>
        </w:rPr>
        <w:t xml:space="preserve"> - making</w:t>
      </w:r>
      <w:r w:rsidRPr="00B06331">
        <w:rPr>
          <w:rFonts w:cs="Calibri"/>
        </w:rPr>
        <w:t xml:space="preserve">. </w:t>
      </w:r>
    </w:p>
    <w:p w:rsidR="003A5A07" w:rsidRPr="00B06331" w:rsidRDefault="003A5A07" w:rsidP="003A5A07">
      <w:pPr>
        <w:jc w:val="both"/>
        <w:rPr>
          <w:rFonts w:cs="Calibri"/>
        </w:rPr>
      </w:pPr>
      <w:r w:rsidRPr="00B06331">
        <w:rPr>
          <w:rFonts w:cs="Calibri"/>
          <w:lang w:val="en-GB"/>
        </w:rPr>
        <w:t>To ensure the mainstreaming of gender in politics, the M</w:t>
      </w:r>
      <w:r w:rsidR="00DF7DDA" w:rsidRPr="00B06331">
        <w:rPr>
          <w:rFonts w:cs="Calibri"/>
          <w:lang w:val="en-GB"/>
        </w:rPr>
        <w:t>inistry of Women’s Affairs, in</w:t>
      </w:r>
      <w:r w:rsidRPr="00B06331">
        <w:rPr>
          <w:rFonts w:cs="Calibri"/>
          <w:lang w:val="en-GB"/>
        </w:rPr>
        <w:t xml:space="preserve"> close collaboration with IEC,will conduct consultative sessions </w:t>
      </w:r>
      <w:r w:rsidRPr="00B06331">
        <w:rPr>
          <w:rFonts w:cs="Calibri"/>
        </w:rPr>
        <w:t>with all Political Parties during the implementation of the NDP</w:t>
      </w:r>
      <w:r w:rsidRPr="00B06331">
        <w:rPr>
          <w:rFonts w:cs="Calibri"/>
          <w:lang w:val="en-GB"/>
        </w:rPr>
        <w:t xml:space="preserve">, </w:t>
      </w:r>
      <w:r w:rsidRPr="00B06331">
        <w:rPr>
          <w:rFonts w:cs="Calibri"/>
        </w:rPr>
        <w:t xml:space="preserve">to instill gender sensitive political manifestos, nomination and selection committees in the electoral process. The Ministry will also strengthen and support civic education and mentorship programmes aimed at increasing women’s representation in political decision making and for aspiring female candidates respectively. </w:t>
      </w:r>
    </w:p>
    <w:p w:rsidR="003A5A07" w:rsidRPr="00B06331" w:rsidRDefault="003A5A07" w:rsidP="003A5A07">
      <w:pPr>
        <w:jc w:val="both"/>
        <w:rPr>
          <w:rFonts w:cs="Calibri"/>
          <w:b/>
          <w:lang w:val="en-GB"/>
        </w:rPr>
      </w:pPr>
      <w:r w:rsidRPr="00B06331">
        <w:rPr>
          <w:rFonts w:cs="Calibri"/>
          <w:b/>
          <w:lang w:val="en-GB"/>
        </w:rPr>
        <w:t>Support to Women</w:t>
      </w:r>
      <w:r w:rsidR="00802358" w:rsidRPr="00B06331">
        <w:rPr>
          <w:rFonts w:cs="Calibri"/>
          <w:b/>
          <w:lang w:val="en-GB"/>
        </w:rPr>
        <w:t>- led</w:t>
      </w:r>
      <w:r w:rsidRPr="00B06331">
        <w:rPr>
          <w:rFonts w:cs="Calibri"/>
          <w:b/>
          <w:lang w:val="en-GB"/>
        </w:rPr>
        <w:t xml:space="preserve"> initiatives</w:t>
      </w:r>
    </w:p>
    <w:p w:rsidR="003A5A07" w:rsidRPr="00B06331" w:rsidRDefault="003A5A07" w:rsidP="003A5A07">
      <w:pPr>
        <w:jc w:val="both"/>
        <w:rPr>
          <w:rFonts w:cs="Calibri"/>
        </w:rPr>
      </w:pPr>
      <w:r w:rsidRPr="00B06331">
        <w:rPr>
          <w:rFonts w:cs="Calibri"/>
          <w:lang w:val="en-GB"/>
        </w:rPr>
        <w:t xml:space="preserve">In pursuance of effective programme implementation, coordination, monitoring and evaluation in Gender mainstreaming, the Ministry of Women’s Affairs will support initiatives to </w:t>
      </w:r>
      <w:r w:rsidRPr="00B06331">
        <w:rPr>
          <w:rFonts w:cs="Calibri"/>
        </w:rPr>
        <w:t>strengthen the capacities of the National Women Federation and other women led initiatives through the creation of linkages between women organizations and donor partners as well as strengthen women organizations on good leadership.</w:t>
      </w:r>
    </w:p>
    <w:p w:rsidR="003A5A07" w:rsidRPr="00B06331" w:rsidRDefault="004521A9" w:rsidP="003A5A07">
      <w:pPr>
        <w:jc w:val="both"/>
        <w:rPr>
          <w:rFonts w:cs="Calibri"/>
          <w:b/>
          <w:i/>
          <w:color w:val="4472C4" w:themeColor="accent1"/>
        </w:rPr>
      </w:pPr>
      <w:r w:rsidRPr="00B06331">
        <w:rPr>
          <w:rFonts w:cs="Calibri"/>
          <w:b/>
          <w:i/>
          <w:color w:val="4472C4" w:themeColor="accent1"/>
        </w:rPr>
        <w:t>Outcome 8.3: Gender-based Violence Reduced</w:t>
      </w:r>
    </w:p>
    <w:p w:rsidR="003A5A07" w:rsidRPr="00B06331" w:rsidRDefault="003A5A07" w:rsidP="003A5A07">
      <w:pPr>
        <w:jc w:val="both"/>
        <w:rPr>
          <w:rFonts w:cs="Calibri"/>
          <w:b/>
        </w:rPr>
      </w:pPr>
      <w:r w:rsidRPr="00B06331">
        <w:rPr>
          <w:rFonts w:cs="Calibri"/>
          <w:b/>
        </w:rPr>
        <w:t xml:space="preserve">GBV Response mechanism </w:t>
      </w:r>
    </w:p>
    <w:p w:rsidR="003A5A07" w:rsidRPr="00B06331" w:rsidRDefault="003A5A07" w:rsidP="003A5A07">
      <w:pPr>
        <w:jc w:val="both"/>
        <w:rPr>
          <w:rFonts w:cs="Calibri"/>
          <w:lang w:val="en-GB"/>
        </w:rPr>
      </w:pPr>
      <w:r w:rsidRPr="00B06331">
        <w:rPr>
          <w:rFonts w:cs="Calibri"/>
        </w:rPr>
        <w:t xml:space="preserve">The ministry of Women’s Affairs will strengthen capacity of </w:t>
      </w:r>
      <w:r w:rsidR="00474CCF" w:rsidRPr="00B06331">
        <w:rPr>
          <w:rFonts w:cs="Calibri"/>
        </w:rPr>
        <w:t>all actors</w:t>
      </w:r>
      <w:r w:rsidRPr="00B06331">
        <w:rPr>
          <w:rFonts w:cs="Calibri"/>
        </w:rPr>
        <w:t xml:space="preserve"> to respond to GBV, FGM/C and child marriage, advocate for the enforcement of the laws such as Sexual Offenses Act 2013, Domestic Violence Act 2013, Women’s Amendment Act 2015 prohibiting FGM/C, as well as promote social mobilization and innovative approaches to protect and respond to GBV, FGM/C and child marriage.  The ministry will also train policy makers and law enforcement agents as well as conduct capacity building initiatives targeting communities to respond to gender discrimination and sexual violence. </w:t>
      </w:r>
    </w:p>
    <w:p w:rsidR="003A5A07" w:rsidRPr="00B06331" w:rsidRDefault="003A5A07" w:rsidP="003A5A07">
      <w:pPr>
        <w:jc w:val="both"/>
        <w:rPr>
          <w:rFonts w:cs="Calibri"/>
          <w:b/>
          <w:lang w:val="en-GB"/>
        </w:rPr>
      </w:pPr>
      <w:r w:rsidRPr="00B06331">
        <w:rPr>
          <w:rFonts w:cs="Calibri"/>
          <w:b/>
        </w:rPr>
        <w:t xml:space="preserve">Capacity Building </w:t>
      </w:r>
    </w:p>
    <w:p w:rsidR="003A5A07" w:rsidRPr="00B06331" w:rsidRDefault="003A5A07" w:rsidP="003A5A07">
      <w:pPr>
        <w:jc w:val="both"/>
        <w:rPr>
          <w:rFonts w:cs="Calibri"/>
        </w:rPr>
      </w:pPr>
      <w:r w:rsidRPr="00B06331">
        <w:rPr>
          <w:rFonts w:cs="Calibri"/>
        </w:rPr>
        <w:t>With support from donor partners, the ministry will integrate Gender and GBV into the training curricular of the National Army, Immigration, Fire Service, National Drug Enforcement Agency and Prison’s Department anddevelop a training manual on Gender and GBV as well as train Officers on the manual. Furthermore, Gender Units will be established and equipped in all the five security training institutions.</w:t>
      </w:r>
    </w:p>
    <w:p w:rsidR="003A5A07" w:rsidRPr="00B06331" w:rsidRDefault="003A5A07" w:rsidP="003A5A07">
      <w:pPr>
        <w:jc w:val="both"/>
        <w:rPr>
          <w:rFonts w:cs="Calibri"/>
          <w:b/>
          <w:lang w:val="en-GB"/>
        </w:rPr>
      </w:pPr>
      <w:r w:rsidRPr="00B06331">
        <w:rPr>
          <w:rFonts w:cs="Calibri"/>
          <w:b/>
        </w:rPr>
        <w:t>National Action Plan on GBV and FGM/C</w:t>
      </w:r>
    </w:p>
    <w:p w:rsidR="003A5A07" w:rsidRPr="00B06331" w:rsidRDefault="003A5A07" w:rsidP="003A5A07">
      <w:pPr>
        <w:jc w:val="both"/>
        <w:rPr>
          <w:rFonts w:cs="Calibri"/>
        </w:rPr>
      </w:pPr>
      <w:r w:rsidRPr="00B06331">
        <w:rPr>
          <w:rFonts w:cs="Calibri"/>
          <w:lang w:val="en-GB"/>
        </w:rPr>
        <w:t xml:space="preserve">A </w:t>
      </w:r>
      <w:r w:rsidRPr="00B06331">
        <w:rPr>
          <w:rFonts w:cs="Calibri"/>
        </w:rPr>
        <w:t xml:space="preserve">review and updating of the National Action Plan on GBV and FGM/C will be undertaken. The updated copies of the NAPs will be subjected to a national validation with key stakeholders. The National Steering Committee on GBV, chaired by the Office of the Vice President, will be responsible for the implementation, monitoring and evaluation of the NAPs. </w:t>
      </w:r>
    </w:p>
    <w:p w:rsidR="003A5A07" w:rsidRPr="00B06331" w:rsidRDefault="003A5A07" w:rsidP="003A5A07">
      <w:pPr>
        <w:jc w:val="both"/>
        <w:rPr>
          <w:rFonts w:cs="Calibri"/>
          <w:b/>
          <w:lang w:val="en-GB"/>
        </w:rPr>
      </w:pPr>
      <w:r w:rsidRPr="00B06331">
        <w:rPr>
          <w:rFonts w:cs="Calibri"/>
          <w:b/>
        </w:rPr>
        <w:lastRenderedPageBreak/>
        <w:t>Centre for survivors of GBV</w:t>
      </w:r>
    </w:p>
    <w:p w:rsidR="003A5A07" w:rsidRPr="00B06331" w:rsidRDefault="003A5A07" w:rsidP="003A5A07">
      <w:pPr>
        <w:jc w:val="both"/>
        <w:rPr>
          <w:rFonts w:cs="Calibri"/>
          <w:lang w:val="en-GB"/>
        </w:rPr>
      </w:pPr>
      <w:r w:rsidRPr="00B06331">
        <w:rPr>
          <w:rFonts w:cs="Calibri"/>
          <w:bCs/>
          <w:color w:val="000000"/>
        </w:rPr>
        <w:t xml:space="preserve">A Rehabilitation Centre will be established for the integration and counseling of the survivors of Domestic Violence. Similarly, One- Stop Centres will be established in all regional hospitals to respond to GBV cases and that of the </w:t>
      </w:r>
      <w:r w:rsidRPr="00B06331">
        <w:rPr>
          <w:rFonts w:cs="Calibri"/>
        </w:rPr>
        <w:t xml:space="preserve">EFSTH will be strengthened.  </w:t>
      </w:r>
      <w:r w:rsidRPr="00B06331">
        <w:rPr>
          <w:rFonts w:cs="Calibri"/>
          <w:bCs/>
          <w:color w:val="000000"/>
        </w:rPr>
        <w:t>GBV incidence registers will be administered in all police station</w:t>
      </w:r>
      <w:r w:rsidR="00474CCF" w:rsidRPr="00B06331">
        <w:rPr>
          <w:rFonts w:cs="Calibri"/>
          <w:bCs/>
          <w:color w:val="000000"/>
        </w:rPr>
        <w:t>s and health facilities. T</w:t>
      </w:r>
      <w:r w:rsidRPr="00B06331">
        <w:rPr>
          <w:rFonts w:cs="Calibri"/>
          <w:bCs/>
          <w:color w:val="000000"/>
        </w:rPr>
        <w:t xml:space="preserve">he national data base on GBV, centered at the Police Headquarters, will be strengthened. </w:t>
      </w:r>
    </w:p>
    <w:p w:rsidR="003A5A07" w:rsidRPr="00B06331" w:rsidRDefault="003A5A07" w:rsidP="003A5A07">
      <w:pPr>
        <w:jc w:val="both"/>
        <w:rPr>
          <w:rFonts w:cs="Calibri"/>
          <w:b/>
          <w:bCs/>
          <w:color w:val="000000"/>
        </w:rPr>
      </w:pPr>
      <w:r w:rsidRPr="00B06331">
        <w:rPr>
          <w:rFonts w:cs="Calibri"/>
          <w:b/>
          <w:bCs/>
          <w:color w:val="000000"/>
        </w:rPr>
        <w:t>Advocacy and sensitization</w:t>
      </w:r>
    </w:p>
    <w:p w:rsidR="003A5A07" w:rsidRPr="00B06331" w:rsidRDefault="003A5A07" w:rsidP="003A5A07">
      <w:pPr>
        <w:jc w:val="both"/>
        <w:rPr>
          <w:rFonts w:cs="Calibri"/>
        </w:rPr>
      </w:pPr>
      <w:r w:rsidRPr="00B06331">
        <w:rPr>
          <w:rFonts w:cs="Calibri"/>
        </w:rPr>
        <w:t>The National Steering Committee on GBV will conduct radio and TV program</w:t>
      </w:r>
      <w:r w:rsidR="00474CCF" w:rsidRPr="00B06331">
        <w:rPr>
          <w:rFonts w:cs="Calibri"/>
        </w:rPr>
        <w:t>s on GBV, FGM/C and child m</w:t>
      </w:r>
      <w:r w:rsidRPr="00B06331">
        <w:rPr>
          <w:rFonts w:cs="Calibri"/>
        </w:rPr>
        <w:t>arriage in partn</w:t>
      </w:r>
      <w:r w:rsidR="00474CCF" w:rsidRPr="00B06331">
        <w:rPr>
          <w:rFonts w:cs="Calibri"/>
        </w:rPr>
        <w:t>ership with security officers, p</w:t>
      </w:r>
      <w:r w:rsidRPr="00B06331">
        <w:rPr>
          <w:rFonts w:cs="Calibri"/>
        </w:rPr>
        <w:t xml:space="preserve">olicy </w:t>
      </w:r>
      <w:r w:rsidR="00474CCF" w:rsidRPr="00B06331">
        <w:rPr>
          <w:rFonts w:cs="Calibri"/>
        </w:rPr>
        <w:t>makers,</w:t>
      </w:r>
      <w:r w:rsidRPr="00B06331">
        <w:rPr>
          <w:rFonts w:cs="Calibri"/>
        </w:rPr>
        <w:t xml:space="preserve"> and other Law Enforcement Agents as well as support documentation and reporting of cases on GBV, FGM/C and Child Marriage. A review and updating of the communication strategy on GBV, Child Marriage and FGM/C will be undertaken. Following a national validation, the strategy will subsequently be circulated to all MDAs. IEC materials will also be developed and printed. </w:t>
      </w:r>
    </w:p>
    <w:p w:rsidR="003A5A07" w:rsidRPr="00B06331" w:rsidRDefault="003A5A07" w:rsidP="003A5A07">
      <w:pPr>
        <w:jc w:val="both"/>
        <w:rPr>
          <w:rFonts w:cs="Calibri"/>
          <w:b/>
          <w:lang w:val="en-GB"/>
        </w:rPr>
      </w:pPr>
      <w:r w:rsidRPr="00B06331">
        <w:rPr>
          <w:rFonts w:cs="Calibri"/>
          <w:b/>
        </w:rPr>
        <w:t>GBV national study</w:t>
      </w:r>
    </w:p>
    <w:p w:rsidR="003A5A07" w:rsidRPr="00B06331" w:rsidRDefault="003A5A07" w:rsidP="003A5A07">
      <w:pPr>
        <w:jc w:val="both"/>
        <w:rPr>
          <w:rFonts w:cs="Calibri"/>
        </w:rPr>
      </w:pPr>
      <w:r w:rsidRPr="00B06331">
        <w:rPr>
          <w:rFonts w:cs="Calibri"/>
        </w:rPr>
        <w:t xml:space="preserve">National studies on GBV and Child Marriage, and epidemiology study on FGM/C will be undertaken in all medical facilities to ascertain the prevalence of FGM/C on children aged 0-5.  The study will be conducted in 2 years. The reports will be subjected to a national validation and copies will be printed and subsequently circulated to all MDAs. </w:t>
      </w:r>
    </w:p>
    <w:p w:rsidR="003A5A07" w:rsidRPr="00B06331" w:rsidRDefault="003A5A07" w:rsidP="003A5A07">
      <w:pPr>
        <w:jc w:val="both"/>
        <w:rPr>
          <w:rFonts w:cs="Calibri"/>
          <w:b/>
          <w:lang w:val="en-GB"/>
        </w:rPr>
      </w:pPr>
      <w:r w:rsidRPr="00B06331">
        <w:rPr>
          <w:rFonts w:cs="Calibri"/>
          <w:b/>
          <w:lang w:val="en-GB"/>
        </w:rPr>
        <w:t xml:space="preserve">Reporting on Treaty Bodies </w:t>
      </w:r>
    </w:p>
    <w:p w:rsidR="003A5A07" w:rsidRPr="00B06331" w:rsidRDefault="00474CCF" w:rsidP="003A5A07">
      <w:pPr>
        <w:jc w:val="both"/>
        <w:rPr>
          <w:rFonts w:cs="Calibri"/>
          <w:lang w:val="en-GB"/>
        </w:rPr>
      </w:pPr>
      <w:r w:rsidRPr="00B06331">
        <w:rPr>
          <w:rFonts w:cs="Calibri"/>
        </w:rPr>
        <w:t>In fulfillment of its reporting obligations, Government</w:t>
      </w:r>
      <w:r w:rsidR="003A5A07" w:rsidRPr="00B06331">
        <w:rPr>
          <w:rFonts w:cs="Calibri"/>
        </w:rPr>
        <w:t xml:space="preserve"> will develop and submit periodic reports on the implementation of international treaties and conventions such as the UN CEDAW, AU Solemn Declaration on Human and People’s Right and on the Rights of Women in Africa, United Nations Security Council Resolution </w:t>
      </w:r>
      <w:r w:rsidR="005E3B07" w:rsidRPr="00B06331">
        <w:rPr>
          <w:rFonts w:cs="Calibri"/>
        </w:rPr>
        <w:t>1325,</w:t>
      </w:r>
      <w:r w:rsidR="003A5A07" w:rsidRPr="00B06331">
        <w:rPr>
          <w:rFonts w:cs="Calibri"/>
        </w:rPr>
        <w:t xml:space="preserve"> and the Beijing +25. </w:t>
      </w:r>
    </w:p>
    <w:p w:rsidR="003A5A07" w:rsidRPr="00B06331" w:rsidRDefault="003A5A07" w:rsidP="003A5A07">
      <w:pPr>
        <w:jc w:val="both"/>
        <w:rPr>
          <w:rFonts w:cs="Calibri"/>
          <w:b/>
        </w:rPr>
      </w:pPr>
      <w:r w:rsidRPr="00B06331">
        <w:rPr>
          <w:rFonts w:cs="Calibri"/>
          <w:b/>
        </w:rPr>
        <w:t xml:space="preserve">Monitoring and Evaluation </w:t>
      </w:r>
    </w:p>
    <w:p w:rsidR="009427E4" w:rsidRPr="00B06331" w:rsidRDefault="003A5A07" w:rsidP="004143E3">
      <w:pPr>
        <w:jc w:val="both"/>
        <w:rPr>
          <w:rFonts w:cs="Calibri"/>
        </w:rPr>
      </w:pPr>
      <w:r w:rsidRPr="00B06331">
        <w:rPr>
          <w:rFonts w:cs="Calibri"/>
        </w:rPr>
        <w:t>The Office of the Vice President and Ministry of Women’s Affairs will conduct quarterly monitoring of programme activities and report on the status of the implementation of the NDP. The capacity of Women’s Bureau will be strengthened to effectively implement the National Gender and Women Empowerment Policy 2010-2020.</w:t>
      </w:r>
    </w:p>
    <w:p w:rsidR="003A5A07" w:rsidRPr="00B06331" w:rsidRDefault="003A5A07" w:rsidP="003A5A07">
      <w:pPr>
        <w:pStyle w:val="Heading2"/>
        <w:rPr>
          <w:rFonts w:ascii="Calibri" w:hAnsi="Calibri" w:cs="Calibri"/>
          <w:caps/>
          <w:sz w:val="22"/>
          <w:szCs w:val="22"/>
        </w:rPr>
      </w:pPr>
      <w:bookmarkStart w:id="159" w:name="_Toc492364795"/>
      <w:r w:rsidRPr="00B06331">
        <w:rPr>
          <w:rFonts w:ascii="Calibri" w:hAnsi="Calibri" w:cs="Calibri"/>
          <w:sz w:val="22"/>
          <w:szCs w:val="22"/>
        </w:rPr>
        <w:t>8.4 Environment, Natural Resources, Climate Change&amp; Disaster Risk Reduction</w:t>
      </w:r>
      <w:bookmarkEnd w:id="158"/>
      <w:bookmarkEnd w:id="159"/>
    </w:p>
    <w:p w:rsidR="003A5A07" w:rsidRPr="00B06331" w:rsidRDefault="003A5A07" w:rsidP="003A5A07">
      <w:pPr>
        <w:jc w:val="both"/>
        <w:rPr>
          <w:rFonts w:ascii="Avenir Book" w:eastAsia="Cambria" w:hAnsi="Avenir Book"/>
          <w:sz w:val="20"/>
          <w:szCs w:val="24"/>
        </w:rPr>
      </w:pPr>
      <w:r w:rsidRPr="00B06331">
        <w:rPr>
          <w:rFonts w:ascii="Avenir Book" w:hAnsi="Avenir Book"/>
          <w:szCs w:val="24"/>
        </w:rPr>
        <w:t xml:space="preserve">The Gambia is susceptible to the vagaries of the environment and climate change, e.g. droughts and flooding which cause much damage to coastal ecosystems, farmlands, </w:t>
      </w:r>
      <w:r w:rsidR="00AD467B" w:rsidRPr="00B06331">
        <w:rPr>
          <w:rFonts w:ascii="Avenir Book" w:hAnsi="Avenir Book"/>
          <w:szCs w:val="24"/>
        </w:rPr>
        <w:t>settlements,</w:t>
      </w:r>
      <w:r w:rsidRPr="00B06331">
        <w:rPr>
          <w:rFonts w:ascii="Avenir Book" w:hAnsi="Avenir Book"/>
          <w:szCs w:val="24"/>
        </w:rPr>
        <w:t xml:space="preserve"> and livestock. The major issues affecting the environment sector are land degradation, coastal erosion, loss of forest cover, biodiversity loss, ineffective </w:t>
      </w:r>
      <w:r w:rsidR="00AD467B" w:rsidRPr="00B06331">
        <w:rPr>
          <w:rFonts w:ascii="Avenir Book" w:hAnsi="Avenir Book"/>
          <w:szCs w:val="24"/>
        </w:rPr>
        <w:t>waste,</w:t>
      </w:r>
      <w:r w:rsidRPr="00B06331">
        <w:rPr>
          <w:rFonts w:ascii="Avenir Book" w:hAnsi="Avenir Book"/>
          <w:szCs w:val="24"/>
        </w:rPr>
        <w:t xml:space="preserve">and pesticides management. Deforestation through illegal </w:t>
      </w:r>
      <w:r w:rsidRPr="00B06331">
        <w:rPr>
          <w:rFonts w:ascii="Avenir Book" w:hAnsi="Avenir Book"/>
          <w:szCs w:val="24"/>
        </w:rPr>
        <w:lastRenderedPageBreak/>
        <w:t xml:space="preserve">logging and bushfires, sand mining, illegal settlements and other uncontrolled activities are the main contributing factors in a situation already made precarious by climate change. </w:t>
      </w:r>
    </w:p>
    <w:p w:rsidR="003A5A07" w:rsidRPr="00B06331" w:rsidRDefault="003A5A07" w:rsidP="003A5A07">
      <w:pPr>
        <w:tabs>
          <w:tab w:val="left" w:pos="720"/>
        </w:tabs>
        <w:spacing w:before="120" w:after="120"/>
        <w:jc w:val="both"/>
        <w:rPr>
          <w:rFonts w:ascii="Avenir Book" w:hAnsi="Avenir Book"/>
          <w:szCs w:val="24"/>
        </w:rPr>
      </w:pPr>
      <w:r w:rsidRPr="00B06331">
        <w:rPr>
          <w:rFonts w:ascii="Avenir Book" w:hAnsi="Avenir Book"/>
          <w:szCs w:val="24"/>
        </w:rPr>
        <w:t>The impact of Climate Change (CC) has emerged as one of the most significant external factors hindering the performance of the growth-driving sectors, especially agriculture, tourism and industry which have the greatest impact on the economy.</w:t>
      </w:r>
    </w:p>
    <w:p w:rsidR="003A5A07" w:rsidRPr="00B06331" w:rsidRDefault="003A5A07" w:rsidP="003A5A07">
      <w:pPr>
        <w:jc w:val="both"/>
        <w:rPr>
          <w:rFonts w:ascii="Avenir Book" w:hAnsi="Avenir Book"/>
          <w:b/>
          <w:i/>
          <w:color w:val="000000"/>
        </w:rPr>
      </w:pPr>
      <w:r w:rsidRPr="00B06331">
        <w:t>To address these complex set of issues, the N</w:t>
      </w:r>
      <w:r w:rsidR="006C657B" w:rsidRPr="00B06331">
        <w:t>DP goal for the environment sector</w:t>
      </w:r>
      <w:r w:rsidRPr="00B06331">
        <w:t xml:space="preserve">is to: </w:t>
      </w:r>
      <w:r w:rsidRPr="00B06331">
        <w:rPr>
          <w:b/>
          <w:i/>
        </w:rPr>
        <w:t xml:space="preserve">ensure that </w:t>
      </w:r>
      <w:r w:rsidRPr="00B06331">
        <w:rPr>
          <w:rFonts w:ascii="Avenir Book" w:hAnsi="Avenir Book"/>
          <w:b/>
          <w:i/>
          <w:color w:val="000000"/>
        </w:rPr>
        <w:t xml:space="preserve">Gambia’s environment and natural resources are sustainably managed and conserved to increase resilience for the benefit of all. </w:t>
      </w:r>
    </w:p>
    <w:p w:rsidR="00AD467B" w:rsidRPr="00B06331" w:rsidRDefault="00AD467B" w:rsidP="003A5A07">
      <w:pPr>
        <w:jc w:val="both"/>
        <w:rPr>
          <w:rFonts w:cs="Calibri"/>
          <w:b/>
        </w:rPr>
      </w:pPr>
      <w:r w:rsidRPr="00B06331">
        <w:rPr>
          <w:rFonts w:cs="Calibri"/>
          <w:b/>
        </w:rPr>
        <w:t>Table 8.3: Key expected results for Environment, Natural Resources, Climate Change&amp; Disast</w:t>
      </w:r>
      <w:r w:rsidR="004143E3" w:rsidRPr="00B06331">
        <w:rPr>
          <w:rFonts w:cs="Calibri"/>
          <w:b/>
        </w:rPr>
        <w:t xml:space="preserve">er Risk Reduction </w:t>
      </w:r>
    </w:p>
    <w:tbl>
      <w:tblPr>
        <w:tblStyle w:val="TableGrid"/>
        <w:tblW w:w="0" w:type="auto"/>
        <w:tblLook w:val="04A0"/>
      </w:tblPr>
      <w:tblGrid>
        <w:gridCol w:w="7015"/>
      </w:tblGrid>
      <w:tr w:rsidR="00AD467B" w:rsidRPr="00B06331" w:rsidTr="00AD467B">
        <w:tc>
          <w:tcPr>
            <w:tcW w:w="7015" w:type="dxa"/>
            <w:shd w:val="clear" w:color="auto" w:fill="D9E2F3" w:themeFill="accent1" w:themeFillTint="33"/>
          </w:tcPr>
          <w:p w:rsidR="00AD467B" w:rsidRPr="00B06331" w:rsidRDefault="00AD467B" w:rsidP="004143E3">
            <w:pPr>
              <w:pStyle w:val="ListParagraph"/>
              <w:numPr>
                <w:ilvl w:val="0"/>
                <w:numId w:val="52"/>
              </w:numPr>
              <w:jc w:val="both"/>
            </w:pPr>
            <w:r w:rsidRPr="00B06331">
              <w:t xml:space="preserve">Decrease CO2 emission from Btw 2118 to 2528 GgCo2e (2016) to Btw 967.9 to 1155 GgCo2e  </w:t>
            </w:r>
          </w:p>
          <w:p w:rsidR="00AD467B" w:rsidRPr="00B06331" w:rsidRDefault="00AD467B" w:rsidP="004143E3">
            <w:pPr>
              <w:pStyle w:val="ListParagraph"/>
              <w:numPr>
                <w:ilvl w:val="0"/>
                <w:numId w:val="52"/>
              </w:numPr>
              <w:jc w:val="both"/>
            </w:pPr>
            <w:r w:rsidRPr="00B06331">
              <w:t>Availability of a updated NEMA</w:t>
            </w:r>
            <w:r w:rsidRPr="00B06331">
              <w:tab/>
            </w:r>
          </w:p>
          <w:p w:rsidR="00AD467B" w:rsidRPr="00B06331" w:rsidRDefault="00AD467B" w:rsidP="004143E3">
            <w:pPr>
              <w:pStyle w:val="ListParagraph"/>
              <w:numPr>
                <w:ilvl w:val="0"/>
                <w:numId w:val="52"/>
              </w:numPr>
              <w:jc w:val="both"/>
            </w:pPr>
            <w:r w:rsidRPr="00B06331">
              <w:t>Increase number of communities implementing adaptive mechanisms from 10</w:t>
            </w:r>
            <w:r w:rsidRPr="00B06331">
              <w:tab/>
              <w:t>to 100</w:t>
            </w:r>
          </w:p>
          <w:p w:rsidR="00AD467B" w:rsidRPr="00B06331" w:rsidRDefault="00AD467B" w:rsidP="004143E3">
            <w:pPr>
              <w:pStyle w:val="ListParagraph"/>
              <w:numPr>
                <w:ilvl w:val="0"/>
                <w:numId w:val="52"/>
              </w:numPr>
              <w:jc w:val="both"/>
            </w:pPr>
            <w:r w:rsidRPr="00B06331">
              <w:t>EWEA Available nationwide</w:t>
            </w:r>
            <w:r w:rsidRPr="00B06331">
              <w:tab/>
            </w:r>
          </w:p>
          <w:p w:rsidR="00AD467B" w:rsidRPr="00B06331" w:rsidRDefault="00AD467B" w:rsidP="004143E3">
            <w:pPr>
              <w:pStyle w:val="ListParagraph"/>
              <w:numPr>
                <w:ilvl w:val="0"/>
                <w:numId w:val="52"/>
              </w:numPr>
              <w:jc w:val="both"/>
            </w:pPr>
            <w:r w:rsidRPr="00B06331">
              <w:t>Increase % of wildlife protected areas for coastal and marine from 7.4% to 10%</w:t>
            </w:r>
          </w:p>
          <w:p w:rsidR="00AD467B" w:rsidRPr="00B06331" w:rsidRDefault="00AD467B" w:rsidP="004143E3">
            <w:pPr>
              <w:pStyle w:val="ListParagraph"/>
              <w:numPr>
                <w:ilvl w:val="0"/>
                <w:numId w:val="52"/>
              </w:numPr>
              <w:jc w:val="both"/>
            </w:pPr>
            <w:r w:rsidRPr="00B06331">
              <w:t>Increase % of wildlife protected areas for terrestrial and inland from 0.16% to 5</w:t>
            </w:r>
          </w:p>
          <w:p w:rsidR="00AD467B" w:rsidRPr="00B06331" w:rsidRDefault="00AD467B" w:rsidP="004143E3">
            <w:pPr>
              <w:pStyle w:val="ListParagraph"/>
              <w:numPr>
                <w:ilvl w:val="0"/>
                <w:numId w:val="52"/>
              </w:numPr>
              <w:jc w:val="both"/>
            </w:pPr>
            <w:r w:rsidRPr="00B06331">
              <w:t>Increase area of forest under community management</w:t>
            </w:r>
            <w:r w:rsidRPr="00B06331">
              <w:tab/>
              <w:t xml:space="preserve"> from 70,000 hectares to 200,000 hectares</w:t>
            </w:r>
          </w:p>
        </w:tc>
      </w:tr>
    </w:tbl>
    <w:p w:rsidR="00AD467B" w:rsidRPr="00B06331" w:rsidRDefault="00AD467B" w:rsidP="003A5A07">
      <w:pPr>
        <w:jc w:val="both"/>
        <w:rPr>
          <w:rFonts w:ascii="Avenir Book" w:hAnsi="Avenir Book"/>
          <w:color w:val="000000"/>
        </w:rPr>
      </w:pPr>
    </w:p>
    <w:p w:rsidR="004143E3" w:rsidRPr="00B06331" w:rsidRDefault="004143E3" w:rsidP="003A5A07">
      <w:pPr>
        <w:jc w:val="both"/>
      </w:pPr>
      <w:r w:rsidRPr="00B06331">
        <w:rPr>
          <w:rFonts w:ascii="Avenir Book" w:hAnsi="Avenir Book"/>
          <w:color w:val="000000"/>
        </w:rPr>
        <w:t>The three outcomes to achieve this goal (outcomes 11.1 – 11.3) and the related interventions are presented below.</w:t>
      </w:r>
    </w:p>
    <w:p w:rsidR="00AD467B" w:rsidRPr="00B06331" w:rsidRDefault="00AD467B" w:rsidP="003A5A07">
      <w:pPr>
        <w:jc w:val="both"/>
        <w:rPr>
          <w:rFonts w:ascii="Avenir Book" w:hAnsi="Avenir Book"/>
          <w:color w:val="000000"/>
        </w:rPr>
      </w:pPr>
      <w:r w:rsidRPr="00B06331">
        <w:rPr>
          <w:b/>
          <w:i/>
          <w:color w:val="4472C4" w:themeColor="accent1"/>
        </w:rPr>
        <w:t>Outcome 11.1 Environment and Climate Change-friendly Policies, Programmes and Awareness strengthened at all levels for Resilience</w:t>
      </w:r>
    </w:p>
    <w:p w:rsidR="003A5A07" w:rsidRPr="00B06331" w:rsidRDefault="003A5A07" w:rsidP="003A5A07">
      <w:pPr>
        <w:jc w:val="both"/>
        <w:rPr>
          <w:rFonts w:ascii="Avenir Book" w:eastAsia="MS Mincho" w:hAnsi="Avenir Book"/>
          <w:b/>
        </w:rPr>
      </w:pPr>
      <w:r w:rsidRPr="00B06331">
        <w:rPr>
          <w:rFonts w:ascii="Avenir Book" w:eastAsia="MS Mincho" w:hAnsi="Avenir Book"/>
          <w:b/>
        </w:rPr>
        <w:t xml:space="preserve">Establish appropriate, </w:t>
      </w:r>
      <w:r w:rsidR="00AD467B" w:rsidRPr="00B06331">
        <w:rPr>
          <w:rFonts w:ascii="Avenir Book" w:eastAsia="MS Mincho" w:hAnsi="Avenir Book"/>
          <w:b/>
        </w:rPr>
        <w:t>functional,</w:t>
      </w:r>
      <w:r w:rsidRPr="00B06331">
        <w:rPr>
          <w:rFonts w:ascii="Avenir Book" w:eastAsia="MS Mincho" w:hAnsi="Avenir Book"/>
          <w:b/>
        </w:rPr>
        <w:t xml:space="preserve"> and well-coordinated institutional and regulatory framework for enhanced enforcement of environmental laws</w:t>
      </w:r>
    </w:p>
    <w:p w:rsidR="00DF7DDA" w:rsidRPr="00B06331" w:rsidRDefault="003A5A07" w:rsidP="003A5A07">
      <w:pPr>
        <w:jc w:val="both"/>
        <w:rPr>
          <w:rFonts w:ascii="Avenir Book" w:eastAsia="MS Mincho" w:hAnsi="Avenir Book"/>
        </w:rPr>
      </w:pPr>
      <w:r w:rsidRPr="00B06331">
        <w:rPr>
          <w:rFonts w:ascii="Avenir Book" w:eastAsia="MS Mincho" w:hAnsi="Avenir Book"/>
        </w:rPr>
        <w:t xml:space="preserve">Some of the main obstacles hampering sustainable environmental management in the Gambia are the existing poor institutional and regulatory framework, combined </w:t>
      </w:r>
      <w:r w:rsidR="006C657B" w:rsidRPr="00B06331">
        <w:rPr>
          <w:rFonts w:ascii="Avenir Book" w:eastAsia="MS Mincho" w:hAnsi="Avenir Book"/>
        </w:rPr>
        <w:t>with the poor enforcement of</w:t>
      </w:r>
      <w:r w:rsidRPr="00B06331">
        <w:rPr>
          <w:rFonts w:ascii="Avenir Book" w:eastAsia="MS Mincho" w:hAnsi="Avenir Book"/>
        </w:rPr>
        <w:t xml:space="preserve"> existing environmental legislations. </w:t>
      </w:r>
      <w:r w:rsidR="006C657B" w:rsidRPr="00B06331">
        <w:rPr>
          <w:rFonts w:ascii="Avenir Book" w:eastAsia="MS Mincho" w:hAnsi="Avenir Book"/>
        </w:rPr>
        <w:t>E</w:t>
      </w:r>
      <w:r w:rsidRPr="00B06331">
        <w:rPr>
          <w:rFonts w:ascii="Avenir Book" w:eastAsia="MS Mincho" w:hAnsi="Avenir Book"/>
        </w:rPr>
        <w:t>nvironmental issues such as land degradation, coastal erosion, loss of forest cover, biodiversity loss, ineffective waste and pesticides management can severely hamper the development of the Gambia if the situation is left unchecked.</w:t>
      </w:r>
    </w:p>
    <w:p w:rsidR="003A5A07" w:rsidRPr="00B06331" w:rsidRDefault="003A5A07" w:rsidP="003A5A07">
      <w:pPr>
        <w:jc w:val="both"/>
        <w:rPr>
          <w:rFonts w:ascii="Avenir Book" w:eastAsia="MS Mincho" w:hAnsi="Avenir Book"/>
        </w:rPr>
      </w:pPr>
      <w:r w:rsidRPr="00B06331">
        <w:rPr>
          <w:rFonts w:ascii="Avenir Book" w:eastAsia="MS Mincho" w:hAnsi="Avenir Book"/>
        </w:rPr>
        <w:t xml:space="preserve">Government will review the existing Act (NEMA, 1994) </w:t>
      </w:r>
      <w:r w:rsidR="006C657B" w:rsidRPr="00B06331">
        <w:rPr>
          <w:rFonts w:ascii="Avenir Book" w:eastAsia="MS Mincho" w:hAnsi="Avenir Book"/>
        </w:rPr>
        <w:t>and</w:t>
      </w:r>
      <w:r w:rsidRPr="00B06331">
        <w:rPr>
          <w:rFonts w:ascii="Avenir Book" w:eastAsia="MS Mincho" w:hAnsi="Avenir Book"/>
        </w:rPr>
        <w:t xml:space="preserve"> strengthen the institutional and regulatory framework for the Environment such as the inactive National Environmental Management Council which is chaired by the President of the Republic. The role of all stakeho</w:t>
      </w:r>
      <w:r w:rsidR="006C657B" w:rsidRPr="00B06331">
        <w:rPr>
          <w:rFonts w:ascii="Avenir Book" w:eastAsia="MS Mincho" w:hAnsi="Avenir Book"/>
        </w:rPr>
        <w:t>lders in the management of the e</w:t>
      </w:r>
      <w:r w:rsidRPr="00B06331">
        <w:rPr>
          <w:rFonts w:ascii="Avenir Book" w:eastAsia="MS Mincho" w:hAnsi="Avenir Book"/>
        </w:rPr>
        <w:t xml:space="preserve">nvironment willbe clearly outlined to ensure that all implementing partners are given adequate </w:t>
      </w:r>
      <w:r w:rsidRPr="00B06331">
        <w:rPr>
          <w:rFonts w:ascii="Avenir Book" w:eastAsia="MS Mincho" w:hAnsi="Avenir Book"/>
        </w:rPr>
        <w:lastRenderedPageBreak/>
        <w:t>support to achieve their mandate. The strategic environmental assessment (SEA) which deals with environmental policies will also be implemented.</w:t>
      </w:r>
    </w:p>
    <w:p w:rsidR="003A5A07" w:rsidRPr="00B06331" w:rsidRDefault="003A5A07" w:rsidP="003A5A07">
      <w:pPr>
        <w:rPr>
          <w:b/>
          <w:bCs/>
        </w:rPr>
      </w:pPr>
      <w:r w:rsidRPr="00B06331">
        <w:rPr>
          <w:b/>
        </w:rPr>
        <w:t>Undertake advocacy and sensitization programs to build awareness and knowledge at all levels</w:t>
      </w:r>
    </w:p>
    <w:p w:rsidR="003A5A07" w:rsidRPr="00B06331" w:rsidRDefault="00DF7DDA" w:rsidP="00AD467B">
      <w:pPr>
        <w:jc w:val="both"/>
      </w:pPr>
      <w:r w:rsidRPr="00B06331">
        <w:t>Under the</w:t>
      </w:r>
      <w:r w:rsidR="003A5A07" w:rsidRPr="00B06331">
        <w:t xml:space="preserve"> plan, advocacy and sensitization would be continued to improve the awareness level of both public and private group</w:t>
      </w:r>
      <w:r w:rsidR="006C657B" w:rsidRPr="00B06331">
        <w:t>s</w:t>
      </w:r>
      <w:r w:rsidR="003A5A07" w:rsidRPr="00B06331">
        <w:t xml:space="preserve"> on the various environmental laws and regulations as well as</w:t>
      </w:r>
      <w:r w:rsidR="006C657B" w:rsidRPr="00B06331">
        <w:t xml:space="preserve"> international conventions </w:t>
      </w:r>
      <w:r w:rsidR="003A5A07" w:rsidRPr="00B06331">
        <w:t xml:space="preserve">the Gambia is </w:t>
      </w:r>
      <w:r w:rsidR="006C657B" w:rsidRPr="00B06331">
        <w:t xml:space="preserve">a </w:t>
      </w:r>
      <w:r w:rsidR="003A5A07" w:rsidRPr="00B06331">
        <w:t>party to. This is in line with Article 6 of the UNFCCC that promotes awareness raising on climate change related issues</w:t>
      </w:r>
      <w:r w:rsidR="006C657B" w:rsidRPr="00B06331">
        <w:t>. T</w:t>
      </w:r>
      <w:r w:rsidR="003A5A07" w:rsidRPr="00B06331">
        <w:t>o achieve a high level of compliance</w:t>
      </w:r>
      <w:r w:rsidR="006C657B" w:rsidRPr="00B06331">
        <w:t xml:space="preserve"> on environmental r</w:t>
      </w:r>
      <w:r w:rsidR="003A5A07" w:rsidRPr="00B06331">
        <w:t xml:space="preserve">egulations, Government will undertake rigorous public awareness and educational measures while simultaneously embarking onenvironmental </w:t>
      </w:r>
      <w:r w:rsidR="00AD467B" w:rsidRPr="00B06331">
        <w:t xml:space="preserve">law enforcement. </w:t>
      </w:r>
    </w:p>
    <w:p w:rsidR="003A5A07" w:rsidRPr="00B06331" w:rsidRDefault="003A5A07" w:rsidP="003A5A07">
      <w:pPr>
        <w:rPr>
          <w:b/>
          <w:bCs/>
        </w:rPr>
      </w:pPr>
      <w:r w:rsidRPr="00B06331">
        <w:rPr>
          <w:b/>
        </w:rPr>
        <w:t>Develop human and institutional capacities for sound environmental management</w:t>
      </w:r>
    </w:p>
    <w:p w:rsidR="003A5A07" w:rsidRPr="00B06331" w:rsidRDefault="003A5A07" w:rsidP="003A5A07">
      <w:r w:rsidRPr="00B06331">
        <w:t>One of the major constraints impacting environmental management is the inadequate capacity and limited skills of both environmental practitioners and national stakeholders. This indirectlyaffects and contributes to environment and health hazards.</w:t>
      </w: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 xml:space="preserve">As part of the ongoing decentralization and capacity building process, the National Environment Agency has established regional offices as well as Agriculture and Natural Resources Working Group (ANR-WG) in all the regions of The Gambia. To gain more from this decentralization process, Government will undertake capacity building for the relevant institutions and staff. This will involve the training of inspectors, programmeofficers, members of the National Environment Council (NEMC), Technical Advisory Committee (TAC) and other relevant multi-sectoral taskforces. Institutions that are expected to collaborate within the scope of environmental management such as the security forces will also be included in the capacity building </w:t>
      </w:r>
      <w:r w:rsidR="00AD467B" w:rsidRPr="00B06331">
        <w:rPr>
          <w:rFonts w:ascii="Avenir Book" w:eastAsia="MS Mincho" w:hAnsi="Avenir Book"/>
        </w:rPr>
        <w:t>to</w:t>
      </w:r>
      <w:r w:rsidRPr="00B06331">
        <w:rPr>
          <w:rFonts w:ascii="Avenir Book" w:eastAsia="MS Mincho" w:hAnsi="Avenir Book"/>
        </w:rPr>
        <w:t xml:space="preserve"> improve their understanding of environmental issues and therefore improve enforcement.</w:t>
      </w:r>
    </w:p>
    <w:p w:rsidR="00AD467B" w:rsidRPr="00B06331" w:rsidRDefault="00AD467B" w:rsidP="003A5A07">
      <w:pPr>
        <w:spacing w:after="0" w:line="240" w:lineRule="auto"/>
        <w:jc w:val="both"/>
        <w:rPr>
          <w:rFonts w:ascii="Avenir Book" w:eastAsia="MS Mincho" w:hAnsi="Avenir Book"/>
        </w:rPr>
      </w:pPr>
    </w:p>
    <w:p w:rsidR="003A5A07" w:rsidRPr="00B06331" w:rsidRDefault="00AD467B" w:rsidP="006C6E23">
      <w:pPr>
        <w:spacing w:after="0" w:line="240" w:lineRule="auto"/>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11.2: Emergency and Disaster Risk Reduction and Resp</w:t>
      </w:r>
      <w:r w:rsidR="006C6E23" w:rsidRPr="00B06331">
        <w:rPr>
          <w:rFonts w:ascii="Avenir Book" w:eastAsia="MS Mincho" w:hAnsi="Avenir Book"/>
          <w:b/>
          <w:i/>
          <w:color w:val="4472C4" w:themeColor="accent1"/>
        </w:rPr>
        <w:t>onse strengthened at all levels</w:t>
      </w:r>
    </w:p>
    <w:p w:rsidR="006C6E23" w:rsidRPr="00B06331" w:rsidRDefault="006C6E23" w:rsidP="006C6E23">
      <w:pPr>
        <w:spacing w:after="0" w:line="240" w:lineRule="auto"/>
        <w:jc w:val="both"/>
        <w:rPr>
          <w:rFonts w:ascii="Avenir Book" w:eastAsia="MS Mincho" w:hAnsi="Avenir Book"/>
          <w:b/>
          <w:i/>
          <w:color w:val="4472C4" w:themeColor="accent1"/>
        </w:rPr>
      </w:pPr>
    </w:p>
    <w:p w:rsidR="003A5A07" w:rsidRPr="00B06331" w:rsidRDefault="003A5A07" w:rsidP="003A5A07">
      <w:pPr>
        <w:rPr>
          <w:b/>
          <w:bCs/>
        </w:rPr>
      </w:pPr>
      <w:r w:rsidRPr="00B06331">
        <w:rPr>
          <w:b/>
        </w:rPr>
        <w:t>Enhance Early Warning Systems (EWS)</w:t>
      </w:r>
    </w:p>
    <w:p w:rsidR="003A5A07" w:rsidRPr="00B06331" w:rsidRDefault="003A5A07" w:rsidP="003A5A07">
      <w:pPr>
        <w:jc w:val="both"/>
        <w:rPr>
          <w:rFonts w:ascii="Avenir Book" w:eastAsia="MS Mincho" w:hAnsi="Avenir Book"/>
        </w:rPr>
      </w:pPr>
      <w:r w:rsidRPr="00B06331">
        <w:rPr>
          <w:rFonts w:ascii="Avenir Book" w:eastAsia="MS Mincho" w:hAnsi="Avenir Book"/>
        </w:rPr>
        <w:t>The current Early Warning System in The Gambia is limited to meteorologica</w:t>
      </w:r>
      <w:r w:rsidR="00DF7DDA" w:rsidRPr="00B06331">
        <w:rPr>
          <w:rFonts w:ascii="Avenir Book" w:eastAsia="MS Mincho" w:hAnsi="Avenir Book"/>
        </w:rPr>
        <w:t xml:space="preserve">l data and does not </w:t>
      </w:r>
      <w:r w:rsidRPr="00B06331">
        <w:rPr>
          <w:rFonts w:ascii="Avenir Book" w:eastAsia="MS Mincho" w:hAnsi="Avenir Book"/>
        </w:rPr>
        <w:t xml:space="preserve">satisfy the needs linked to food security or floods. Progress has been registered by the establishment of an information sharing mechanism that includes the creation of radio listening groups in various communities and close collaboration with community radios. This radio based mechanism will be further enhanced during the plan period. Government will also facilitate the generation and dissemination of indigenous knowledge collected at community level as well as knowledge generated by technical institutions allied to environment data management. </w:t>
      </w:r>
      <w:r w:rsidR="006C657B" w:rsidRPr="00B06331">
        <w:rPr>
          <w:rFonts w:ascii="Avenir Book" w:eastAsia="MS Mincho" w:hAnsi="Avenir Book"/>
        </w:rPr>
        <w:t>T</w:t>
      </w:r>
      <w:r w:rsidRPr="00B06331">
        <w:rPr>
          <w:rFonts w:ascii="Avenir Book" w:eastAsia="MS Mincho" w:hAnsi="Avenir Book"/>
        </w:rPr>
        <w:t>he early warning system will be improved by coordinating and involving more relevant stakeholders as well as expanding its scope to include hazard profile, contingency plans, Insurance schemes (Africa Risk Capacity), and Agricultural and Nutritional information. For effective functioning of the EWEA, Government will work towards establishment of a central information system to direct early action, capacity building, as well as the required equipment for collecting and processing data.</w:t>
      </w:r>
    </w:p>
    <w:p w:rsidR="003A5A07" w:rsidRPr="00B06331" w:rsidRDefault="003A5A07" w:rsidP="003A5A07">
      <w:pPr>
        <w:rPr>
          <w:b/>
          <w:bCs/>
        </w:rPr>
      </w:pPr>
      <w:r w:rsidRPr="00B06331">
        <w:rPr>
          <w:b/>
        </w:rPr>
        <w:lastRenderedPageBreak/>
        <w:t>Develop and implement a resilience programme for both urban and rural areas</w:t>
      </w:r>
    </w:p>
    <w:p w:rsidR="003A5A07" w:rsidRPr="00B06331" w:rsidRDefault="003A5A07" w:rsidP="003A5A07">
      <w:pPr>
        <w:jc w:val="both"/>
        <w:rPr>
          <w:rFonts w:ascii="Avenir Book" w:eastAsia="MS Mincho" w:hAnsi="Avenir Book"/>
        </w:rPr>
      </w:pPr>
      <w:r w:rsidRPr="00B06331">
        <w:rPr>
          <w:rFonts w:ascii="Avenir Book" w:eastAsia="MS Mincho" w:hAnsi="Avenir Book"/>
        </w:rPr>
        <w:t xml:space="preserve">The strategy to mainstream and integrate climate change and DRR into sectoral development plans will be continued. Government will strengthen coordination at all levels to deepen understanding and collaboration on community action plans, national and regional contingency plans that are geared towards improving food security and sustainable livelihoods.  Rural and urban Infrastructure will also be made “climate-proof”especially drainage, roads, public buildings, agricultural </w:t>
      </w:r>
      <w:r w:rsidR="006C657B" w:rsidRPr="00B06331">
        <w:rPr>
          <w:rFonts w:ascii="Avenir Book" w:eastAsia="MS Mincho" w:hAnsi="Avenir Book"/>
        </w:rPr>
        <w:t>infrastructure,</w:t>
      </w:r>
      <w:r w:rsidRPr="00B06331">
        <w:rPr>
          <w:rFonts w:ascii="Avenir Book" w:eastAsia="MS Mincho" w:hAnsi="Avenir Book"/>
        </w:rPr>
        <w:t xml:space="preserve"> and waste management programmes</w:t>
      </w:r>
      <w:r w:rsidR="006C657B" w:rsidRPr="00B06331">
        <w:rPr>
          <w:rFonts w:ascii="Avenir Book" w:eastAsia="MS Mincho" w:hAnsi="Avenir Book"/>
        </w:rPr>
        <w:t>. T</w:t>
      </w:r>
      <w:r w:rsidRPr="00B06331">
        <w:rPr>
          <w:rFonts w:ascii="Avenir Book" w:eastAsia="MS Mincho" w:hAnsi="Avenir Book"/>
        </w:rPr>
        <w:t>he DRR and climate change structures identified under the respective policies will also be strengthened to ensure effectiveness and resilience to CC vulnerabilities.</w:t>
      </w:r>
    </w:p>
    <w:p w:rsidR="003A5A07" w:rsidRPr="00B06331" w:rsidRDefault="00AD467B" w:rsidP="003A5A07">
      <w:pPr>
        <w:jc w:val="both"/>
        <w:rPr>
          <w:b/>
          <w:i/>
          <w:color w:val="4472C4" w:themeColor="accent1"/>
        </w:rPr>
      </w:pPr>
      <w:bookmarkStart w:id="160" w:name="_Toc488689352"/>
      <w:r w:rsidRPr="00B06331">
        <w:rPr>
          <w:b/>
          <w:i/>
          <w:color w:val="4472C4" w:themeColor="accent1"/>
        </w:rPr>
        <w:t>Outcome 11.3: Natural Resources Sustainably Managed</w:t>
      </w:r>
    </w:p>
    <w:p w:rsidR="003A5A07" w:rsidRPr="00B06331" w:rsidRDefault="003A5A07" w:rsidP="003A5A07">
      <w:pPr>
        <w:jc w:val="both"/>
        <w:rPr>
          <w:b/>
          <w:bCs/>
        </w:rPr>
      </w:pPr>
      <w:r w:rsidRPr="00B06331">
        <w:rPr>
          <w:b/>
        </w:rPr>
        <w:t>Consolidate and enhance management of protected areas and forests including the promotion of ecotourism</w:t>
      </w: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rPr>
        <w:t>Some</w:t>
      </w:r>
      <w:r w:rsidR="006C657B" w:rsidRPr="00B06331">
        <w:rPr>
          <w:rFonts w:ascii="Avenir Book" w:eastAsia="MS Mincho" w:hAnsi="Avenir Book"/>
        </w:rPr>
        <w:t xml:space="preserve"> of the main challenges of the f</w:t>
      </w:r>
      <w:r w:rsidRPr="00B06331">
        <w:rPr>
          <w:rFonts w:ascii="Avenir Book" w:eastAsia="MS Mincho" w:hAnsi="Avenir Book"/>
        </w:rPr>
        <w:t xml:space="preserve">orestry and wildlife sectors are recurrent bushfires and over exploitation of natural resources.Increasingly, </w:t>
      </w:r>
      <w:r w:rsidR="00FC45E9" w:rsidRPr="00B06331">
        <w:rPr>
          <w:rFonts w:ascii="Avenir Book" w:eastAsia="MS Mincho" w:hAnsi="Avenir Book"/>
        </w:rPr>
        <w:t>deforestation is</w:t>
      </w:r>
      <w:r w:rsidRPr="00B06331">
        <w:rPr>
          <w:rFonts w:ascii="Avenir Book" w:eastAsia="MS Mincho" w:hAnsi="Avenir Book"/>
        </w:rPr>
        <w:t xml:space="preserve"> anot</w:t>
      </w:r>
      <w:r w:rsidR="00DF7DDA" w:rsidRPr="00B06331">
        <w:rPr>
          <w:rFonts w:ascii="Avenir Book" w:eastAsia="MS Mincho" w:hAnsi="Avenir Book"/>
        </w:rPr>
        <w:t xml:space="preserve">her major problem </w:t>
      </w:r>
      <w:r w:rsidRPr="00B06331">
        <w:rPr>
          <w:rFonts w:ascii="Avenir Book" w:eastAsia="MS Mincho" w:hAnsi="Avenir Book"/>
        </w:rPr>
        <w:t>and it exacerbates the already existing problem of rapid and poorly regulated l</w:t>
      </w:r>
      <w:r w:rsidR="00A14533" w:rsidRPr="00B06331">
        <w:rPr>
          <w:rFonts w:ascii="Avenir Book" w:eastAsia="MS Mincho" w:hAnsi="Avenir Book"/>
        </w:rPr>
        <w:t xml:space="preserve">and use </w:t>
      </w:r>
      <w:r w:rsidRPr="00B06331">
        <w:rPr>
          <w:rFonts w:ascii="Avenir Book" w:eastAsia="MS Mincho" w:hAnsi="Avenir Book"/>
        </w:rPr>
        <w:t>especially related to the establishment of new settlements, poorly planned agriculture, development o</w:t>
      </w:r>
      <w:r w:rsidR="006C657B" w:rsidRPr="00B06331">
        <w:rPr>
          <w:rFonts w:ascii="Avenir Book" w:eastAsia="MS Mincho" w:hAnsi="Avenir Book"/>
        </w:rPr>
        <w:t>f road networks etc. R</w:t>
      </w:r>
      <w:r w:rsidRPr="00B06331">
        <w:rPr>
          <w:rFonts w:ascii="Avenir Book" w:eastAsia="MS Mincho" w:hAnsi="Avenir Book"/>
        </w:rPr>
        <w:t xml:space="preserve">apid population growth also negatively impacts on natural resources due to high demand for community livelihood. Conflicting institutional policies also affect the management of </w:t>
      </w:r>
      <w:r w:rsidR="00AD467B" w:rsidRPr="00B06331">
        <w:rPr>
          <w:rFonts w:ascii="Avenir Book" w:eastAsia="MS Mincho" w:hAnsi="Avenir Book"/>
        </w:rPr>
        <w:t xml:space="preserve">these sectors </w:t>
      </w:r>
    </w:p>
    <w:p w:rsidR="003A5A07" w:rsidRPr="00B06331" w:rsidRDefault="003A5A07" w:rsidP="003A5A07">
      <w:pPr>
        <w:jc w:val="both"/>
        <w:rPr>
          <w:rFonts w:ascii="Avenir Book" w:eastAsia="MS Mincho" w:hAnsi="Avenir Book"/>
        </w:rPr>
      </w:pPr>
      <w:r w:rsidRPr="00B06331">
        <w:rPr>
          <w:rFonts w:ascii="Avenir Book" w:eastAsia="MS Mincho" w:hAnsi="Avenir Book"/>
        </w:rPr>
        <w:t xml:space="preserve">To consolidate and manage protected areas and forests, Government will undertake the following: </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Rehabilitate degraded forest lands using various forestry techniques and practices;</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Increase the level of participation in bush fires management and control though mechanisms such as early control burning;</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 xml:space="preserve">Improve the skills of Forestry/wildlife staff in the implementation of sustainable natural resources management; </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 xml:space="preserve">Improve production potential of existing plantations, protected areas </w:t>
      </w:r>
      <w:r w:rsidR="00802358" w:rsidRPr="00B06331">
        <w:rPr>
          <w:rFonts w:ascii="Avenir Book" w:hAnsi="Avenir Book"/>
        </w:rPr>
        <w:t>etc.</w:t>
      </w:r>
      <w:r w:rsidRPr="00B06331">
        <w:rPr>
          <w:rFonts w:ascii="Avenir Book" w:hAnsi="Avenir Book"/>
        </w:rPr>
        <w:t>;</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Improve Monitoring &amp; Evaluation mechanisms for the sectors;</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Improve the physical infrastructure for the sectors;</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Provide adequate resources/equipment for the effective implementation of The Gambia Forest Management Concept (GFMC) and National Biodiversity Strategy and Action Plan (NBSAP);</w:t>
      </w:r>
    </w:p>
    <w:p w:rsidR="003A5A07" w:rsidRPr="00B06331" w:rsidRDefault="00AD467B" w:rsidP="004143E3">
      <w:pPr>
        <w:pStyle w:val="ListParagraph"/>
        <w:numPr>
          <w:ilvl w:val="0"/>
          <w:numId w:val="62"/>
        </w:numPr>
        <w:jc w:val="both"/>
        <w:rPr>
          <w:rFonts w:ascii="Avenir Book" w:hAnsi="Avenir Book"/>
        </w:rPr>
      </w:pPr>
      <w:r w:rsidRPr="00B06331">
        <w:rPr>
          <w:rFonts w:ascii="Avenir Book" w:hAnsi="Avenir Book"/>
        </w:rPr>
        <w:t>Promote Public</w:t>
      </w:r>
      <w:r w:rsidR="003A5A07" w:rsidRPr="00B06331">
        <w:rPr>
          <w:rFonts w:ascii="Avenir Book" w:hAnsi="Avenir Book"/>
        </w:rPr>
        <w:t xml:space="preserve"> Private Partnership (PPP) </w:t>
      </w:r>
      <w:r w:rsidR="009949D8" w:rsidRPr="00B06331">
        <w:rPr>
          <w:rFonts w:ascii="Avenir Book" w:hAnsi="Avenir Book"/>
        </w:rPr>
        <w:t>for protectedareas financing</w:t>
      </w:r>
      <w:r w:rsidR="003A5A07" w:rsidRPr="00B06331">
        <w:rPr>
          <w:rFonts w:ascii="Avenir Book" w:hAnsi="Avenir Book"/>
        </w:rPr>
        <w:t xml:space="preserve"> and development;</w:t>
      </w:r>
    </w:p>
    <w:p w:rsidR="003A5A07" w:rsidRPr="00B06331" w:rsidRDefault="003A5A07" w:rsidP="004143E3">
      <w:pPr>
        <w:pStyle w:val="ListParagraph"/>
        <w:numPr>
          <w:ilvl w:val="0"/>
          <w:numId w:val="62"/>
        </w:numPr>
        <w:jc w:val="both"/>
        <w:rPr>
          <w:rFonts w:ascii="Avenir Book" w:hAnsi="Avenir Book"/>
        </w:rPr>
      </w:pPr>
      <w:r w:rsidRPr="00B06331">
        <w:rPr>
          <w:rFonts w:ascii="Avenir Book" w:hAnsi="Avenir Book"/>
        </w:rPr>
        <w:t xml:space="preserve">Create land base jobs for youths through rehabilitation of degraded land cover. </w:t>
      </w:r>
    </w:p>
    <w:p w:rsidR="003A5A07" w:rsidRPr="00B06331" w:rsidRDefault="003A5A07" w:rsidP="003A5A07">
      <w:pPr>
        <w:rPr>
          <w:b/>
        </w:rPr>
      </w:pPr>
      <w:r w:rsidRPr="00B06331">
        <w:rPr>
          <w:b/>
        </w:rPr>
        <w:t>Sensitize and build capacities of communities in natural resource management to minimize deforestation and human-wildlife conflict</w:t>
      </w:r>
    </w:p>
    <w:p w:rsidR="004143E3" w:rsidRPr="00B06331" w:rsidRDefault="003A5A07" w:rsidP="00AD467B">
      <w:pPr>
        <w:rPr>
          <w:rFonts w:ascii="Avenir Book" w:eastAsia="MS Mincho" w:hAnsi="Avenir Book"/>
        </w:rPr>
      </w:pPr>
      <w:r w:rsidRPr="00B06331">
        <w:rPr>
          <w:rFonts w:ascii="Avenir Book" w:eastAsia="MS Mincho" w:hAnsi="Avenir Book"/>
        </w:rPr>
        <w:t>Government will engage communities that have had cases of human</w:t>
      </w:r>
      <w:r w:rsidR="00A14533" w:rsidRPr="00B06331">
        <w:rPr>
          <w:rFonts w:ascii="Avenir Book" w:eastAsia="MS Mincho" w:hAnsi="Avenir Book"/>
        </w:rPr>
        <w:t>-</w:t>
      </w:r>
      <w:r w:rsidRPr="00B06331">
        <w:rPr>
          <w:rFonts w:ascii="Avenir Book" w:eastAsia="MS Mincho" w:hAnsi="Avenir Book"/>
        </w:rPr>
        <w:t xml:space="preserve"> wildlife conflict either with hippos, baboons, etc. </w:t>
      </w:r>
      <w:r w:rsidR="009949D8" w:rsidRPr="00B06331">
        <w:rPr>
          <w:rFonts w:ascii="Avenir Book" w:eastAsia="MS Mincho" w:hAnsi="Avenir Book"/>
        </w:rPr>
        <w:t>and</w:t>
      </w:r>
      <w:r w:rsidRPr="00B06331">
        <w:rPr>
          <w:rFonts w:ascii="Avenir Book" w:eastAsia="MS Mincho" w:hAnsi="Avenir Book"/>
        </w:rPr>
        <w:t xml:space="preserve">potential hotspots. Communities will be trained on natural resource management using alternative techniques (fences, dykes etc.) </w:t>
      </w:r>
      <w:r w:rsidR="00AD467B" w:rsidRPr="00B06331">
        <w:rPr>
          <w:rFonts w:ascii="Avenir Book" w:eastAsia="MS Mincho" w:hAnsi="Avenir Book"/>
        </w:rPr>
        <w:t>to</w:t>
      </w:r>
      <w:r w:rsidRPr="00B06331">
        <w:rPr>
          <w:rFonts w:ascii="Avenir Book" w:eastAsia="MS Mincho" w:hAnsi="Avenir Book"/>
        </w:rPr>
        <w:t>reduce the frequency of human -wildlife conflicts.</w:t>
      </w:r>
    </w:p>
    <w:p w:rsidR="006C657B" w:rsidRPr="00B06331" w:rsidRDefault="006C657B" w:rsidP="00AD467B">
      <w:pPr>
        <w:rPr>
          <w:rFonts w:ascii="Avenir Book" w:eastAsia="MS Mincho" w:hAnsi="Avenir Book"/>
        </w:rPr>
      </w:pPr>
    </w:p>
    <w:p w:rsidR="006C657B" w:rsidRPr="00B06331" w:rsidRDefault="006C657B" w:rsidP="00AD467B">
      <w:pPr>
        <w:rPr>
          <w:rFonts w:ascii="Avenir Book" w:eastAsia="MS Mincho" w:hAnsi="Avenir Book"/>
        </w:rPr>
      </w:pPr>
    </w:p>
    <w:p w:rsidR="003A5A07" w:rsidRPr="00B06331" w:rsidRDefault="003A5A07" w:rsidP="003A5A07">
      <w:pPr>
        <w:pStyle w:val="Heading2"/>
        <w:rPr>
          <w:rFonts w:ascii="Calibri" w:hAnsi="Calibri" w:cs="Calibri"/>
          <w:caps/>
          <w:sz w:val="22"/>
          <w:szCs w:val="22"/>
        </w:rPr>
      </w:pPr>
      <w:bookmarkStart w:id="161" w:name="_Toc492364796"/>
      <w:r w:rsidRPr="00B06331">
        <w:rPr>
          <w:rFonts w:ascii="Calibri" w:hAnsi="Calibri" w:cs="Calibri"/>
          <w:sz w:val="22"/>
          <w:szCs w:val="22"/>
        </w:rPr>
        <w:t>8.5 Decentralization, Land use Planning &amp; Management</w:t>
      </w:r>
      <w:bookmarkEnd w:id="160"/>
      <w:bookmarkEnd w:id="161"/>
    </w:p>
    <w:p w:rsidR="003A5A07" w:rsidRPr="00B06331" w:rsidRDefault="003A5A07" w:rsidP="003A5A07">
      <w:pPr>
        <w:jc w:val="both"/>
        <w:rPr>
          <w:rFonts w:ascii="Avenir Book" w:hAnsi="Avenir Book"/>
          <w:szCs w:val="20"/>
        </w:rPr>
      </w:pPr>
      <w:r w:rsidRPr="00B06331">
        <w:rPr>
          <w:rFonts w:ascii="Avenir Book" w:hAnsi="Avenir Book"/>
        </w:rPr>
        <w:t xml:space="preserve">The 1997 Constitution provides for decentralization by devolution of some central government functions to local governments. These constitutional provisions led to the formulation of several enabling policy and legal framework on Local Government Reform in The Gambia. </w:t>
      </w:r>
    </w:p>
    <w:p w:rsidR="003A5A07" w:rsidRPr="00B06331" w:rsidRDefault="003A5A07" w:rsidP="003A5A07">
      <w:pPr>
        <w:jc w:val="both"/>
        <w:rPr>
          <w:rFonts w:ascii="Avenir Book" w:hAnsi="Avenir Book"/>
        </w:rPr>
      </w:pPr>
      <w:r w:rsidRPr="00B06331">
        <w:rPr>
          <w:rFonts w:ascii="Avenir Book" w:hAnsi="Avenir Book"/>
        </w:rPr>
        <w:t xml:space="preserve">The decentralization program started well with the initial surge in international development partner support, strong political will, and commitment from government. A gradual waning of donor support and a tight government budget has stalled the decentralization process. In addition, the momentum waned due to domestic issues around political will, inadequate funding, low competences in councils, role conflicts between the centre and the periphery and between councils and new semi-autonomous entities. </w:t>
      </w:r>
    </w:p>
    <w:p w:rsidR="003A5A07" w:rsidRPr="00B06331" w:rsidRDefault="003A5A07" w:rsidP="003A5A07">
      <w:pPr>
        <w:jc w:val="both"/>
        <w:rPr>
          <w:rFonts w:ascii="Avenir Book" w:hAnsi="Avenir Book"/>
          <w:b/>
          <w:i/>
          <w:color w:val="000000"/>
          <w:sz w:val="20"/>
          <w:szCs w:val="20"/>
        </w:rPr>
      </w:pPr>
      <w:r w:rsidRPr="00B06331">
        <w:rPr>
          <w:rFonts w:ascii="Avenir Book" w:hAnsi="Avenir Book"/>
          <w:color w:val="000000"/>
          <w:sz w:val="20"/>
          <w:szCs w:val="20"/>
        </w:rPr>
        <w:t xml:space="preserve">The NDP goal for decentralization and land use planning is: </w:t>
      </w:r>
      <w:r w:rsidRPr="00B06331">
        <w:rPr>
          <w:rFonts w:ascii="Avenir Book" w:hAnsi="Avenir Book"/>
          <w:b/>
          <w:i/>
          <w:color w:val="000000"/>
          <w:sz w:val="20"/>
          <w:szCs w:val="20"/>
        </w:rPr>
        <w:t xml:space="preserve">fully empowered and functional local government structures coupled with a sustainable land management system that stimulates and responds to the demographic and economic trends of the Gambia. </w:t>
      </w:r>
    </w:p>
    <w:p w:rsidR="009949D8" w:rsidRPr="00B06331" w:rsidRDefault="009949D8" w:rsidP="009949D8">
      <w:pPr>
        <w:jc w:val="both"/>
        <w:rPr>
          <w:rFonts w:ascii="Avenir Book" w:hAnsi="Avenir Book"/>
          <w:b/>
        </w:rPr>
      </w:pPr>
      <w:r w:rsidRPr="00B06331">
        <w:rPr>
          <w:rFonts w:ascii="Avenir Book" w:hAnsi="Avenir Book"/>
          <w:b/>
        </w:rPr>
        <w:t>Table 8.4: Key expected results for</w:t>
      </w:r>
      <w:r w:rsidR="004143E3" w:rsidRPr="00B06331">
        <w:rPr>
          <w:rFonts w:ascii="Avenir Book" w:hAnsi="Avenir Book"/>
          <w:b/>
        </w:rPr>
        <w:t xml:space="preserve"> Decentralization and Land Use P</w:t>
      </w:r>
      <w:r w:rsidRPr="00B06331">
        <w:rPr>
          <w:rFonts w:ascii="Avenir Book" w:hAnsi="Avenir Book"/>
          <w:b/>
        </w:rPr>
        <w:t>lanning</w:t>
      </w:r>
    </w:p>
    <w:tbl>
      <w:tblPr>
        <w:tblStyle w:val="TableGrid"/>
        <w:tblW w:w="0" w:type="auto"/>
        <w:tblLook w:val="04A0"/>
      </w:tblPr>
      <w:tblGrid>
        <w:gridCol w:w="6025"/>
      </w:tblGrid>
      <w:tr w:rsidR="009949D8" w:rsidRPr="00B06331" w:rsidTr="009949D8">
        <w:tc>
          <w:tcPr>
            <w:tcW w:w="6025" w:type="dxa"/>
            <w:shd w:val="clear" w:color="auto" w:fill="D9E2F3" w:themeFill="accent1" w:themeFillTint="33"/>
          </w:tcPr>
          <w:p w:rsidR="009949D8" w:rsidRPr="00B06331" w:rsidRDefault="009949D8" w:rsidP="004143E3">
            <w:pPr>
              <w:pStyle w:val="ListParagraph"/>
              <w:numPr>
                <w:ilvl w:val="0"/>
                <w:numId w:val="75"/>
              </w:numPr>
              <w:jc w:val="both"/>
              <w:rPr>
                <w:rFonts w:ascii="Avenir Book" w:hAnsi="Avenir Book"/>
              </w:rPr>
            </w:pPr>
            <w:r w:rsidRPr="00B06331">
              <w:rPr>
                <w:rFonts w:ascii="Avenir Book" w:hAnsi="Avenir Book"/>
              </w:rPr>
              <w:t>Availability of a national land policy</w:t>
            </w:r>
            <w:r w:rsidRPr="00B06331">
              <w:rPr>
                <w:rFonts w:ascii="Avenir Book" w:hAnsi="Avenir Book"/>
              </w:rPr>
              <w:tab/>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Availability of a Land Use plan</w:t>
            </w:r>
            <w:r w:rsidRPr="00B06331">
              <w:rPr>
                <w:rFonts w:ascii="Avenir Book" w:hAnsi="Avenir Book"/>
              </w:rPr>
              <w:tab/>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Availability of a Cadastral map of the country</w:t>
            </w:r>
            <w:r w:rsidRPr="00B06331">
              <w:rPr>
                <w:rFonts w:ascii="Avenir Book" w:hAnsi="Avenir Book"/>
              </w:rPr>
              <w:tab/>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Increase proportion of professional staff in total council/LGA staff from X% to X %</w:t>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Availability of strategic plans at all the LGAs</w:t>
            </w:r>
            <w:r w:rsidRPr="00B06331">
              <w:rPr>
                <w:rFonts w:ascii="Avenir Book" w:hAnsi="Avenir Book"/>
              </w:rPr>
              <w:tab/>
            </w:r>
            <w:r w:rsidRPr="00B06331">
              <w:rPr>
                <w:rFonts w:ascii="Avenir Book" w:hAnsi="Avenir Book"/>
              </w:rPr>
              <w:tab/>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 xml:space="preserve">Increase in Number of VDCs, WDCs, SWDCs with implemented Action Plans from 0% to 100% </w:t>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Increase proportion of LGAs/Council with independent control of their fiscal operations from 0% to 100%</w:t>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Increase existence of a financial management systems at all LGAs from</w:t>
            </w:r>
            <w:r w:rsidRPr="00B06331">
              <w:rPr>
                <w:rFonts w:ascii="Avenir Book" w:hAnsi="Avenir Book"/>
              </w:rPr>
              <w:tab/>
              <w:t>2 to 7</w:t>
            </w:r>
          </w:p>
          <w:p w:rsidR="009949D8" w:rsidRPr="00B06331" w:rsidRDefault="009949D8" w:rsidP="004143E3">
            <w:pPr>
              <w:pStyle w:val="ListParagraph"/>
              <w:numPr>
                <w:ilvl w:val="0"/>
                <w:numId w:val="52"/>
              </w:numPr>
              <w:jc w:val="both"/>
              <w:rPr>
                <w:rFonts w:ascii="Avenir Book" w:hAnsi="Avenir Book"/>
              </w:rPr>
            </w:pPr>
            <w:r w:rsidRPr="00B06331">
              <w:rPr>
                <w:rFonts w:ascii="Avenir Book" w:hAnsi="Avenir Book"/>
              </w:rPr>
              <w:t>Availability of resource mobilization plan for each LGA</w:t>
            </w:r>
            <w:r w:rsidRPr="00B06331">
              <w:rPr>
                <w:rFonts w:ascii="Avenir Book" w:hAnsi="Avenir Book"/>
              </w:rPr>
              <w:tab/>
            </w:r>
            <w:r w:rsidRPr="00B06331">
              <w:rPr>
                <w:rFonts w:ascii="Avenir Book" w:hAnsi="Avenir Book"/>
              </w:rPr>
              <w:tab/>
            </w:r>
          </w:p>
        </w:tc>
      </w:tr>
    </w:tbl>
    <w:p w:rsidR="009949D8" w:rsidRPr="00B06331" w:rsidRDefault="009949D8" w:rsidP="009949D8">
      <w:pPr>
        <w:jc w:val="both"/>
        <w:rPr>
          <w:rFonts w:ascii="Avenir Book" w:hAnsi="Avenir Book"/>
          <w:b/>
          <w:caps/>
        </w:rPr>
      </w:pPr>
    </w:p>
    <w:p w:rsidR="009949D8" w:rsidRPr="00B06331" w:rsidRDefault="009949D8" w:rsidP="009949D8">
      <w:pPr>
        <w:jc w:val="both"/>
        <w:rPr>
          <w:rFonts w:ascii="Avenir Book" w:hAnsi="Avenir Book"/>
          <w:b/>
          <w:caps/>
          <w:color w:val="4472C4" w:themeColor="accent1"/>
        </w:rPr>
      </w:pPr>
      <w:r w:rsidRPr="00B06331">
        <w:rPr>
          <w:rFonts w:ascii="Avenir Book" w:hAnsi="Avenir Book"/>
          <w:b/>
          <w:color w:val="4472C4" w:themeColor="accent1"/>
        </w:rPr>
        <w:t>Outcome 12.1: Effective and Harmonized Policies and Regulatory Frameworks for enhanced Coordination of the Decentralization programme and lands</w:t>
      </w:r>
    </w:p>
    <w:p w:rsidR="003A5A07" w:rsidRPr="00B06331" w:rsidRDefault="003A5A07" w:rsidP="003A5A07">
      <w:pPr>
        <w:jc w:val="both"/>
        <w:rPr>
          <w:rFonts w:ascii="Avenir Book" w:hAnsi="Avenir Book"/>
        </w:rPr>
      </w:pPr>
      <w:r w:rsidRPr="00B06331">
        <w:rPr>
          <w:rFonts w:ascii="Avenir Book" w:eastAsia="MS Mincho" w:hAnsi="Avenir Book"/>
          <w:b/>
        </w:rPr>
        <w:t xml:space="preserve">Formulate Relevant Sectoral Policies and Regulations: </w:t>
      </w:r>
      <w:r w:rsidRPr="00B06331">
        <w:rPr>
          <w:rFonts w:ascii="Avenir Book" w:hAnsi="Avenir Book"/>
        </w:rPr>
        <w:t xml:space="preserve">The resolution of the multiple challenges confronting decentralization and land use planning will require the establishment of dedicated policies and regulations which will ultimately create the enabling environment for decentralization to thrive. </w:t>
      </w:r>
    </w:p>
    <w:p w:rsidR="003A5A07" w:rsidRPr="00B06331" w:rsidRDefault="003A5A07" w:rsidP="003A5A07">
      <w:pPr>
        <w:jc w:val="both"/>
        <w:rPr>
          <w:rFonts w:ascii="Avenir Book" w:hAnsi="Avenir Book"/>
        </w:rPr>
      </w:pPr>
      <w:r w:rsidRPr="00B06331">
        <w:rPr>
          <w:rFonts w:ascii="Avenir Book" w:hAnsi="Avenir Book"/>
        </w:rPr>
        <w:lastRenderedPageBreak/>
        <w:t xml:space="preserve">While Government remains committed to the formulation of the multiple policies and regulations – and will do so in this plan, it will simultaneously ensure that the </w:t>
      </w:r>
      <w:r w:rsidR="009949D8" w:rsidRPr="00B06331">
        <w:rPr>
          <w:rFonts w:ascii="Avenir Book" w:hAnsi="Avenir Book"/>
        </w:rPr>
        <w:t>type of</w:t>
      </w:r>
      <w:r w:rsidRPr="00B06331">
        <w:rPr>
          <w:rFonts w:ascii="Avenir Book" w:hAnsi="Avenir Book"/>
        </w:rPr>
        <w:t>decentralization promoted by these instruments is responsive and based on the principle which redirects public investment (economic production, infrastructure, social services, and human capital formation) to areas of greatest need –i.e., the poorer districts of The Gambia.</w:t>
      </w:r>
    </w:p>
    <w:p w:rsidR="003A5A07" w:rsidRPr="00B06331" w:rsidRDefault="003A5A07" w:rsidP="003A5A07">
      <w:pPr>
        <w:jc w:val="both"/>
        <w:rPr>
          <w:rFonts w:ascii="Avenir Book" w:hAnsi="Avenir Book"/>
          <w:caps/>
        </w:rPr>
      </w:pPr>
      <w:r w:rsidRPr="00B06331">
        <w:rPr>
          <w:rFonts w:ascii="Avenir Book" w:hAnsi="Avenir Book"/>
        </w:rPr>
        <w:t>Govern</w:t>
      </w:r>
      <w:r w:rsidR="0095297C" w:rsidRPr="00B06331">
        <w:rPr>
          <w:rFonts w:ascii="Avenir Book" w:hAnsi="Avenir Book"/>
        </w:rPr>
        <w:t>ment will collaborate with all</w:t>
      </w:r>
      <w:r w:rsidRPr="00B06331">
        <w:rPr>
          <w:rFonts w:ascii="Avenir Book" w:hAnsi="Avenir Book"/>
        </w:rPr>
        <w:t xml:space="preserve"> stakeholders to develop policies and regulations that reflect the following four components which are necessary for the appropriate pursuit</w:t>
      </w:r>
      <w:r w:rsidR="00A14533" w:rsidRPr="00B06331">
        <w:rPr>
          <w:rFonts w:ascii="Avenir Book" w:hAnsi="Avenir Book"/>
        </w:rPr>
        <w:t xml:space="preserve"> of decentralization</w:t>
      </w:r>
      <w:r w:rsidRPr="00B06331">
        <w:rPr>
          <w:rFonts w:ascii="Avenir Book" w:hAnsi="Avenir Book"/>
        </w:rPr>
        <w:t xml:space="preserve">:  </w:t>
      </w:r>
    </w:p>
    <w:p w:rsidR="003A5A07" w:rsidRPr="00B06331" w:rsidRDefault="003A5A07" w:rsidP="004143E3">
      <w:pPr>
        <w:numPr>
          <w:ilvl w:val="0"/>
          <w:numId w:val="63"/>
        </w:numPr>
        <w:spacing w:after="0"/>
        <w:rPr>
          <w:rFonts w:ascii="Avenir Book" w:hAnsi="Avenir Book"/>
          <w:caps/>
        </w:rPr>
      </w:pPr>
      <w:r w:rsidRPr="00B06331">
        <w:rPr>
          <w:rFonts w:ascii="Avenir Book" w:hAnsi="Avenir Book"/>
        </w:rPr>
        <w:t xml:space="preserve">Resource Allocation which will gradually </w:t>
      </w:r>
      <w:r w:rsidR="009949D8" w:rsidRPr="00B06331">
        <w:rPr>
          <w:rFonts w:ascii="Avenir Book" w:hAnsi="Avenir Book"/>
        </w:rPr>
        <w:t>increase</w:t>
      </w:r>
      <w:r w:rsidRPr="00B06331">
        <w:rPr>
          <w:rFonts w:ascii="Avenir Book" w:hAnsi="Avenir Book"/>
        </w:rPr>
        <w:t xml:space="preserve"> from the center to the periphery;</w:t>
      </w:r>
    </w:p>
    <w:p w:rsidR="003A5A07" w:rsidRPr="00B06331" w:rsidRDefault="003A5A07" w:rsidP="004143E3">
      <w:pPr>
        <w:numPr>
          <w:ilvl w:val="0"/>
          <w:numId w:val="63"/>
        </w:numPr>
        <w:spacing w:after="0"/>
        <w:rPr>
          <w:rFonts w:ascii="Avenir Book" w:hAnsi="Avenir Book"/>
          <w:caps/>
        </w:rPr>
      </w:pPr>
      <w:r w:rsidRPr="00B06331">
        <w:rPr>
          <w:rFonts w:ascii="Avenir Book" w:hAnsi="Avenir Book"/>
        </w:rPr>
        <w:t>Responsibility for Public Services where ownership of local infrastructure in education,health, irrigation, roads, sports and culture is given to municipalities, with theconcomitant responsibility to maintain, equip and administer these facilities, and invest in new ones;</w:t>
      </w:r>
    </w:p>
    <w:p w:rsidR="003A5A07" w:rsidRPr="00B06331" w:rsidRDefault="003A5A07" w:rsidP="004143E3">
      <w:pPr>
        <w:numPr>
          <w:ilvl w:val="0"/>
          <w:numId w:val="63"/>
        </w:numPr>
        <w:autoSpaceDE w:val="0"/>
        <w:autoSpaceDN w:val="0"/>
        <w:adjustRightInd w:val="0"/>
        <w:spacing w:after="0" w:line="240" w:lineRule="auto"/>
        <w:rPr>
          <w:rFonts w:ascii="Avenir Book" w:hAnsi="Avenir Book"/>
        </w:rPr>
      </w:pPr>
      <w:r w:rsidRPr="00B06331">
        <w:rPr>
          <w:rFonts w:ascii="Avenir Book" w:hAnsi="Avenir Book"/>
        </w:rPr>
        <w:t>Oversight Committees which will provide an alternative channel for representing popular demand in the policy-making process. It will be composed of representatives from local, grass-roots groups, these bodies will propose projects and oversee municipal expenditure;</w:t>
      </w:r>
    </w:p>
    <w:p w:rsidR="003A5A07" w:rsidRPr="00B06331" w:rsidRDefault="003A5A07" w:rsidP="004143E3">
      <w:pPr>
        <w:numPr>
          <w:ilvl w:val="0"/>
          <w:numId w:val="63"/>
        </w:numPr>
        <w:autoSpaceDE w:val="0"/>
        <w:autoSpaceDN w:val="0"/>
        <w:adjustRightInd w:val="0"/>
        <w:spacing w:after="0" w:line="240" w:lineRule="auto"/>
        <w:rPr>
          <w:rFonts w:ascii="Avenir Book" w:eastAsia="MS Mincho" w:hAnsi="Avenir Book"/>
          <w:b/>
        </w:rPr>
      </w:pPr>
      <w:r w:rsidRPr="00B06331">
        <w:rPr>
          <w:rFonts w:ascii="Avenir Book" w:hAnsi="Avenir Book"/>
        </w:rPr>
        <w:t xml:space="preserve">Municipalization will continue and its associated systems, tools, human </w:t>
      </w:r>
      <w:r w:rsidR="009949D8" w:rsidRPr="00B06331">
        <w:rPr>
          <w:rFonts w:ascii="Avenir Book" w:hAnsi="Avenir Book"/>
        </w:rPr>
        <w:t>resource,</w:t>
      </w:r>
      <w:r w:rsidRPr="00B06331">
        <w:rPr>
          <w:rFonts w:ascii="Avenir Book" w:hAnsi="Avenir Book"/>
        </w:rPr>
        <w:t xml:space="preserve"> and accountability mechanisms will be strengthened. </w:t>
      </w:r>
    </w:p>
    <w:p w:rsidR="003A5A07" w:rsidRPr="00B06331" w:rsidRDefault="003A5A07" w:rsidP="003A5A07">
      <w:pPr>
        <w:autoSpaceDE w:val="0"/>
        <w:autoSpaceDN w:val="0"/>
        <w:adjustRightInd w:val="0"/>
        <w:spacing w:after="0" w:line="240" w:lineRule="auto"/>
        <w:rPr>
          <w:rFonts w:ascii="Avenir Book" w:eastAsia="MS Mincho" w:hAnsi="Avenir Book"/>
          <w:b/>
          <w:sz w:val="20"/>
          <w:szCs w:val="20"/>
        </w:rPr>
      </w:pPr>
    </w:p>
    <w:p w:rsidR="003A5A07" w:rsidRPr="00B06331" w:rsidRDefault="00A14533" w:rsidP="003A5A07">
      <w:pPr>
        <w:autoSpaceDE w:val="0"/>
        <w:autoSpaceDN w:val="0"/>
        <w:adjustRightInd w:val="0"/>
        <w:spacing w:after="0" w:line="240" w:lineRule="auto"/>
        <w:rPr>
          <w:rFonts w:ascii="Avenir Book" w:eastAsia="MS Mincho" w:hAnsi="Avenir Book"/>
          <w:b/>
        </w:rPr>
      </w:pPr>
      <w:r w:rsidRPr="00B06331">
        <w:rPr>
          <w:rFonts w:ascii="Avenir Book" w:eastAsia="MS Mincho" w:hAnsi="Avenir Book"/>
        </w:rPr>
        <w:t>D</w:t>
      </w:r>
      <w:r w:rsidR="003A5A07" w:rsidRPr="00B06331">
        <w:rPr>
          <w:rFonts w:ascii="Avenir Book" w:eastAsia="MS Mincho" w:hAnsi="Avenir Book"/>
        </w:rPr>
        <w:t xml:space="preserve">uring the plan period, Government will formulate a National Land Policy, revise the existing Housing Policy, update and operationalize the national Land Use Master Plan, develop cadastral maps, revise existing land management acts and regulations, formulate the national Community and Rural Development Policy, enact the NGO Act, and formulate the Local Government Training Policy. </w:t>
      </w:r>
    </w:p>
    <w:p w:rsidR="003A5A07" w:rsidRPr="00B06331" w:rsidRDefault="003A5A07" w:rsidP="003A5A07">
      <w:pPr>
        <w:pStyle w:val="ListParagraph"/>
        <w:ind w:left="0"/>
        <w:jc w:val="both"/>
        <w:rPr>
          <w:rFonts w:ascii="Avenir Book" w:eastAsia="MS Mincho" w:hAnsi="Avenir Book"/>
        </w:rPr>
      </w:pPr>
    </w:p>
    <w:p w:rsidR="003A5A07" w:rsidRPr="00B06331" w:rsidRDefault="003A5A07" w:rsidP="003A5A07">
      <w:pPr>
        <w:pStyle w:val="ListParagraph"/>
        <w:ind w:left="0"/>
        <w:jc w:val="both"/>
        <w:rPr>
          <w:rFonts w:ascii="Times-Italic" w:hAnsi="Times-Italic" w:cs="Times-Italic"/>
          <w:i/>
          <w:iCs/>
          <w:sz w:val="24"/>
          <w:szCs w:val="24"/>
        </w:rPr>
      </w:pPr>
      <w:r w:rsidRPr="00B06331">
        <w:rPr>
          <w:rFonts w:ascii="Avenir Book" w:eastAsia="MS Mincho" w:hAnsi="Avenir Book"/>
          <w:b/>
        </w:rPr>
        <w:t>Formulate and implement a communication strategy for decentralization and land use management</w:t>
      </w:r>
      <w:r w:rsidRPr="00B06331">
        <w:rPr>
          <w:rFonts w:ascii="Avenir Book" w:eastAsia="MS Mincho" w:hAnsi="Avenir Book"/>
        </w:rPr>
        <w:t xml:space="preserve">: </w:t>
      </w:r>
      <w:r w:rsidR="009949D8" w:rsidRPr="00B06331">
        <w:rPr>
          <w:rFonts w:ascii="Avenir Book" w:eastAsia="MS Mincho" w:hAnsi="Avenir Book"/>
        </w:rPr>
        <w:t>Using</w:t>
      </w:r>
      <w:r w:rsidRPr="00B06331">
        <w:rPr>
          <w:rFonts w:ascii="Avenir Book" w:eastAsia="MS Mincho" w:hAnsi="Avenir Book"/>
        </w:rPr>
        <w:t xml:space="preserve"> multiple approaches, Government will formulate and execute a robust behavioral change communication strategy on decentralization to address m</w:t>
      </w:r>
      <w:r w:rsidR="00A14533" w:rsidRPr="00B06331">
        <w:rPr>
          <w:rFonts w:ascii="Avenir Book" w:eastAsia="MS Mincho" w:hAnsi="Avenir Book"/>
        </w:rPr>
        <w:t>isconceptions</w:t>
      </w:r>
      <w:r w:rsidRPr="00B06331">
        <w:rPr>
          <w:rFonts w:ascii="Avenir Book" w:eastAsia="MS Mincho" w:hAnsi="Avenir Book"/>
        </w:rPr>
        <w:t xml:space="preserve">. </w:t>
      </w:r>
    </w:p>
    <w:p w:rsidR="003A5A07" w:rsidRPr="00B06331" w:rsidRDefault="003A5A07" w:rsidP="003A5A07">
      <w:pPr>
        <w:pStyle w:val="ListParagraph"/>
        <w:ind w:left="0"/>
        <w:jc w:val="both"/>
        <w:rPr>
          <w:rFonts w:ascii="Avenir Book" w:eastAsia="MS Mincho" w:hAnsi="Avenir Book"/>
        </w:rPr>
      </w:pP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 xml:space="preserve">Creation of new growth centers: </w:t>
      </w:r>
      <w:r w:rsidRPr="00B06331">
        <w:rPr>
          <w:rFonts w:ascii="Avenir Book" w:eastAsia="MS Mincho" w:hAnsi="Avenir Book"/>
        </w:rPr>
        <w:t>In line with theprinciple of municipaliz</w:t>
      </w:r>
      <w:r w:rsidR="00FC45E9" w:rsidRPr="00B06331">
        <w:rPr>
          <w:rFonts w:ascii="Avenir Book" w:eastAsia="MS Mincho" w:hAnsi="Avenir Book"/>
        </w:rPr>
        <w:t>ation, Government will pursue its</w:t>
      </w:r>
      <w:r w:rsidRPr="00B06331">
        <w:rPr>
          <w:rFonts w:ascii="Avenir Book" w:eastAsia="MS Mincho" w:hAnsi="Avenir Book"/>
        </w:rPr>
        <w:t xml:space="preserve"> plan for establishing seven growth centers by undertaking detailed</w:t>
      </w:r>
      <w:r w:rsidR="00FC45E9" w:rsidRPr="00B06331">
        <w:rPr>
          <w:rFonts w:ascii="Avenir Book" w:eastAsia="MS Mincho" w:hAnsi="Avenir Book"/>
        </w:rPr>
        <w:t xml:space="preserve"> studies</w:t>
      </w:r>
      <w:r w:rsidRPr="00B06331">
        <w:rPr>
          <w:rFonts w:ascii="Avenir Book" w:eastAsia="MS Mincho" w:hAnsi="Avenir Book"/>
        </w:rPr>
        <w:t xml:space="preserve"> of the proposed seven sites and subsequently developing sites plans.</w:t>
      </w:r>
    </w:p>
    <w:p w:rsidR="00294BE4" w:rsidRPr="00B06331" w:rsidRDefault="00294BE4" w:rsidP="003A5A07">
      <w:pPr>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12.2: Strengthened Human and Institutional Capacities at all levels for Decentralization</w:t>
      </w:r>
    </w:p>
    <w:p w:rsidR="003A5A07" w:rsidRPr="00B06331" w:rsidRDefault="003A5A07" w:rsidP="003A5A07">
      <w:pPr>
        <w:jc w:val="both"/>
        <w:rPr>
          <w:rFonts w:ascii="Avenir Book" w:eastAsia="MS Mincho" w:hAnsi="Avenir Book"/>
        </w:rPr>
      </w:pPr>
      <w:r w:rsidRPr="00B06331">
        <w:rPr>
          <w:rFonts w:ascii="Avenir Book" w:eastAsia="MS Mincho" w:hAnsi="Avenir Book"/>
          <w:b/>
        </w:rPr>
        <w:t>Conduct capacity building:</w:t>
      </w:r>
      <w:r w:rsidRPr="00B06331">
        <w:rPr>
          <w:rFonts w:ascii="Avenir Book" w:eastAsia="MS Mincho" w:hAnsi="Avenir Book"/>
        </w:rPr>
        <w:t xml:space="preserve">Government will facilitate capacity building at all levels- i.e., Government MDAs, Civil Society and for business private sector operators. In the short term and pending a comprehensive capacity building plan, Government will train personnel on, GIS,land valuation and administration, cartography, urban planning, mapping, civil engineering. The specialized training will be offered to different cadre of staff and technical departments within the ministry. The Ministry will solicit the support of other stakeholders and partners to achieve this. </w:t>
      </w: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 xml:space="preserve">Transform the Rural Development Institute (RDI) into a national and regional training hub for local governance, land management and community development: </w:t>
      </w:r>
      <w:r w:rsidRPr="00B06331">
        <w:rPr>
          <w:rFonts w:ascii="Avenir Book" w:eastAsia="MS Mincho" w:hAnsi="Avenir Book"/>
        </w:rPr>
        <w:t xml:space="preserve">Government will transform RDI by revising its curriculum, procuring </w:t>
      </w:r>
      <w:r w:rsidR="00FC45E9" w:rsidRPr="00B06331">
        <w:rPr>
          <w:rFonts w:ascii="Avenir Book" w:eastAsia="MS Mincho" w:hAnsi="Avenir Book"/>
        </w:rPr>
        <w:t>teaching,</w:t>
      </w:r>
      <w:r w:rsidRPr="00B06331">
        <w:rPr>
          <w:rFonts w:ascii="Avenir Book" w:eastAsia="MS Mincho" w:hAnsi="Avenir Book"/>
        </w:rPr>
        <w:t xml:space="preserve"> and learning materials and </w:t>
      </w:r>
      <w:r w:rsidR="00294BE4" w:rsidRPr="00B06331">
        <w:rPr>
          <w:rFonts w:ascii="Avenir Book" w:eastAsia="MS Mincho" w:hAnsi="Avenir Book"/>
        </w:rPr>
        <w:t>undertaking capacity</w:t>
      </w:r>
      <w:r w:rsidRPr="00B06331">
        <w:rPr>
          <w:rFonts w:ascii="Avenir Book" w:eastAsia="MS Mincho" w:hAnsi="Avenir Book"/>
        </w:rPr>
        <w:t xml:space="preserve"> upgrading </w:t>
      </w:r>
      <w:r w:rsidRPr="00B06331">
        <w:rPr>
          <w:rFonts w:ascii="Avenir Book" w:eastAsia="MS Mincho" w:hAnsi="Avenir Book"/>
        </w:rPr>
        <w:lastRenderedPageBreak/>
        <w:t>including the teaching staff. The systems and tools for administration and management competenc</w:t>
      </w:r>
      <w:r w:rsidR="00A14533" w:rsidRPr="00B06331">
        <w:rPr>
          <w:rFonts w:ascii="Avenir Book" w:eastAsia="MS Mincho" w:hAnsi="Avenir Book"/>
        </w:rPr>
        <w:t xml:space="preserve">ies will also be developed. </w:t>
      </w:r>
      <w:r w:rsidRPr="00B06331">
        <w:rPr>
          <w:rFonts w:ascii="Avenir Book" w:eastAsia="MS Mincho" w:hAnsi="Avenir Book"/>
        </w:rPr>
        <w:t xml:space="preserve">NGOs and other partners such as tertiary </w:t>
      </w:r>
      <w:r w:rsidR="00294BE4" w:rsidRPr="00B06331">
        <w:rPr>
          <w:rFonts w:ascii="Avenir Book" w:eastAsia="MS Mincho" w:hAnsi="Avenir Book"/>
        </w:rPr>
        <w:t>education institutions</w:t>
      </w:r>
      <w:r w:rsidRPr="00B06331">
        <w:rPr>
          <w:rFonts w:ascii="Avenir Book" w:eastAsia="MS Mincho" w:hAnsi="Avenir Book"/>
        </w:rPr>
        <w:t xml:space="preserve"> will be ke</w:t>
      </w:r>
      <w:r w:rsidR="00FC45E9" w:rsidRPr="00B06331">
        <w:rPr>
          <w:rFonts w:ascii="Avenir Book" w:eastAsia="MS Mincho" w:hAnsi="Avenir Book"/>
        </w:rPr>
        <w:t>y stakeholders in this process</w:t>
      </w:r>
      <w:r w:rsidRPr="00B06331">
        <w:rPr>
          <w:rFonts w:ascii="Avenir Book" w:eastAsia="MS Mincho" w:hAnsi="Avenir Book"/>
        </w:rPr>
        <w:t xml:space="preserve">. </w:t>
      </w:r>
    </w:p>
    <w:p w:rsidR="003A5A07" w:rsidRPr="00B06331" w:rsidRDefault="003A5A07" w:rsidP="003A5A07">
      <w:pPr>
        <w:pStyle w:val="ListParagraph"/>
        <w:ind w:left="0"/>
        <w:jc w:val="both"/>
        <w:rPr>
          <w:rFonts w:ascii="Avenir Book" w:eastAsia="MS Mincho" w:hAnsi="Avenir Book"/>
        </w:rPr>
      </w:pP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Develop and implement evidence based planning, monitoring and evaluation:</w:t>
      </w:r>
      <w:r w:rsidRPr="00B06331">
        <w:rPr>
          <w:rFonts w:ascii="Avenir Book" w:eastAsia="MS Mincho" w:hAnsi="Avenir Book"/>
        </w:rPr>
        <w:t xml:space="preserve"> Government will work with councils on the formulation of municipal strategic plans, as well as the activation of planning authorities/boards. Currently, only 37% (3) of councils have strategic plans. With </w:t>
      </w:r>
      <w:r w:rsidR="00A14533" w:rsidRPr="00B06331">
        <w:rPr>
          <w:rFonts w:ascii="Avenir Book" w:eastAsia="MS Mincho" w:hAnsi="Avenir Book"/>
        </w:rPr>
        <w:t>these interventions, it is expected</w:t>
      </w:r>
      <w:r w:rsidRPr="00B06331">
        <w:rPr>
          <w:rFonts w:ascii="Avenir Book" w:eastAsia="MS Mincho" w:hAnsi="Avenir Book"/>
        </w:rPr>
        <w:t xml:space="preserve"> that all councils (100%) will have functional strategic plans.</w:t>
      </w:r>
    </w:p>
    <w:p w:rsidR="003A5A07" w:rsidRPr="00B06331" w:rsidRDefault="003A5A07" w:rsidP="003A5A07">
      <w:pPr>
        <w:pStyle w:val="ListParagraph"/>
        <w:ind w:left="0"/>
        <w:jc w:val="both"/>
        <w:rPr>
          <w:rFonts w:ascii="Avenir Book" w:eastAsia="MS Mincho" w:hAnsi="Avenir Book"/>
        </w:rPr>
      </w:pP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 xml:space="preserve">Strengthening systems, </w:t>
      </w:r>
      <w:r w:rsidR="00FC45E9" w:rsidRPr="00B06331">
        <w:rPr>
          <w:rFonts w:ascii="Avenir Book" w:eastAsia="MS Mincho" w:hAnsi="Avenir Book"/>
          <w:b/>
        </w:rPr>
        <w:t>tools,</w:t>
      </w:r>
      <w:r w:rsidRPr="00B06331">
        <w:rPr>
          <w:rFonts w:ascii="Avenir Book" w:eastAsia="MS Mincho" w:hAnsi="Avenir Book"/>
          <w:b/>
        </w:rPr>
        <w:t xml:space="preserve"> and procedures for effective and efficient management.</w:t>
      </w:r>
      <w:r w:rsidRPr="00B06331">
        <w:rPr>
          <w:rFonts w:ascii="Avenir Book" w:eastAsia="MS Mincho" w:hAnsi="Avenir Book"/>
        </w:rPr>
        <w:t xml:space="preserve"> This will involve the procurement of systems and licenses for accounting and auditing, development of working tools and documents, procedures and building the </w:t>
      </w:r>
      <w:r w:rsidR="00FC45E9" w:rsidRPr="00B06331">
        <w:rPr>
          <w:rFonts w:ascii="Avenir Book" w:eastAsia="MS Mincho" w:hAnsi="Avenir Book"/>
        </w:rPr>
        <w:t>required infrastructure for greater</w:t>
      </w:r>
      <w:r w:rsidRPr="00B06331">
        <w:rPr>
          <w:rFonts w:ascii="Avenir Book" w:eastAsia="MS Mincho" w:hAnsi="Avenir Book"/>
        </w:rPr>
        <w:t xml:space="preserve"> efficiency and effectiveness in all municipal councils.</w:t>
      </w:r>
    </w:p>
    <w:p w:rsidR="003A5A07" w:rsidRPr="00B06331" w:rsidRDefault="003A5A07" w:rsidP="003A5A07">
      <w:pPr>
        <w:pStyle w:val="ListParagraph"/>
        <w:jc w:val="both"/>
        <w:rPr>
          <w:rFonts w:ascii="Avenir Book" w:eastAsia="MS Mincho" w:hAnsi="Avenir Book"/>
        </w:rPr>
      </w:pP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Implementation of participatory slum upgrading programme (PSUP):</w:t>
      </w:r>
      <w:r w:rsidRPr="00B06331">
        <w:rPr>
          <w:rFonts w:ascii="Avenir Book" w:eastAsia="MS Mincho" w:hAnsi="Avenir Book"/>
        </w:rPr>
        <w:t xml:space="preserve">Government’s interventions will involve construction and rehabilitation of some basic social services such as roads, drainages, markets and waste management programmes in selected slums (Ebo Town, Banjul-Tobacoroad and Brikama Jambarsanneh). </w:t>
      </w:r>
    </w:p>
    <w:p w:rsidR="003A5A07" w:rsidRPr="00B06331" w:rsidRDefault="003A5A07" w:rsidP="003A5A07">
      <w:pPr>
        <w:pStyle w:val="ListParagraph"/>
        <w:ind w:left="0"/>
        <w:jc w:val="both"/>
        <w:rPr>
          <w:rFonts w:ascii="Avenir Book" w:eastAsia="MS Mincho" w:hAnsi="Avenir Book"/>
        </w:rPr>
      </w:pP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Support LGAs in the establishment and functioning of decentralized structures.</w:t>
      </w:r>
      <w:r w:rsidRPr="00B06331">
        <w:rPr>
          <w:rFonts w:ascii="Avenir Book" w:eastAsia="MS Mincho" w:hAnsi="Avenir Book"/>
        </w:rPr>
        <w:t xml:space="preserve">Government will bring together partnershipscomprising the private sector including the </w:t>
      </w:r>
      <w:r w:rsidR="00A14533" w:rsidRPr="00B06331">
        <w:rPr>
          <w:rFonts w:ascii="Avenir Book" w:eastAsia="MS Mincho" w:hAnsi="Avenir Book"/>
        </w:rPr>
        <w:t>non-state</w:t>
      </w:r>
      <w:r w:rsidRPr="00B06331">
        <w:rPr>
          <w:rFonts w:ascii="Avenir Book" w:eastAsia="MS Mincho" w:hAnsi="Avenir Book"/>
        </w:rPr>
        <w:t xml:space="preserve"> actors such as civil society organizations (CSOs) and Community Based Organizations (CBOs) to work towards more responsive, viable and productive decentralized structures. </w:t>
      </w:r>
    </w:p>
    <w:p w:rsidR="003A5A07" w:rsidRPr="00B06331" w:rsidRDefault="003A5A07" w:rsidP="003A5A07">
      <w:pPr>
        <w:autoSpaceDE w:val="0"/>
        <w:autoSpaceDN w:val="0"/>
        <w:adjustRightInd w:val="0"/>
        <w:spacing w:after="0"/>
        <w:jc w:val="both"/>
        <w:rPr>
          <w:rFonts w:ascii="Avenir Book" w:eastAsia="MS Mincho" w:hAnsi="Avenir Book"/>
          <w:szCs w:val="20"/>
        </w:rPr>
      </w:pPr>
      <w:r w:rsidRPr="00B06331">
        <w:rPr>
          <w:rFonts w:ascii="Avenir Book" w:eastAsia="MS Mincho" w:hAnsi="Avenir Book"/>
          <w:szCs w:val="20"/>
        </w:rPr>
        <w:t>Government recognizes that effect</w:t>
      </w:r>
      <w:r w:rsidR="00FC45E9" w:rsidRPr="00B06331">
        <w:rPr>
          <w:rFonts w:ascii="Avenir Book" w:eastAsia="MS Mincho" w:hAnsi="Avenir Book"/>
          <w:szCs w:val="20"/>
        </w:rPr>
        <w:t xml:space="preserve">ive local governance requires </w:t>
      </w:r>
      <w:r w:rsidRPr="00B06331">
        <w:rPr>
          <w:rFonts w:ascii="Avenir Book" w:eastAsia="MS Mincho" w:hAnsi="Avenir Book"/>
          <w:szCs w:val="20"/>
        </w:rPr>
        <w:t>vigorous local politics in which competition spurs political entrepreneurship and policy innovation as parties vie to win new vot</w:t>
      </w:r>
      <w:r w:rsidR="00A14533" w:rsidRPr="00B06331">
        <w:rPr>
          <w:rFonts w:ascii="Avenir Book" w:eastAsia="MS Mincho" w:hAnsi="Avenir Book"/>
          <w:szCs w:val="20"/>
        </w:rPr>
        <w:t>ers.</w:t>
      </w:r>
      <w:r w:rsidRPr="00B06331">
        <w:rPr>
          <w:rFonts w:ascii="Avenir Book" w:eastAsia="MS Mincho" w:hAnsi="Avenir Book"/>
          <w:szCs w:val="20"/>
        </w:rPr>
        <w:t xml:space="preserve"> Government will </w:t>
      </w:r>
      <w:r w:rsidR="00A14533" w:rsidRPr="00B06331">
        <w:rPr>
          <w:rFonts w:ascii="Avenir Book" w:eastAsia="MS Mincho" w:hAnsi="Avenir Book"/>
          <w:szCs w:val="20"/>
        </w:rPr>
        <w:t xml:space="preserve">therefore </w:t>
      </w:r>
      <w:r w:rsidRPr="00B06331">
        <w:rPr>
          <w:rFonts w:ascii="Avenir Book" w:eastAsia="MS Mincho" w:hAnsi="Avenir Book"/>
          <w:szCs w:val="20"/>
        </w:rPr>
        <w:t>facilitate (i) an open and transparent electoral system, which both promotes and is (indirectly) sustained by (ii) a competitive party regi</w:t>
      </w:r>
      <w:r w:rsidR="00A14533" w:rsidRPr="00B06331">
        <w:rPr>
          <w:rFonts w:ascii="Avenir Book" w:eastAsia="MS Mincho" w:hAnsi="Avenir Book"/>
          <w:szCs w:val="20"/>
        </w:rPr>
        <w:t>me. These will combine</w:t>
      </w:r>
      <w:r w:rsidRPr="00B06331">
        <w:rPr>
          <w:rFonts w:ascii="Avenir Book" w:eastAsia="MS Mincho" w:hAnsi="Avenir Book"/>
          <w:szCs w:val="20"/>
        </w:rPr>
        <w:t xml:space="preserve"> to produce a third, endogenous requirement of good local politics, especially important for the case of The Gambia: a substantive focus on local issues and local people. </w:t>
      </w:r>
    </w:p>
    <w:p w:rsidR="003A5A07" w:rsidRPr="00B06331" w:rsidRDefault="003A5A07" w:rsidP="003A5A07">
      <w:pPr>
        <w:autoSpaceDE w:val="0"/>
        <w:autoSpaceDN w:val="0"/>
        <w:adjustRightInd w:val="0"/>
        <w:spacing w:after="0"/>
        <w:jc w:val="both"/>
        <w:rPr>
          <w:rFonts w:ascii="Avenir Book" w:eastAsia="MS Mincho" w:hAnsi="Avenir Book"/>
          <w:szCs w:val="20"/>
        </w:rPr>
      </w:pPr>
    </w:p>
    <w:p w:rsidR="003A5A07" w:rsidRPr="00B06331" w:rsidRDefault="00A14533" w:rsidP="003A5A07">
      <w:pPr>
        <w:autoSpaceDE w:val="0"/>
        <w:autoSpaceDN w:val="0"/>
        <w:adjustRightInd w:val="0"/>
        <w:spacing w:after="0"/>
        <w:jc w:val="both"/>
        <w:rPr>
          <w:rFonts w:ascii="Avenir Book" w:eastAsia="MS Mincho" w:hAnsi="Avenir Book"/>
          <w:szCs w:val="20"/>
        </w:rPr>
      </w:pPr>
      <w:r w:rsidRPr="00B06331">
        <w:rPr>
          <w:rFonts w:ascii="Avenir Book" w:eastAsia="MS Mincho" w:hAnsi="Avenir Book"/>
          <w:szCs w:val="20"/>
        </w:rPr>
        <w:t>F</w:t>
      </w:r>
      <w:r w:rsidR="003A5A07" w:rsidRPr="00B06331">
        <w:rPr>
          <w:rFonts w:ascii="Avenir Book" w:eastAsia="MS Mincho" w:hAnsi="Avenir Book"/>
          <w:szCs w:val="20"/>
        </w:rPr>
        <w:t xml:space="preserve">or civil society to provide useful oversight and a feedback mechanism for thegoverning process, it must be able to accomplish a limited but important set of tasks. Government will ensure that </w:t>
      </w:r>
      <w:r w:rsidR="00802358" w:rsidRPr="00B06331">
        <w:rPr>
          <w:rFonts w:ascii="Avenir Book" w:eastAsia="MS Mincho" w:hAnsi="Avenir Book"/>
          <w:szCs w:val="20"/>
        </w:rPr>
        <w:t>first;</w:t>
      </w:r>
      <w:r w:rsidR="003A5A07" w:rsidRPr="00B06331">
        <w:rPr>
          <w:rFonts w:ascii="Avenir Book" w:eastAsia="MS Mincho" w:hAnsi="Avenir Book"/>
          <w:szCs w:val="20"/>
        </w:rPr>
        <w:t xml:space="preserve"> it must be able to identify a specific failing of local policy at the community level. It must then be able to formulate a coherent demand or complaint and transmit it upwards </w:t>
      </w:r>
      <w:r w:rsidR="00802358" w:rsidRPr="00B06331">
        <w:rPr>
          <w:rFonts w:ascii="Avenir Book" w:eastAsia="MS Mincho" w:hAnsi="Avenir Book"/>
          <w:szCs w:val="20"/>
        </w:rPr>
        <w:t>through two</w:t>
      </w:r>
      <w:r w:rsidR="003A5A07" w:rsidRPr="00B06331">
        <w:rPr>
          <w:rFonts w:ascii="Avenir Book" w:eastAsia="MS Mincho" w:hAnsi="Avenir Book"/>
          <w:szCs w:val="20"/>
        </w:rPr>
        <w:t xml:space="preserve"> or three of its own hierarchical levels. Finally, local civic leaders must be able to take up this complaint and communicate it convincingly to the mayor/Governor or municipal council.</w:t>
      </w:r>
    </w:p>
    <w:p w:rsidR="003A5A07" w:rsidRPr="00B06331" w:rsidRDefault="003A5A07" w:rsidP="003A5A07">
      <w:pPr>
        <w:autoSpaceDE w:val="0"/>
        <w:autoSpaceDN w:val="0"/>
        <w:adjustRightInd w:val="0"/>
        <w:spacing w:after="0" w:line="240" w:lineRule="auto"/>
        <w:rPr>
          <w:rFonts w:ascii="Avenir Book" w:eastAsia="MS Mincho" w:hAnsi="Avenir Book"/>
          <w:szCs w:val="20"/>
        </w:rPr>
      </w:pPr>
    </w:p>
    <w:p w:rsidR="003A5A07" w:rsidRPr="00B06331" w:rsidRDefault="00294BE4" w:rsidP="003A5A07">
      <w:pPr>
        <w:jc w:val="both"/>
        <w:rPr>
          <w:rFonts w:ascii="Avenir Book" w:eastAsia="MS Mincho" w:hAnsi="Avenir Book"/>
          <w:b/>
          <w:i/>
          <w:color w:val="4472C4" w:themeColor="accent1"/>
        </w:rPr>
      </w:pPr>
      <w:r w:rsidRPr="00B06331">
        <w:rPr>
          <w:rFonts w:ascii="Avenir Book" w:eastAsia="MS Mincho" w:hAnsi="Avenir Book"/>
          <w:b/>
          <w:i/>
          <w:color w:val="4472C4" w:themeColor="accent1"/>
        </w:rPr>
        <w:t>Outcome 12.3: Expanded Revenue Base of Councils supported by Standardized Financial Management and Accounting Systems</w:t>
      </w:r>
    </w:p>
    <w:p w:rsidR="003A5A07" w:rsidRPr="00B06331" w:rsidRDefault="003A5A07" w:rsidP="00BA5F5B">
      <w:pPr>
        <w:jc w:val="both"/>
        <w:rPr>
          <w:rFonts w:ascii="Avenir Book" w:eastAsia="MS Mincho" w:hAnsi="Avenir Book"/>
        </w:rPr>
      </w:pPr>
      <w:r w:rsidRPr="00B06331">
        <w:rPr>
          <w:rFonts w:ascii="Avenir Book" w:eastAsia="MS Mincho" w:hAnsi="Avenir Book"/>
          <w:b/>
        </w:rPr>
        <w:lastRenderedPageBreak/>
        <w:t>Procure and operationalize a standardized and unified financial management and accounting system:</w:t>
      </w:r>
      <w:r w:rsidRPr="00B06331">
        <w:rPr>
          <w:rFonts w:ascii="Avenir Book" w:eastAsia="MS Mincho" w:hAnsi="Avenir Book"/>
        </w:rPr>
        <w:t xml:space="preserve"> Currently, only 37% of councils have </w:t>
      </w:r>
      <w:r w:rsidR="00294BE4" w:rsidRPr="00B06331">
        <w:rPr>
          <w:rFonts w:ascii="Avenir Book" w:eastAsia="MS Mincho" w:hAnsi="Avenir Book"/>
        </w:rPr>
        <w:t>computerized</w:t>
      </w:r>
      <w:r w:rsidRPr="00B06331">
        <w:rPr>
          <w:rFonts w:ascii="Avenir Book" w:eastAsia="MS Mincho" w:hAnsi="Avenir Book"/>
        </w:rPr>
        <w:t xml:space="preserve"> financial management packages. Government will during the plan </w:t>
      </w:r>
      <w:r w:rsidR="00294BE4" w:rsidRPr="00B06331">
        <w:rPr>
          <w:rFonts w:ascii="Avenir Book" w:eastAsia="MS Mincho" w:hAnsi="Avenir Book"/>
        </w:rPr>
        <w:t>period ensure</w:t>
      </w:r>
      <w:r w:rsidRPr="00B06331">
        <w:rPr>
          <w:rFonts w:ascii="Avenir Book" w:eastAsia="MS Mincho" w:hAnsi="Avenir Book"/>
        </w:rPr>
        <w:t xml:space="preserve">that all the 8 councils (100%) have standardized and unified financial management system. </w:t>
      </w:r>
    </w:p>
    <w:p w:rsidR="003A5A07" w:rsidRPr="00B06331" w:rsidRDefault="003A5A07" w:rsidP="003A5A07">
      <w:pPr>
        <w:pStyle w:val="ListParagraph"/>
        <w:ind w:left="0"/>
        <w:jc w:val="both"/>
        <w:rPr>
          <w:rFonts w:ascii="Avenir Book" w:eastAsia="MS Mincho" w:hAnsi="Avenir Book"/>
        </w:rPr>
      </w:pPr>
      <w:r w:rsidRPr="00B06331">
        <w:rPr>
          <w:rFonts w:ascii="Avenir Book" w:eastAsia="MS Mincho" w:hAnsi="Avenir Book"/>
          <w:b/>
        </w:rPr>
        <w:t>Develop and operationalize a resource mobilization plan for each LGA</w:t>
      </w:r>
      <w:r w:rsidRPr="00B06331">
        <w:rPr>
          <w:rFonts w:ascii="Avenir Book" w:eastAsia="MS Mincho" w:hAnsi="Avenir Book"/>
        </w:rPr>
        <w:t>: The current base line is that only 1 council has a plan in place. Government will by 2021, ensure that all the 8 councils have their resource mobilization plans in place (100% coverage</w:t>
      </w:r>
      <w:r w:rsidR="00802358" w:rsidRPr="00B06331">
        <w:rPr>
          <w:rFonts w:ascii="Avenir Book" w:eastAsia="MS Mincho" w:hAnsi="Avenir Book"/>
        </w:rPr>
        <w:t>) and</w:t>
      </w:r>
      <w:r w:rsidRPr="00B06331">
        <w:rPr>
          <w:rFonts w:ascii="Avenir Book" w:eastAsia="MS Mincho" w:hAnsi="Avenir Book"/>
        </w:rPr>
        <w:t xml:space="preserve"> implementation is in earnest. </w:t>
      </w:r>
    </w:p>
    <w:p w:rsidR="003A5A07" w:rsidRPr="00B06331" w:rsidRDefault="003A5A07" w:rsidP="003A5A07">
      <w:pPr>
        <w:pStyle w:val="ListParagraph"/>
        <w:ind w:left="0"/>
        <w:jc w:val="both"/>
        <w:rPr>
          <w:rFonts w:ascii="Avenir Book" w:eastAsia="MS Mincho" w:hAnsi="Avenir Book"/>
        </w:rPr>
      </w:pPr>
    </w:p>
    <w:p w:rsidR="003A5A07" w:rsidRPr="00B06331" w:rsidRDefault="003A5A07" w:rsidP="009949D8">
      <w:pPr>
        <w:pStyle w:val="ListParagraph"/>
        <w:ind w:left="0"/>
        <w:jc w:val="both"/>
        <w:rPr>
          <w:rFonts w:ascii="Avenir Book" w:eastAsia="MS Mincho" w:hAnsi="Avenir Book"/>
        </w:rPr>
      </w:pPr>
      <w:r w:rsidRPr="00B06331">
        <w:rPr>
          <w:rFonts w:ascii="Avenir Book" w:eastAsia="MS Mincho" w:hAnsi="Avenir Book"/>
          <w:b/>
        </w:rPr>
        <w:t>Conduct property valuation and revaluation in the GBA</w:t>
      </w:r>
      <w:r w:rsidRPr="00B06331">
        <w:rPr>
          <w:rFonts w:ascii="Avenir Book" w:eastAsia="MS Mincho" w:hAnsi="Avenir Book"/>
        </w:rPr>
        <w:t>: With the active parti</w:t>
      </w:r>
      <w:r w:rsidR="00A14533" w:rsidRPr="00B06331">
        <w:rPr>
          <w:rFonts w:ascii="Avenir Book" w:eastAsia="MS Mincho" w:hAnsi="Avenir Book"/>
        </w:rPr>
        <w:t>cipation of the private sector,</w:t>
      </w:r>
      <w:r w:rsidRPr="00B06331">
        <w:rPr>
          <w:rFonts w:ascii="Avenir Book" w:eastAsia="MS Mincho" w:hAnsi="Avenir Book"/>
        </w:rPr>
        <w:t xml:space="preserve"> Government will facilitate the conduct of property valu</w:t>
      </w:r>
      <w:r w:rsidR="00A14533" w:rsidRPr="00B06331">
        <w:rPr>
          <w:rFonts w:ascii="Avenir Book" w:eastAsia="MS Mincho" w:hAnsi="Avenir Book"/>
        </w:rPr>
        <w:t xml:space="preserve">ation and revaluation in the GBA; </w:t>
      </w:r>
      <w:r w:rsidRPr="00B06331">
        <w:rPr>
          <w:rFonts w:ascii="Avenir Book" w:eastAsia="MS Mincho" w:hAnsi="Avenir Book"/>
        </w:rPr>
        <w:t>utilizing the services of the private sector</w:t>
      </w:r>
      <w:r w:rsidR="00A14533" w:rsidRPr="00B06331">
        <w:rPr>
          <w:rFonts w:ascii="Avenir Book" w:eastAsia="MS Mincho" w:hAnsi="Avenir Book"/>
        </w:rPr>
        <w:t xml:space="preserve"> will </w:t>
      </w:r>
      <w:r w:rsidR="0095297C" w:rsidRPr="00B06331">
        <w:rPr>
          <w:rFonts w:ascii="Avenir Book" w:eastAsia="MS Mincho" w:hAnsi="Avenir Book"/>
        </w:rPr>
        <w:t>ensure quality</w:t>
      </w:r>
      <w:r w:rsidRPr="00B06331">
        <w:rPr>
          <w:rFonts w:ascii="Avenir Book" w:eastAsia="MS Mincho" w:hAnsi="Avenir Book"/>
        </w:rPr>
        <w:t xml:space="preserve"> and timely</w:t>
      </w:r>
      <w:r w:rsidR="009949D8" w:rsidRPr="00B06331">
        <w:rPr>
          <w:rFonts w:ascii="Avenir Book" w:eastAsia="MS Mincho" w:hAnsi="Avenir Book"/>
        </w:rPr>
        <w:t xml:space="preserve"> implementation of the process.</w:t>
      </w:r>
    </w:p>
    <w:p w:rsidR="003A5A07" w:rsidRPr="00B06331" w:rsidRDefault="003A5A07" w:rsidP="003A5A07">
      <w:pPr>
        <w:pStyle w:val="Heading2"/>
        <w:rPr>
          <w:rFonts w:ascii="Calibri" w:hAnsi="Calibri" w:cs="Calibri"/>
          <w:sz w:val="22"/>
          <w:szCs w:val="22"/>
        </w:rPr>
      </w:pPr>
      <w:bookmarkStart w:id="162" w:name="_Toc488689353"/>
      <w:bookmarkStart w:id="163" w:name="_Toc492364797"/>
      <w:r w:rsidRPr="00B06331">
        <w:rPr>
          <w:rFonts w:ascii="Calibri" w:hAnsi="Calibri" w:cs="Calibri"/>
          <w:sz w:val="22"/>
          <w:szCs w:val="22"/>
        </w:rPr>
        <w:t>8.6 Information Communication Technology</w:t>
      </w:r>
      <w:bookmarkEnd w:id="162"/>
      <w:bookmarkEnd w:id="163"/>
    </w:p>
    <w:p w:rsidR="003A5A07" w:rsidRPr="00B06331" w:rsidRDefault="003A5A07" w:rsidP="003A5A07">
      <w:pPr>
        <w:tabs>
          <w:tab w:val="left" w:pos="1770"/>
        </w:tabs>
        <w:spacing w:after="0"/>
        <w:jc w:val="both"/>
        <w:rPr>
          <w:rFonts w:ascii="Avenir Book" w:hAnsi="Avenir Book"/>
        </w:rPr>
      </w:pPr>
      <w:r w:rsidRPr="00B06331">
        <w:rPr>
          <w:rFonts w:ascii="Avenir Book" w:hAnsi="Avenir Book"/>
        </w:rPr>
        <w:t>ICT is a critical engine for economic growth, especially with the growth of services and the need to link to global markets and value chains.</w:t>
      </w:r>
    </w:p>
    <w:p w:rsidR="003A5A07" w:rsidRPr="00B06331" w:rsidRDefault="003A5A07" w:rsidP="003A5A07">
      <w:pPr>
        <w:tabs>
          <w:tab w:val="left" w:pos="1770"/>
        </w:tabs>
        <w:spacing w:after="0"/>
        <w:jc w:val="both"/>
        <w:rPr>
          <w:rFonts w:ascii="Avenir Book" w:hAnsi="Avenir Book"/>
        </w:rPr>
      </w:pPr>
    </w:p>
    <w:p w:rsidR="003A5A07" w:rsidRPr="00B06331" w:rsidRDefault="003A5A07" w:rsidP="003A5A07">
      <w:pPr>
        <w:tabs>
          <w:tab w:val="left" w:pos="720"/>
        </w:tabs>
        <w:spacing w:after="0" w:line="240" w:lineRule="auto"/>
        <w:jc w:val="both"/>
        <w:rPr>
          <w:rFonts w:cs="Calibri"/>
          <w:szCs w:val="20"/>
        </w:rPr>
      </w:pPr>
      <w:r w:rsidRPr="00B06331">
        <w:rPr>
          <w:rFonts w:cs="Calibri"/>
          <w:szCs w:val="20"/>
        </w:rPr>
        <w:t>ICT is one of the fastest growing sectors of the economy and a major contributor to the service economy. The Gambia has liberalized mobile and broadband services but vested international voice gateway on state-owned GAMTEL. The expansion of ICT facilities has been rapid with penetration rates for mobile services, fixed lines and internet subscriptions exceeding 130%, 2% and 28% respectively. Through the Africa Coast to Europe (ACE) undersea cable, there is a tenfold improvement in internet connectivity. Recent development includes a nationwide fiber optic network – ECOWAN – and WiMAX last mile infrastructure to provide the missing/ critical fiber network</w:t>
      </w:r>
    </w:p>
    <w:p w:rsidR="003A5A07" w:rsidRPr="00B06331" w:rsidRDefault="003A5A07" w:rsidP="003A5A07">
      <w:pPr>
        <w:tabs>
          <w:tab w:val="left" w:pos="720"/>
        </w:tabs>
        <w:spacing w:after="0" w:line="240" w:lineRule="auto"/>
        <w:jc w:val="both"/>
        <w:rPr>
          <w:rFonts w:cs="Calibri"/>
          <w:szCs w:val="20"/>
        </w:rPr>
      </w:pPr>
    </w:p>
    <w:p w:rsidR="003A5A07" w:rsidRPr="00B06331" w:rsidRDefault="003A5A07" w:rsidP="003A5A07">
      <w:pPr>
        <w:tabs>
          <w:tab w:val="left" w:pos="720"/>
        </w:tabs>
        <w:spacing w:after="0" w:line="240" w:lineRule="auto"/>
        <w:jc w:val="both"/>
        <w:rPr>
          <w:rFonts w:cs="Calibri"/>
          <w:szCs w:val="20"/>
        </w:rPr>
      </w:pPr>
      <w:r w:rsidRPr="00B06331">
        <w:rPr>
          <w:rFonts w:cs="Calibri"/>
          <w:szCs w:val="20"/>
        </w:rPr>
        <w:t xml:space="preserve">However, there are many challenges including the following ones: </w:t>
      </w:r>
    </w:p>
    <w:p w:rsidR="003A5A07" w:rsidRPr="00B06331" w:rsidRDefault="003A5A07" w:rsidP="006C657B">
      <w:pPr>
        <w:numPr>
          <w:ilvl w:val="1"/>
          <w:numId w:val="222"/>
        </w:numPr>
        <w:tabs>
          <w:tab w:val="left" w:pos="720"/>
          <w:tab w:val="num" w:pos="1440"/>
        </w:tabs>
        <w:spacing w:after="0" w:line="240" w:lineRule="auto"/>
        <w:jc w:val="both"/>
        <w:rPr>
          <w:rFonts w:cs="Calibri"/>
          <w:szCs w:val="20"/>
        </w:rPr>
      </w:pPr>
      <w:r w:rsidRPr="00B06331">
        <w:rPr>
          <w:rFonts w:cs="Calibri"/>
          <w:szCs w:val="20"/>
        </w:rPr>
        <w:t>Continued monopoly of international voice gateway</w:t>
      </w:r>
    </w:p>
    <w:p w:rsidR="003A5A07" w:rsidRPr="00B06331" w:rsidRDefault="003A5A07" w:rsidP="006C657B">
      <w:pPr>
        <w:numPr>
          <w:ilvl w:val="1"/>
          <w:numId w:val="222"/>
        </w:numPr>
        <w:tabs>
          <w:tab w:val="left" w:pos="720"/>
          <w:tab w:val="num" w:pos="1440"/>
        </w:tabs>
        <w:spacing w:after="0" w:line="240" w:lineRule="auto"/>
        <w:jc w:val="both"/>
        <w:rPr>
          <w:rFonts w:cs="Calibri"/>
          <w:szCs w:val="20"/>
        </w:rPr>
      </w:pPr>
      <w:r w:rsidRPr="00B06331">
        <w:rPr>
          <w:rFonts w:cs="Calibri"/>
          <w:szCs w:val="20"/>
        </w:rPr>
        <w:t>The regulatory and legislative framework for secured and fair use of ICT</w:t>
      </w:r>
    </w:p>
    <w:p w:rsidR="003A5A07" w:rsidRPr="00B06331" w:rsidRDefault="003A5A07" w:rsidP="006C657B">
      <w:pPr>
        <w:numPr>
          <w:ilvl w:val="1"/>
          <w:numId w:val="222"/>
        </w:numPr>
        <w:tabs>
          <w:tab w:val="left" w:pos="720"/>
          <w:tab w:val="num" w:pos="1440"/>
        </w:tabs>
        <w:spacing w:after="0" w:line="240" w:lineRule="auto"/>
        <w:jc w:val="both"/>
        <w:rPr>
          <w:rFonts w:cs="Calibri"/>
          <w:szCs w:val="20"/>
        </w:rPr>
      </w:pPr>
      <w:r w:rsidRPr="00B06331">
        <w:rPr>
          <w:rFonts w:cs="Calibri"/>
          <w:szCs w:val="20"/>
        </w:rPr>
        <w:t>The cost of ICT equipment and the cost of accessing the internet</w:t>
      </w:r>
    </w:p>
    <w:p w:rsidR="003A5A07" w:rsidRPr="00B06331" w:rsidRDefault="003A5A07" w:rsidP="006C657B">
      <w:pPr>
        <w:numPr>
          <w:ilvl w:val="1"/>
          <w:numId w:val="222"/>
        </w:numPr>
        <w:tabs>
          <w:tab w:val="left" w:pos="720"/>
          <w:tab w:val="num" w:pos="1440"/>
        </w:tabs>
        <w:spacing w:after="0" w:line="240" w:lineRule="auto"/>
        <w:jc w:val="both"/>
        <w:rPr>
          <w:rFonts w:cs="Calibri"/>
          <w:szCs w:val="20"/>
        </w:rPr>
      </w:pPr>
      <w:r w:rsidRPr="00B06331">
        <w:rPr>
          <w:rFonts w:cs="Calibri"/>
          <w:szCs w:val="20"/>
        </w:rPr>
        <w:t xml:space="preserve">Slow pace of development of local software application to address pertinent issues due to insufficient human capacities and funding </w:t>
      </w:r>
    </w:p>
    <w:p w:rsidR="003A5A07" w:rsidRPr="00B06331" w:rsidRDefault="003A5A07" w:rsidP="006C657B">
      <w:pPr>
        <w:numPr>
          <w:ilvl w:val="1"/>
          <w:numId w:val="222"/>
        </w:numPr>
        <w:tabs>
          <w:tab w:val="left" w:pos="720"/>
          <w:tab w:val="num" w:pos="1440"/>
        </w:tabs>
        <w:spacing w:after="0" w:line="240" w:lineRule="auto"/>
        <w:jc w:val="both"/>
        <w:rPr>
          <w:rFonts w:cs="Calibri"/>
          <w:szCs w:val="20"/>
        </w:rPr>
      </w:pPr>
      <w:r w:rsidRPr="00B06331">
        <w:rPr>
          <w:rFonts w:cs="Calibri"/>
          <w:szCs w:val="20"/>
        </w:rPr>
        <w:t xml:space="preserve">Transition from analogue to digital broadcasting due to equipment and cost implications </w:t>
      </w:r>
    </w:p>
    <w:p w:rsidR="003A5A07" w:rsidRPr="00B06331" w:rsidRDefault="003A5A07" w:rsidP="003A5A07">
      <w:pPr>
        <w:tabs>
          <w:tab w:val="left" w:pos="1770"/>
        </w:tabs>
        <w:spacing w:after="0"/>
        <w:jc w:val="both"/>
        <w:rPr>
          <w:rFonts w:ascii="Avenir Book" w:hAnsi="Avenir Book"/>
        </w:rPr>
      </w:pPr>
    </w:p>
    <w:p w:rsidR="003A5A07" w:rsidRPr="00B06331" w:rsidRDefault="003A5A07" w:rsidP="003A5A07">
      <w:pPr>
        <w:tabs>
          <w:tab w:val="left" w:pos="1770"/>
        </w:tabs>
        <w:spacing w:after="0"/>
        <w:jc w:val="both"/>
        <w:rPr>
          <w:rFonts w:ascii="Avenir Book" w:hAnsi="Avenir Book"/>
        </w:rPr>
      </w:pPr>
      <w:r w:rsidRPr="00B06331">
        <w:rPr>
          <w:rFonts w:ascii="Avenir Book" w:hAnsi="Avenir Book"/>
        </w:rPr>
        <w:t>To address these and other ch</w:t>
      </w:r>
      <w:r w:rsidR="00294BE4" w:rsidRPr="00B06331">
        <w:rPr>
          <w:rFonts w:ascii="Avenir Book" w:hAnsi="Avenir Book"/>
        </w:rPr>
        <w:t>allenges, the goal for ICT is” to</w:t>
      </w:r>
      <w:r w:rsidRPr="00B06331">
        <w:rPr>
          <w:rFonts w:ascii="Avenir Book" w:hAnsi="Avenir Book"/>
          <w:b/>
          <w:i/>
        </w:rPr>
        <w:t xml:space="preserve"> harness the benefits of ICT in all sectors of the economy for equitable development</w:t>
      </w:r>
      <w:r w:rsidR="00294BE4" w:rsidRPr="00B06331">
        <w:rPr>
          <w:rFonts w:ascii="Avenir Book" w:hAnsi="Avenir Book"/>
          <w:b/>
          <w:i/>
        </w:rPr>
        <w:t>”</w:t>
      </w:r>
    </w:p>
    <w:p w:rsidR="003A5A07" w:rsidRPr="00B06331" w:rsidRDefault="003A5A07" w:rsidP="003A5A07">
      <w:pPr>
        <w:tabs>
          <w:tab w:val="left" w:pos="1770"/>
        </w:tabs>
        <w:spacing w:after="0"/>
        <w:jc w:val="both"/>
        <w:rPr>
          <w:rFonts w:ascii="Avenir Book" w:hAnsi="Avenir Book"/>
        </w:rPr>
      </w:pPr>
    </w:p>
    <w:p w:rsidR="00294BE4" w:rsidRPr="00B06331" w:rsidRDefault="009427E4" w:rsidP="003A5A07">
      <w:pPr>
        <w:tabs>
          <w:tab w:val="left" w:pos="1770"/>
        </w:tabs>
        <w:spacing w:after="0"/>
        <w:jc w:val="both"/>
        <w:rPr>
          <w:rFonts w:ascii="Avenir Book" w:hAnsi="Avenir Book"/>
          <w:b/>
        </w:rPr>
      </w:pPr>
      <w:r w:rsidRPr="00B06331">
        <w:rPr>
          <w:rFonts w:ascii="Avenir Book" w:hAnsi="Avenir Book"/>
          <w:b/>
        </w:rPr>
        <w:t>Table 8.5</w:t>
      </w:r>
      <w:r w:rsidR="00294BE4" w:rsidRPr="00B06331">
        <w:rPr>
          <w:rFonts w:ascii="Avenir Book" w:hAnsi="Avenir Book"/>
          <w:b/>
        </w:rPr>
        <w:t>: Key Expected Resul</w:t>
      </w:r>
      <w:r w:rsidR="004143E3" w:rsidRPr="00B06331">
        <w:rPr>
          <w:rFonts w:ascii="Avenir Book" w:hAnsi="Avenir Book"/>
          <w:b/>
        </w:rPr>
        <w:t xml:space="preserve">ts for ICT </w:t>
      </w:r>
    </w:p>
    <w:tbl>
      <w:tblPr>
        <w:tblStyle w:val="TableGrid"/>
        <w:tblW w:w="0" w:type="auto"/>
        <w:tblLook w:val="04A0"/>
      </w:tblPr>
      <w:tblGrid>
        <w:gridCol w:w="6475"/>
      </w:tblGrid>
      <w:tr w:rsidR="00294BE4" w:rsidRPr="00B06331" w:rsidTr="00294BE4">
        <w:tc>
          <w:tcPr>
            <w:tcW w:w="6475" w:type="dxa"/>
            <w:shd w:val="clear" w:color="auto" w:fill="D9E2F3" w:themeFill="accent1" w:themeFillTint="33"/>
          </w:tcPr>
          <w:p w:rsidR="00294BE4" w:rsidRPr="00B06331" w:rsidRDefault="00294BE4" w:rsidP="004143E3">
            <w:pPr>
              <w:pStyle w:val="ListParagraph"/>
              <w:numPr>
                <w:ilvl w:val="0"/>
                <w:numId w:val="52"/>
              </w:numPr>
              <w:jc w:val="both"/>
              <w:rPr>
                <w:rFonts w:ascii="Avenir Book" w:hAnsi="Avenir Book"/>
              </w:rPr>
            </w:pPr>
            <w:r w:rsidRPr="00B06331">
              <w:rPr>
                <w:rFonts w:ascii="Avenir Book" w:hAnsi="Avenir Book"/>
              </w:rPr>
              <w:t>Increase % of population using the internet daily from 46.8% to</w:t>
            </w:r>
            <w:r w:rsidRPr="00B06331">
              <w:rPr>
                <w:rFonts w:ascii="Avenir Book" w:hAnsi="Avenir Book"/>
              </w:rPr>
              <w:tab/>
              <w:t>90%</w:t>
            </w:r>
          </w:p>
          <w:p w:rsidR="00294BE4" w:rsidRPr="00B06331" w:rsidRDefault="00294BE4" w:rsidP="004143E3">
            <w:pPr>
              <w:pStyle w:val="ListParagraph"/>
              <w:numPr>
                <w:ilvl w:val="0"/>
                <w:numId w:val="52"/>
              </w:numPr>
              <w:jc w:val="both"/>
              <w:rPr>
                <w:rFonts w:ascii="Avenir Book" w:hAnsi="Avenir Book"/>
              </w:rPr>
            </w:pPr>
            <w:r w:rsidRPr="00B06331">
              <w:rPr>
                <w:rFonts w:ascii="Avenir Book" w:hAnsi="Avenir Book"/>
              </w:rPr>
              <w:t>Increase proportion of population with access to mobile phones</w:t>
            </w:r>
            <w:r w:rsidRPr="00B06331">
              <w:rPr>
                <w:rFonts w:ascii="Avenir Book" w:hAnsi="Avenir Book"/>
              </w:rPr>
              <w:tab/>
              <w:t xml:space="preserve"> from 78.9% to 90%</w:t>
            </w:r>
          </w:p>
          <w:p w:rsidR="00294BE4" w:rsidRPr="00B06331" w:rsidRDefault="00294BE4" w:rsidP="004143E3">
            <w:pPr>
              <w:pStyle w:val="ListParagraph"/>
              <w:numPr>
                <w:ilvl w:val="0"/>
                <w:numId w:val="52"/>
              </w:numPr>
              <w:jc w:val="both"/>
              <w:rPr>
                <w:rFonts w:ascii="Avenir Book" w:hAnsi="Avenir Book"/>
              </w:rPr>
            </w:pPr>
            <w:r w:rsidRPr="00B06331">
              <w:rPr>
                <w:rFonts w:ascii="Avenir Book" w:hAnsi="Avenir Book"/>
              </w:rPr>
              <w:t>Increase proportion of schools connected to broadband internet from X% to X%</w:t>
            </w:r>
            <w:r w:rsidRPr="00B06331">
              <w:rPr>
                <w:rFonts w:ascii="Avenir Book" w:hAnsi="Avenir Book"/>
              </w:rPr>
              <w:tab/>
            </w:r>
            <w:r w:rsidRPr="00B06331">
              <w:rPr>
                <w:rFonts w:ascii="Avenir Book" w:hAnsi="Avenir Book"/>
              </w:rPr>
              <w:tab/>
            </w:r>
          </w:p>
          <w:p w:rsidR="00294BE4" w:rsidRPr="00B06331" w:rsidRDefault="00294BE4" w:rsidP="004143E3">
            <w:pPr>
              <w:pStyle w:val="ListParagraph"/>
              <w:numPr>
                <w:ilvl w:val="0"/>
                <w:numId w:val="52"/>
              </w:numPr>
              <w:jc w:val="both"/>
              <w:rPr>
                <w:rFonts w:ascii="Avenir Book" w:hAnsi="Avenir Book"/>
              </w:rPr>
            </w:pPr>
            <w:r w:rsidRPr="00B06331">
              <w:rPr>
                <w:rFonts w:ascii="Avenir Book" w:hAnsi="Avenir Book"/>
              </w:rPr>
              <w:t xml:space="preserve">Existence of National Information and communications Infrastructure </w:t>
            </w:r>
            <w:r w:rsidRPr="00B06331">
              <w:rPr>
                <w:rFonts w:ascii="Avenir Book" w:hAnsi="Avenir Book"/>
              </w:rPr>
              <w:lastRenderedPageBreak/>
              <w:t>policy II</w:t>
            </w:r>
            <w:r w:rsidRPr="00B06331">
              <w:rPr>
                <w:rFonts w:ascii="Avenir Book" w:hAnsi="Avenir Book"/>
              </w:rPr>
              <w:tab/>
            </w:r>
          </w:p>
        </w:tc>
      </w:tr>
    </w:tbl>
    <w:p w:rsidR="00294BE4" w:rsidRPr="00B06331" w:rsidRDefault="00294BE4" w:rsidP="003A5A07">
      <w:pPr>
        <w:tabs>
          <w:tab w:val="left" w:pos="1770"/>
        </w:tabs>
        <w:spacing w:after="0"/>
        <w:jc w:val="both"/>
        <w:rPr>
          <w:rFonts w:ascii="Avenir Book" w:hAnsi="Avenir Book"/>
        </w:rPr>
      </w:pPr>
    </w:p>
    <w:p w:rsidR="003A5A07" w:rsidRPr="00B06331" w:rsidRDefault="003A5A07" w:rsidP="003A5A07">
      <w:pPr>
        <w:tabs>
          <w:tab w:val="left" w:pos="1770"/>
        </w:tabs>
        <w:spacing w:after="0"/>
        <w:jc w:val="both"/>
        <w:rPr>
          <w:rFonts w:ascii="Avenir Book" w:hAnsi="Avenir Book"/>
        </w:rPr>
      </w:pPr>
      <w:r w:rsidRPr="00B06331">
        <w:rPr>
          <w:rFonts w:ascii="Avenir Book" w:hAnsi="Avenir Book"/>
        </w:rPr>
        <w:t xml:space="preserve">There is one outcome related to ICT (outcome 13.1) </w:t>
      </w:r>
    </w:p>
    <w:p w:rsidR="00294BE4" w:rsidRPr="00B06331" w:rsidRDefault="00294BE4" w:rsidP="003A5A07">
      <w:pPr>
        <w:tabs>
          <w:tab w:val="left" w:pos="1770"/>
        </w:tabs>
        <w:spacing w:after="0"/>
        <w:jc w:val="both"/>
        <w:rPr>
          <w:rFonts w:ascii="Avenir Book" w:hAnsi="Avenir Book"/>
        </w:rPr>
      </w:pPr>
    </w:p>
    <w:p w:rsidR="003A5A07" w:rsidRPr="00B06331" w:rsidRDefault="00294BE4" w:rsidP="003A5A07">
      <w:pPr>
        <w:tabs>
          <w:tab w:val="left" w:pos="1770"/>
        </w:tabs>
        <w:spacing w:after="0"/>
        <w:jc w:val="both"/>
        <w:rPr>
          <w:rFonts w:ascii="Avenir Book" w:hAnsi="Avenir Book"/>
          <w:b/>
          <w:i/>
        </w:rPr>
      </w:pPr>
      <w:r w:rsidRPr="00B06331">
        <w:rPr>
          <w:rFonts w:ascii="Avenir Book" w:hAnsi="Avenir Book"/>
          <w:b/>
          <w:i/>
          <w:color w:val="4472C4" w:themeColor="accent1"/>
        </w:rPr>
        <w:t>Outcome 13.1: Enhanced ICT Infrastructure and Services for increased access to quality broadband services and solutions to support inclusive and sustainable development</w:t>
      </w:r>
    </w:p>
    <w:p w:rsidR="003A5A07" w:rsidRPr="00B06331" w:rsidRDefault="003A5A07" w:rsidP="003A5A07">
      <w:pPr>
        <w:tabs>
          <w:tab w:val="left" w:pos="1770"/>
        </w:tabs>
        <w:spacing w:after="0"/>
        <w:jc w:val="both"/>
        <w:rPr>
          <w:rFonts w:ascii="Avenir Book" w:hAnsi="Avenir Book"/>
        </w:rPr>
      </w:pPr>
    </w:p>
    <w:p w:rsidR="003A5A07" w:rsidRPr="00B06331" w:rsidRDefault="003A5A07" w:rsidP="003A5A07">
      <w:pPr>
        <w:pStyle w:val="ListParagraph"/>
        <w:spacing w:after="0" w:line="240" w:lineRule="auto"/>
        <w:ind w:left="0"/>
        <w:jc w:val="both"/>
        <w:rPr>
          <w:rFonts w:ascii="Avenir Book" w:eastAsia="MS Mincho" w:hAnsi="Avenir Book"/>
        </w:rPr>
      </w:pPr>
      <w:r w:rsidRPr="00B06331">
        <w:rPr>
          <w:rFonts w:ascii="Avenir Book" w:eastAsia="MS Mincho" w:hAnsi="Avenir Book"/>
        </w:rPr>
        <w:t>Government during the plan period will intervene and take measures in the following areas: improve regulatory services and polices; establish a National ICT Agency; establish a National Data Centre to strengthen e-government; Upgrade Telecoms Access Network (Last Mile Connectivity); establish a National Technology Park to spur research and development; increase roll out of regional ICT centers to enhance connectivity to schools and communities; achieve Digital Switch Over and Analogue Switch off; Strengthen Cyber-Security and enhance Postal Service delivery</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 xml:space="preserve">Establishment of a National ICT Agency: </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The policy objective of the Government is to transform The Gambia into a digital economy for rapid socio-economic development through the establishment of relev</w:t>
      </w:r>
      <w:r w:rsidR="006C657B" w:rsidRPr="00B06331">
        <w:rPr>
          <w:rFonts w:ascii="Avenir Book" w:eastAsia="MS Mincho" w:hAnsi="Avenir Book"/>
        </w:rPr>
        <w:t>ant infrastructure</w:t>
      </w:r>
      <w:r w:rsidRPr="00B06331">
        <w:rPr>
          <w:rFonts w:ascii="Avenir Book" w:eastAsia="MS Mincho" w:hAnsi="Avenir Book"/>
        </w:rPr>
        <w:t>; provision of an enabling liberalized market environment; strength</w:t>
      </w:r>
      <w:r w:rsidR="00A14533" w:rsidRPr="00B06331">
        <w:rPr>
          <w:rFonts w:ascii="Avenir Book" w:eastAsia="MS Mincho" w:hAnsi="Avenir Book"/>
        </w:rPr>
        <w:t>ening capacity</w:t>
      </w:r>
      <w:r w:rsidRPr="00B06331">
        <w:rPr>
          <w:rFonts w:ascii="Avenir Book" w:eastAsia="MS Mincho" w:hAnsi="Avenir Book"/>
        </w:rPr>
        <w:t xml:space="preserve"> as well as mobilization of resources. </w:t>
      </w:r>
    </w:p>
    <w:p w:rsidR="003A5A07" w:rsidRPr="00B06331" w:rsidRDefault="003A5A07" w:rsidP="003A5A07">
      <w:pPr>
        <w:spacing w:before="120" w:after="120"/>
        <w:jc w:val="both"/>
        <w:rPr>
          <w:rFonts w:ascii="Avenir Book" w:eastAsia="MS Mincho" w:hAnsi="Avenir Book"/>
        </w:rPr>
      </w:pPr>
      <w:r w:rsidRPr="00B06331">
        <w:rPr>
          <w:rFonts w:ascii="Avenir Book" w:eastAsia="MS Mincho" w:hAnsi="Avenir Book"/>
        </w:rPr>
        <w:t>To ensure the</w:t>
      </w:r>
      <w:r w:rsidR="00A14533" w:rsidRPr="00B06331">
        <w:rPr>
          <w:rFonts w:ascii="Avenir Book" w:eastAsia="MS Mincho" w:hAnsi="Avenir Book"/>
        </w:rPr>
        <w:t xml:space="preserve"> sustained use of ICT in </w:t>
      </w:r>
      <w:r w:rsidRPr="00B06331">
        <w:rPr>
          <w:rFonts w:ascii="Avenir Book" w:eastAsia="MS Mincho" w:hAnsi="Avenir Book"/>
        </w:rPr>
        <w:t>development,  Government will strengthen  stakeholder collaboration through PPPs; mobilize resources for the implementation of ICT program</w:t>
      </w:r>
      <w:r w:rsidR="00A14533" w:rsidRPr="00B06331">
        <w:rPr>
          <w:rFonts w:ascii="Avenir Book" w:eastAsia="MS Mincho" w:hAnsi="Avenir Book"/>
        </w:rPr>
        <w:t>s</w:t>
      </w:r>
      <w:r w:rsidRPr="00B06331">
        <w:rPr>
          <w:rFonts w:ascii="Avenir Book" w:eastAsia="MS Mincho" w:hAnsi="Avenir Book"/>
        </w:rPr>
        <w:t xml:space="preserve"> and activities; pursue advocacy programs to raise the level of awareness on ICTs and its usage; enhance the National ICT Infrastructure while creating a more conducive and enabling environment; and improve the `Telecommunications Access Network and generally position ICTs as an enabler to achieve the national development objectives.</w:t>
      </w:r>
    </w:p>
    <w:p w:rsidR="003A5A07" w:rsidRPr="00B06331" w:rsidRDefault="00A14533" w:rsidP="003A5A07">
      <w:pPr>
        <w:spacing w:after="0"/>
        <w:jc w:val="both"/>
        <w:rPr>
          <w:rFonts w:ascii="Avenir Book" w:eastAsia="MS Mincho" w:hAnsi="Avenir Book"/>
        </w:rPr>
      </w:pPr>
      <w:r w:rsidRPr="00B06331">
        <w:rPr>
          <w:rFonts w:ascii="Avenir Book" w:eastAsia="MS Mincho" w:hAnsi="Avenir Book"/>
        </w:rPr>
        <w:t>To this end, a</w:t>
      </w:r>
      <w:r w:rsidR="003A5A07" w:rsidRPr="00B06331">
        <w:rPr>
          <w:rFonts w:ascii="Avenir Book" w:eastAsia="MS Mincho" w:hAnsi="Avenir Book"/>
        </w:rPr>
        <w:t xml:space="preserve"> National ICT Agency would be established to take up the implementation and coordination of ICT activities and programs at a national level thereby enforcing the policy objectives and goals set at a macro level. In addition, the Agency will help attract the requisite human resources needed for the management and operation of the envisioned national Data Centre. </w:t>
      </w:r>
    </w:p>
    <w:p w:rsidR="003A5A07" w:rsidRPr="00B06331" w:rsidRDefault="003A5A07" w:rsidP="003A5A07">
      <w:pPr>
        <w:pStyle w:val="Default"/>
        <w:jc w:val="both"/>
        <w:rPr>
          <w:rFonts w:ascii="Avenir Book" w:eastAsia="MS Mincho" w:hAnsi="Avenir Book" w:cs="Times New Roman"/>
          <w:color w:val="auto"/>
          <w:sz w:val="22"/>
          <w:szCs w:val="22"/>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 xml:space="preserve">A National Data Center to strengthen e-government: </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 xml:space="preserve">A National Data Center to host electronic services for the public and private sectors as well as civil society organizations would be established to facilitate e-Governance. The requisite human resource to cater for the growing demands in the ICT sector would also be developed and strengthened.  Government intends to establish the national Data Centre through a PPP initiative and has been engaging interested investors </w:t>
      </w:r>
      <w:r w:rsidR="00294BE4" w:rsidRPr="00B06331">
        <w:rPr>
          <w:rFonts w:ascii="Avenir Book" w:eastAsia="MS Mincho" w:hAnsi="Avenir Book"/>
        </w:rPr>
        <w:t>to</w:t>
      </w:r>
      <w:r w:rsidRPr="00B06331">
        <w:rPr>
          <w:rFonts w:ascii="Avenir Book" w:eastAsia="MS Mincho" w:hAnsi="Avenir Book"/>
        </w:rPr>
        <w:t xml:space="preserve"> ensure that this key intervention is attained. The ministry of Information and Communication Infrastructure and the Directorate of PPP under the Ministry of Finance will actively work together on securing the required finances for the establishment of the National Data Centre.</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lastRenderedPageBreak/>
        <w:t>Government will continue mainstreaming ICTs in sectoral policies and plans. E-education, E-health, E-tourism and E-Commerce platforms will be strengthened to ensure the respective sectors build on the successes inspired by these platforms.</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 xml:space="preserve">Improve regulatory services and policies: </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In line with recent developments in the telecoms, broadcasting a</w:t>
      </w:r>
      <w:r w:rsidR="006C657B" w:rsidRPr="00B06331">
        <w:rPr>
          <w:rFonts w:ascii="Avenir Book" w:eastAsia="MS Mincho" w:hAnsi="Avenir Book"/>
        </w:rPr>
        <w:t>nd media sub-sectors, the government</w:t>
      </w:r>
      <w:r w:rsidRPr="00B06331">
        <w:rPr>
          <w:rFonts w:ascii="Avenir Book" w:eastAsia="MS Mincho" w:hAnsi="Avenir Book"/>
        </w:rPr>
        <w:t xml:space="preserve"> is committed to improving and strengthening regulatory policies during the plan period. It will also strive to enhance the licensing framework in line with international standards. Government will also undertake policy reforms in the sector and will pay particular attention to full liberalization of the voice gateway as well as kick start the process of repositioning and restructuring GAMTEL and GAMCEL.</w:t>
      </w:r>
    </w:p>
    <w:p w:rsidR="003A5A07" w:rsidRPr="00B06331" w:rsidRDefault="003A5A07" w:rsidP="003A5A07">
      <w:pPr>
        <w:pStyle w:val="ListParagraph"/>
        <w:spacing w:after="0" w:line="240" w:lineRule="auto"/>
        <w:ind w:left="360"/>
        <w:contextualSpacing w:val="0"/>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The reform of any telecoms sector requires effec</w:t>
      </w:r>
      <w:r w:rsidR="0095297C" w:rsidRPr="00B06331">
        <w:rPr>
          <w:rFonts w:ascii="Avenir Book" w:eastAsia="MS Mincho" w:hAnsi="Avenir Book"/>
        </w:rPr>
        <w:t>tive and efficient regulation, w</w:t>
      </w:r>
      <w:r w:rsidRPr="00B06331">
        <w:rPr>
          <w:rFonts w:ascii="Avenir Book" w:eastAsia="MS Mincho" w:hAnsi="Avenir Book"/>
        </w:rPr>
        <w:t>ithout which, the regulator may pos</w:t>
      </w:r>
      <w:r w:rsidR="0095297C" w:rsidRPr="00B06331">
        <w:rPr>
          <w:rFonts w:ascii="Avenir Book" w:eastAsia="MS Mincho" w:hAnsi="Avenir Book"/>
        </w:rPr>
        <w:t>e risk to the industry</w:t>
      </w:r>
      <w:r w:rsidRPr="00B06331">
        <w:rPr>
          <w:rFonts w:ascii="Avenir Book" w:eastAsia="MS Mincho" w:hAnsi="Avenir Book"/>
        </w:rPr>
        <w:t xml:space="preserve">. PURA’s role in the proposed reform of the sector is pivotal to its success. Therefore, continued capacity building to oversee the sector and to ensure enforcement of the Open Access Policy (ACE &amp; ECOWAN), Spectrum Management, Infrastructure Sharing and a fair tariff regime will be increasingly important to further develop the broadband internet market particularly in the aftermath of the Digital Switchover. Government will thus prioritize capacity building for PURA during the plan period. </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 xml:space="preserve">Upgrading Telecoms Access Network (Last Mile Connectivity): </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 xml:space="preserve">In its quest to build on the initiatives geared towards locally narrowing the digital divide, upgrading of the Telecoms Access Network will be prioritized by Government. This will translate into an additional (or another) infrastructural project (National Broadband Network) that will focus on linking (“Last mile”) customers (both public and private) to the ECOWAN backbone and providing them with affordable broadband services. GAMTEL is set to implement a National Broadband Network project with the goal of rolling out additional fibre </w:t>
      </w:r>
      <w:r w:rsidR="005E3B07" w:rsidRPr="00B06331">
        <w:rPr>
          <w:rFonts w:ascii="Avenir Book" w:eastAsia="MS Mincho" w:hAnsi="Avenir Book"/>
        </w:rPr>
        <w:t>to</w:t>
      </w:r>
      <w:r w:rsidRPr="00B06331">
        <w:rPr>
          <w:rFonts w:ascii="Avenir Book" w:eastAsia="MS Mincho" w:hAnsi="Avenir Book"/>
        </w:rPr>
        <w:t xml:space="preserve"> boost access to broadband services across the country. Government intends to achieve 90 percent broadband internet penetration in the country by 2021.</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Achieve digital switch over and analogue switch off</w:t>
      </w:r>
    </w:p>
    <w:p w:rsidR="0095297C" w:rsidRPr="00B06331" w:rsidRDefault="0095297C"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 xml:space="preserve">To ensure </w:t>
      </w:r>
      <w:r w:rsidR="0095297C" w:rsidRPr="00B06331">
        <w:rPr>
          <w:rFonts w:ascii="Avenir Book" w:eastAsia="MS Mincho" w:hAnsi="Avenir Book"/>
        </w:rPr>
        <w:t xml:space="preserve">that </w:t>
      </w:r>
      <w:r w:rsidRPr="00B06331">
        <w:rPr>
          <w:rFonts w:ascii="Avenir Book" w:eastAsia="MS Mincho" w:hAnsi="Avenir Book"/>
        </w:rPr>
        <w:t>Gambia catches up with the International Telecommunications Unions requirements in transitioning from Analogue to Digital Broadcasting as well as meeting the global deadline for the Analogue Switch Off, government will continue its support to the Digital Switch Over process by ensuring that all the requisite regulatory, technical and financial conditions are put in place to guide and hasten the process.</w:t>
      </w:r>
    </w:p>
    <w:p w:rsidR="004143E3" w:rsidRPr="00B06331" w:rsidRDefault="004143E3"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Establish a National Technology Park to spur research and development:</w:t>
      </w:r>
    </w:p>
    <w:p w:rsidR="003A5A07" w:rsidRPr="00B06331" w:rsidRDefault="003A5A07" w:rsidP="003A5A07">
      <w:pPr>
        <w:spacing w:after="0" w:line="240" w:lineRule="auto"/>
        <w:jc w:val="both"/>
        <w:rPr>
          <w:rFonts w:ascii="Avenir Book" w:eastAsia="MS Mincho" w:hAnsi="Avenir Book"/>
        </w:rPr>
      </w:pPr>
    </w:p>
    <w:p w:rsidR="003A5A07" w:rsidRPr="00B06331" w:rsidRDefault="0095297C" w:rsidP="003A5A07">
      <w:pPr>
        <w:spacing w:after="0" w:line="240" w:lineRule="auto"/>
        <w:jc w:val="both"/>
        <w:rPr>
          <w:rFonts w:ascii="Avenir Book" w:eastAsia="MS Mincho" w:hAnsi="Avenir Book"/>
        </w:rPr>
      </w:pPr>
      <w:r w:rsidRPr="00B06331">
        <w:rPr>
          <w:rFonts w:ascii="Avenir Book" w:eastAsia="MS Mincho" w:hAnsi="Avenir Book"/>
        </w:rPr>
        <w:t>G</w:t>
      </w:r>
      <w:r w:rsidR="003A5A07" w:rsidRPr="00B06331">
        <w:rPr>
          <w:rFonts w:ascii="Avenir Book" w:eastAsia="MS Mincho" w:hAnsi="Avenir Book"/>
        </w:rPr>
        <w:t>overnment will conduct a feasibility study that will look into the merits and digital dividends of establishing a Technology Park to spur research and development in the field, encourage the adoption of careers in ICT by the youthful population and ultimately attract ICT investors in the country. The park will serve as an innovation and development hub which will help prepare the Gambia to keep up with the pace of evolution within this industry.</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 xml:space="preserve">Increase roll out of regional ICT centers to enhance connectivity to schools and communities: </w:t>
      </w:r>
    </w:p>
    <w:p w:rsidR="003A5A07" w:rsidRPr="00B06331" w:rsidRDefault="003A5A07" w:rsidP="003A5A07">
      <w:pPr>
        <w:spacing w:after="0" w:line="240" w:lineRule="auto"/>
        <w:jc w:val="both"/>
        <w:rPr>
          <w:rFonts w:ascii="Avenir Book" w:eastAsia="MS Mincho" w:hAnsi="Avenir Book"/>
        </w:rPr>
      </w:pPr>
    </w:p>
    <w:p w:rsidR="003A5A07" w:rsidRPr="00B06331" w:rsidRDefault="0095297C" w:rsidP="003A5A07">
      <w:pPr>
        <w:spacing w:after="0" w:line="240" w:lineRule="auto"/>
        <w:jc w:val="both"/>
        <w:rPr>
          <w:rFonts w:ascii="Avenir Book" w:eastAsia="MS Mincho" w:hAnsi="Avenir Book"/>
        </w:rPr>
      </w:pPr>
      <w:r w:rsidRPr="00B06331">
        <w:rPr>
          <w:rFonts w:ascii="Avenir Book" w:eastAsia="MS Mincho" w:hAnsi="Avenir Book"/>
        </w:rPr>
        <w:t>G</w:t>
      </w:r>
      <w:r w:rsidR="003A5A07" w:rsidRPr="00B06331">
        <w:rPr>
          <w:rFonts w:ascii="Avenir Book" w:eastAsia="MS Mincho" w:hAnsi="Avenir Book"/>
        </w:rPr>
        <w:t xml:space="preserve">overnment will establish regional ICT Centers throughout the administrative regions of the country and thus ensure the active participation of citizens in the e-Government initiatives. This, as a trend, has been implemented in a number of countries that have registered success in their respective e- Government initiatives. Another important priority for the National Development Plan is to have ICTs as a core subject in schools. </w:t>
      </w:r>
    </w:p>
    <w:p w:rsidR="003A5A07" w:rsidRPr="00B06331" w:rsidRDefault="003A5A07" w:rsidP="003A5A07">
      <w:pPr>
        <w:spacing w:after="0" w:line="240" w:lineRule="auto"/>
        <w:jc w:val="both"/>
        <w:rPr>
          <w:rFonts w:ascii="Avenir Book" w:eastAsia="MS Mincho" w:hAnsi="Avenir Book"/>
        </w:rPr>
      </w:pPr>
    </w:p>
    <w:p w:rsidR="003A5A07" w:rsidRPr="00B06331" w:rsidRDefault="0095297C" w:rsidP="003A5A07">
      <w:pPr>
        <w:spacing w:after="0" w:line="240" w:lineRule="auto"/>
        <w:jc w:val="both"/>
        <w:rPr>
          <w:rFonts w:ascii="Avenir Book" w:eastAsia="MS Mincho" w:hAnsi="Avenir Book"/>
        </w:rPr>
      </w:pPr>
      <w:r w:rsidRPr="00B06331">
        <w:rPr>
          <w:rFonts w:ascii="Avenir Book" w:eastAsia="MS Mincho" w:hAnsi="Avenir Book"/>
        </w:rPr>
        <w:t>G</w:t>
      </w:r>
      <w:r w:rsidR="003A5A07" w:rsidRPr="00B06331">
        <w:rPr>
          <w:rFonts w:ascii="Avenir Book" w:eastAsia="MS Mincho" w:hAnsi="Avenir Book"/>
        </w:rPr>
        <w:t xml:space="preserve">overnment in its quest for a participatory governance </w:t>
      </w:r>
      <w:r w:rsidR="00802358" w:rsidRPr="00B06331">
        <w:rPr>
          <w:rFonts w:ascii="Avenir Book" w:eastAsia="MS Mincho" w:hAnsi="Avenir Book"/>
        </w:rPr>
        <w:t>system</w:t>
      </w:r>
      <w:r w:rsidR="003A5A07" w:rsidRPr="00B06331">
        <w:rPr>
          <w:rFonts w:ascii="Avenir Book" w:eastAsia="MS Mincho" w:hAnsi="Avenir Book"/>
        </w:rPr>
        <w:t xml:space="preserve"> recognizes that access to information is a critical means to the end and will therefore support the proliferation of media entities and in the same vein strive to ensure that responsible journalistic practices are adhered to.</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 xml:space="preserve">Strengthen cyber security: </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rPr>
      </w:pPr>
      <w:r w:rsidRPr="00B06331">
        <w:rPr>
          <w:rFonts w:ascii="Avenir Book" w:eastAsia="MS Mincho" w:hAnsi="Avenir Book"/>
        </w:rPr>
        <w:t>As Cyber Crime has become an emerging threat globally, Government implement the National Cyber Security Strategy and Action Plan to mitigate cyber threats. Government would also strive to build local capacity including Cyber Defense Systems and personnel to protect national security. This is also in line with the establishment of the Computer Incidence Response Team (CIRT). The CIRT will be equipped with the necessary resources to avert and combat not only cyber threats emanating locally but internationally as well.</w:t>
      </w:r>
    </w:p>
    <w:p w:rsidR="003A5A07" w:rsidRPr="00B06331" w:rsidRDefault="003A5A07" w:rsidP="003A5A07">
      <w:pPr>
        <w:spacing w:after="0" w:line="240" w:lineRule="auto"/>
        <w:jc w:val="both"/>
        <w:rPr>
          <w:rFonts w:ascii="Avenir Book" w:eastAsia="MS Mincho" w:hAnsi="Avenir Book"/>
        </w:rPr>
      </w:pPr>
    </w:p>
    <w:p w:rsidR="003A5A07" w:rsidRPr="00B06331" w:rsidRDefault="003A5A07" w:rsidP="003A5A07">
      <w:pPr>
        <w:spacing w:after="0" w:line="240" w:lineRule="auto"/>
        <w:jc w:val="both"/>
        <w:rPr>
          <w:rFonts w:ascii="Avenir Book" w:eastAsia="MS Mincho" w:hAnsi="Avenir Book"/>
          <w:b/>
        </w:rPr>
      </w:pPr>
      <w:r w:rsidRPr="00B06331">
        <w:rPr>
          <w:rFonts w:ascii="Avenir Book" w:eastAsia="MS Mincho" w:hAnsi="Avenir Book"/>
          <w:b/>
        </w:rPr>
        <w:t>Enhance Postal Service Delivery</w:t>
      </w:r>
    </w:p>
    <w:p w:rsidR="003A5A07" w:rsidRPr="00B06331" w:rsidRDefault="003A5A07" w:rsidP="003A5A07">
      <w:pPr>
        <w:autoSpaceDE w:val="0"/>
        <w:autoSpaceDN w:val="0"/>
        <w:adjustRightInd w:val="0"/>
        <w:spacing w:after="0" w:line="240" w:lineRule="auto"/>
        <w:jc w:val="both"/>
        <w:rPr>
          <w:rFonts w:ascii="Avenir Book" w:eastAsia="MS Mincho" w:hAnsi="Avenir Book"/>
        </w:rPr>
      </w:pPr>
    </w:p>
    <w:p w:rsidR="003A5A07" w:rsidRPr="00B06331" w:rsidRDefault="003A5A07" w:rsidP="003A5A07">
      <w:pPr>
        <w:autoSpaceDE w:val="0"/>
        <w:autoSpaceDN w:val="0"/>
        <w:adjustRightInd w:val="0"/>
        <w:spacing w:after="0" w:line="240" w:lineRule="auto"/>
        <w:jc w:val="both"/>
        <w:rPr>
          <w:rFonts w:ascii="Avenir Book" w:eastAsia="MS Mincho" w:hAnsi="Avenir Book"/>
        </w:rPr>
      </w:pPr>
      <w:r w:rsidRPr="00B06331">
        <w:rPr>
          <w:rFonts w:ascii="Avenir Book" w:eastAsia="MS Mincho" w:hAnsi="Avenir Book"/>
        </w:rPr>
        <w:t xml:space="preserve">The Gambia Postal Services (GAMPOST) is currently the only national postal service provider. Government will provide support for GAMPOST to continue to provide accessible, affordable and reliable postal and financial services. The vision of GAMPOST is to provide these services to all Gambia wherever they reside and the company is spreading its tentacles from just mail services to courier, financial and philately to ensure it moves in line with the increasingly digitized global market. </w:t>
      </w:r>
      <w:r w:rsidR="00802358" w:rsidRPr="00B06331">
        <w:rPr>
          <w:rFonts w:ascii="Avenir Book" w:eastAsia="MS Mincho" w:hAnsi="Avenir Book"/>
        </w:rPr>
        <w:t>However,</w:t>
      </w:r>
      <w:r w:rsidRPr="00B06331">
        <w:rPr>
          <w:rFonts w:ascii="Avenir Book" w:eastAsia="MS Mincho" w:hAnsi="Avenir Book"/>
        </w:rPr>
        <w:t xml:space="preserve"> there is a major challenge to this process as it heavily depends on antiquated methods which would require a digitized revamp of the entire postal service system. </w:t>
      </w:r>
    </w:p>
    <w:p w:rsidR="003A5A07" w:rsidRPr="00B06331" w:rsidRDefault="003A5A07" w:rsidP="003A5A07">
      <w:pPr>
        <w:autoSpaceDE w:val="0"/>
        <w:autoSpaceDN w:val="0"/>
        <w:adjustRightInd w:val="0"/>
        <w:spacing w:after="0" w:line="240" w:lineRule="auto"/>
        <w:jc w:val="both"/>
        <w:rPr>
          <w:rFonts w:ascii="Avenir Book" w:eastAsia="MS Mincho" w:hAnsi="Avenir Book"/>
        </w:rPr>
      </w:pPr>
    </w:p>
    <w:p w:rsidR="003A5A07" w:rsidRPr="00B06331" w:rsidRDefault="003A5A07" w:rsidP="006C6E23">
      <w:pPr>
        <w:autoSpaceDE w:val="0"/>
        <w:autoSpaceDN w:val="0"/>
        <w:adjustRightInd w:val="0"/>
        <w:spacing w:after="0" w:line="240" w:lineRule="auto"/>
        <w:jc w:val="both"/>
        <w:rPr>
          <w:rFonts w:ascii="Avenir Book" w:eastAsia="MS Mincho" w:hAnsi="Avenir Book"/>
        </w:rPr>
      </w:pPr>
      <w:r w:rsidRPr="00B06331">
        <w:rPr>
          <w:rFonts w:ascii="Avenir Book" w:eastAsia="MS Mincho" w:hAnsi="Avenir Book"/>
        </w:rPr>
        <w:t xml:space="preserve">Government will strive to put in place the requisite infrastructural requirements to support this process </w:t>
      </w:r>
      <w:r w:rsidR="00802358" w:rsidRPr="00B06331">
        <w:rPr>
          <w:rFonts w:ascii="Avenir Book" w:eastAsia="MS Mincho" w:hAnsi="Avenir Book"/>
        </w:rPr>
        <w:t>and</w:t>
      </w:r>
      <w:r w:rsidRPr="00B06331">
        <w:rPr>
          <w:rFonts w:ascii="Avenir Book" w:eastAsia="MS Mincho" w:hAnsi="Avenir Book"/>
        </w:rPr>
        <w:t xml:space="preserve"> provide capacity building support to GAMPOST in order to have the right human resource in place for this posta</w:t>
      </w:r>
      <w:r w:rsidR="006C6E23" w:rsidRPr="00B06331">
        <w:rPr>
          <w:rFonts w:ascii="Avenir Book" w:eastAsia="MS Mincho" w:hAnsi="Avenir Book"/>
        </w:rPr>
        <w:t>l service digitization process.</w:t>
      </w:r>
      <w:r w:rsidRPr="00B06331">
        <w:rPr>
          <w:rFonts w:ascii="Avenir Book" w:eastAsia="MS Mincho" w:hAnsi="Avenir Book"/>
        </w:rPr>
        <w:t>The ministry of Information and Communication Infrastructure in collaboration with GAMPOST and the Ministry of Lands and regional government, will work towards developing a holistic National Address System that will serve to resolve issues of ma</w:t>
      </w:r>
      <w:r w:rsidR="00405874" w:rsidRPr="00B06331">
        <w:rPr>
          <w:rFonts w:ascii="Avenir Book" w:eastAsia="MS Mincho" w:hAnsi="Avenir Book"/>
        </w:rPr>
        <w:t>il delivery within the country.</w:t>
      </w:r>
    </w:p>
    <w:p w:rsidR="00EB7E8A" w:rsidRPr="00B06331" w:rsidRDefault="00EB7E8A" w:rsidP="006C6E23">
      <w:pPr>
        <w:autoSpaceDE w:val="0"/>
        <w:autoSpaceDN w:val="0"/>
        <w:adjustRightInd w:val="0"/>
        <w:spacing w:after="0" w:line="240" w:lineRule="auto"/>
        <w:jc w:val="both"/>
        <w:rPr>
          <w:rFonts w:ascii="Avenir Book" w:eastAsia="MS Mincho" w:hAnsi="Avenir Book"/>
        </w:rPr>
      </w:pPr>
    </w:p>
    <w:p w:rsidR="003A5A07" w:rsidRPr="00B06331" w:rsidRDefault="003A5A07" w:rsidP="003A5A07">
      <w:pPr>
        <w:pStyle w:val="Heading2"/>
        <w:rPr>
          <w:rFonts w:ascii="Calibri" w:hAnsi="Calibri" w:cs="Calibri"/>
          <w:caps/>
          <w:sz w:val="22"/>
          <w:szCs w:val="22"/>
        </w:rPr>
      </w:pPr>
      <w:bookmarkStart w:id="164" w:name="_Toc488689354"/>
      <w:bookmarkStart w:id="165" w:name="_Toc492364798"/>
      <w:r w:rsidRPr="00B06331">
        <w:rPr>
          <w:rFonts w:ascii="Calibri" w:hAnsi="Calibri" w:cs="Calibri"/>
          <w:sz w:val="22"/>
          <w:szCs w:val="22"/>
        </w:rPr>
        <w:t>8.7 Strengthening Civil Society and Non -State Actors</w:t>
      </w:r>
      <w:bookmarkEnd w:id="164"/>
      <w:bookmarkEnd w:id="165"/>
    </w:p>
    <w:p w:rsidR="003A5A07" w:rsidRPr="00B06331" w:rsidRDefault="003A5A07" w:rsidP="003A5A07">
      <w:pPr>
        <w:pStyle w:val="Heading2"/>
        <w:rPr>
          <w:rFonts w:ascii="Calibri" w:hAnsi="Calibri" w:cs="Calibri"/>
          <w:caps/>
          <w:sz w:val="22"/>
          <w:szCs w:val="22"/>
        </w:rPr>
      </w:pPr>
      <w:bookmarkStart w:id="166" w:name="_Toc488689355"/>
      <w:bookmarkStart w:id="167" w:name="_Toc492364799"/>
      <w:r w:rsidRPr="00B06331">
        <w:rPr>
          <w:rFonts w:ascii="Calibri" w:hAnsi="Calibri" w:cs="Calibri"/>
          <w:sz w:val="22"/>
          <w:szCs w:val="22"/>
        </w:rPr>
        <w:t>8.8 Data for Development (D4D)</w:t>
      </w:r>
      <w:bookmarkEnd w:id="166"/>
      <w:bookmarkEnd w:id="167"/>
    </w:p>
    <w:p w:rsidR="00FC45E9" w:rsidRPr="00B06331" w:rsidRDefault="00FC45E9">
      <w:pPr>
        <w:spacing w:after="160" w:line="259" w:lineRule="auto"/>
        <w:rPr>
          <w:rFonts w:eastAsia="MS Gothic" w:cs="Calibri"/>
          <w:b/>
          <w:color w:val="365F91"/>
          <w:sz w:val="24"/>
          <w:szCs w:val="24"/>
        </w:rPr>
      </w:pPr>
      <w:bookmarkStart w:id="168" w:name="_Toc488689357"/>
      <w:r w:rsidRPr="00B06331">
        <w:rPr>
          <w:rFonts w:cs="Calibri"/>
          <w:b/>
          <w:sz w:val="24"/>
          <w:szCs w:val="24"/>
        </w:rPr>
        <w:br w:type="page"/>
      </w:r>
    </w:p>
    <w:p w:rsidR="003A5A07" w:rsidRPr="00B06331" w:rsidRDefault="003A5A07" w:rsidP="004143E3">
      <w:pPr>
        <w:pStyle w:val="Heading1"/>
        <w:jc w:val="center"/>
        <w:rPr>
          <w:rFonts w:ascii="Calibri" w:hAnsi="Calibri" w:cs="Calibri"/>
          <w:b/>
          <w:sz w:val="24"/>
          <w:szCs w:val="24"/>
        </w:rPr>
      </w:pPr>
      <w:bookmarkStart w:id="169" w:name="_Toc492364800"/>
      <w:r w:rsidRPr="00B06331">
        <w:rPr>
          <w:rFonts w:ascii="Calibri" w:hAnsi="Calibri" w:cs="Calibri"/>
          <w:b/>
          <w:sz w:val="24"/>
          <w:szCs w:val="24"/>
        </w:rPr>
        <w:lastRenderedPageBreak/>
        <w:t>Chapter 9: The Accountability Framework</w:t>
      </w:r>
      <w:bookmarkEnd w:id="168"/>
      <w:bookmarkEnd w:id="169"/>
    </w:p>
    <w:p w:rsidR="003A5A07" w:rsidRPr="00B06331" w:rsidRDefault="003A5A07" w:rsidP="003A5A07">
      <w:pPr>
        <w:pStyle w:val="Heading2"/>
        <w:rPr>
          <w:rFonts w:ascii="Calibri" w:hAnsi="Calibri"/>
          <w:sz w:val="22"/>
          <w:szCs w:val="22"/>
        </w:rPr>
      </w:pPr>
      <w:bookmarkStart w:id="170" w:name="_Toc488689358"/>
      <w:bookmarkStart w:id="171" w:name="_Toc492364801"/>
      <w:r w:rsidRPr="00B06331">
        <w:rPr>
          <w:rFonts w:ascii="Calibri" w:hAnsi="Calibri"/>
          <w:sz w:val="22"/>
          <w:szCs w:val="22"/>
        </w:rPr>
        <w:t>9.1 Introduction</w:t>
      </w:r>
      <w:bookmarkEnd w:id="170"/>
      <w:bookmarkEnd w:id="171"/>
    </w:p>
    <w:p w:rsidR="000B4D46" w:rsidRPr="00B06331" w:rsidRDefault="00CC74B9" w:rsidP="000B4D46">
      <w:pPr>
        <w:contextualSpacing/>
        <w:jc w:val="both"/>
        <w:rPr>
          <w:rFonts w:ascii="Avenir Book" w:hAnsi="Avenir Book"/>
        </w:rPr>
      </w:pPr>
      <w:r w:rsidRPr="00B06331">
        <w:rPr>
          <w:rFonts w:ascii="Avenir Book" w:hAnsi="Avenir Book"/>
        </w:rPr>
        <w:t>Government, t</w:t>
      </w:r>
      <w:r w:rsidR="000B4D46" w:rsidRPr="00B06331">
        <w:rPr>
          <w:rFonts w:ascii="Avenir Book" w:hAnsi="Avenir Book"/>
        </w:rPr>
        <w:t>hrough the new Nation</w:t>
      </w:r>
      <w:r w:rsidRPr="00B06331">
        <w:rPr>
          <w:rFonts w:ascii="Avenir Book" w:hAnsi="Avenir Book"/>
        </w:rPr>
        <w:t xml:space="preserve">al Development Plan, </w:t>
      </w:r>
      <w:r w:rsidR="000B4D46" w:rsidRPr="00B06331">
        <w:rPr>
          <w:rFonts w:ascii="Avenir Book" w:hAnsi="Avenir Book"/>
        </w:rPr>
        <w:t>is committing itself to delivering key development outcomes in governance, security and safety, economic, social, and environmental areas for the wellbeing of all Gambians. Ensuring that there are strong and clear accountability mechanisms is vital in this regard. Clarity with respect to institutional arrangements, roles and responsibilities, a robust M&amp;E framework and enhanced government citizens’ engagement are key pillars for such an accountability framework.</w:t>
      </w:r>
    </w:p>
    <w:p w:rsidR="000B4D46" w:rsidRPr="00B06331" w:rsidRDefault="000B4D46" w:rsidP="003A5A07">
      <w:pPr>
        <w:contextualSpacing/>
        <w:rPr>
          <w:rFonts w:ascii="Avenir Book" w:hAnsi="Avenir Book"/>
        </w:rPr>
      </w:pPr>
    </w:p>
    <w:p w:rsidR="003A5A07" w:rsidRPr="00B06331" w:rsidRDefault="006D73BD" w:rsidP="003A5A07">
      <w:pPr>
        <w:contextualSpacing/>
        <w:rPr>
          <w:rFonts w:ascii="Avenir Book" w:hAnsi="Avenir Book"/>
        </w:rPr>
      </w:pPr>
      <w:r w:rsidRPr="00B06331">
        <w:rPr>
          <w:rFonts w:ascii="Avenir Book" w:hAnsi="Avenir Book"/>
        </w:rPr>
        <w:t>Chapter 9</w:t>
      </w:r>
      <w:r w:rsidR="003A5A07" w:rsidRPr="00B06331">
        <w:rPr>
          <w:rFonts w:ascii="Avenir Book" w:hAnsi="Avenir Book"/>
        </w:rPr>
        <w:t xml:space="preserve"> outlines the accountabi</w:t>
      </w:r>
      <w:r w:rsidRPr="00B06331">
        <w:rPr>
          <w:rFonts w:ascii="Avenir Book" w:hAnsi="Avenir Book"/>
        </w:rPr>
        <w:t xml:space="preserve">lity framework for the plan and </w:t>
      </w:r>
      <w:r w:rsidR="003A5A07" w:rsidRPr="00B06331">
        <w:rPr>
          <w:rFonts w:ascii="Avenir Book" w:hAnsi="Avenir Book"/>
        </w:rPr>
        <w:t>covers three aspects:</w:t>
      </w:r>
    </w:p>
    <w:p w:rsidR="003A5A07" w:rsidRPr="00B06331" w:rsidRDefault="003A5A07" w:rsidP="004143E3">
      <w:pPr>
        <w:pStyle w:val="ListParagraph"/>
        <w:numPr>
          <w:ilvl w:val="0"/>
          <w:numId w:val="29"/>
        </w:numPr>
        <w:rPr>
          <w:rFonts w:ascii="Avenir Book" w:hAnsi="Avenir Book"/>
        </w:rPr>
      </w:pPr>
      <w:bookmarkStart w:id="172" w:name="_Hlk488668767"/>
      <w:r w:rsidRPr="00B06331">
        <w:rPr>
          <w:rFonts w:ascii="Avenir Book" w:hAnsi="Avenir Book"/>
        </w:rPr>
        <w:t>Implementation arrangements, including the institutional arrangements and roles</w:t>
      </w:r>
      <w:r w:rsidR="006D73BD" w:rsidRPr="00B06331">
        <w:rPr>
          <w:rFonts w:ascii="Avenir Book" w:hAnsi="Avenir Book"/>
        </w:rPr>
        <w:t xml:space="preserve"> and responsibilities (section 9</w:t>
      </w:r>
      <w:r w:rsidRPr="00B06331">
        <w:rPr>
          <w:rFonts w:ascii="Avenir Book" w:hAnsi="Avenir Book"/>
        </w:rPr>
        <w:t>.2);</w:t>
      </w:r>
    </w:p>
    <w:p w:rsidR="003A5A07" w:rsidRPr="00B06331" w:rsidRDefault="003A5A07" w:rsidP="004143E3">
      <w:pPr>
        <w:pStyle w:val="ListParagraph"/>
        <w:numPr>
          <w:ilvl w:val="0"/>
          <w:numId w:val="29"/>
        </w:numPr>
        <w:rPr>
          <w:rFonts w:ascii="Avenir Book" w:hAnsi="Avenir Book"/>
        </w:rPr>
      </w:pPr>
      <w:r w:rsidRPr="00B06331">
        <w:rPr>
          <w:rFonts w:ascii="Avenir Book" w:hAnsi="Avenir Book"/>
        </w:rPr>
        <w:t>The M&amp;E fr</w:t>
      </w:r>
      <w:r w:rsidR="006D73BD" w:rsidRPr="00B06331">
        <w:rPr>
          <w:rFonts w:ascii="Avenir Book" w:hAnsi="Avenir Book"/>
        </w:rPr>
        <w:t>amework and processes (section 9</w:t>
      </w:r>
      <w:r w:rsidRPr="00B06331">
        <w:rPr>
          <w:rFonts w:ascii="Avenir Book" w:hAnsi="Avenir Book"/>
        </w:rPr>
        <w:t>.3); and</w:t>
      </w:r>
    </w:p>
    <w:p w:rsidR="003A5A07" w:rsidRPr="00B06331" w:rsidRDefault="000B4D46" w:rsidP="004143E3">
      <w:pPr>
        <w:pStyle w:val="ListParagraph"/>
        <w:numPr>
          <w:ilvl w:val="0"/>
          <w:numId w:val="29"/>
        </w:numPr>
        <w:rPr>
          <w:rFonts w:ascii="Avenir Book" w:hAnsi="Avenir Book"/>
        </w:rPr>
      </w:pPr>
      <w:r w:rsidRPr="00B06331">
        <w:rPr>
          <w:rFonts w:ascii="Avenir Book" w:hAnsi="Avenir Book"/>
        </w:rPr>
        <w:t>Mechanisms for s</w:t>
      </w:r>
      <w:r w:rsidR="003A5A07" w:rsidRPr="00B06331">
        <w:rPr>
          <w:rFonts w:ascii="Avenir Book" w:hAnsi="Avenir Book"/>
        </w:rPr>
        <w:t>trengthening government</w:t>
      </w:r>
      <w:r w:rsidR="006D73BD" w:rsidRPr="00B06331">
        <w:rPr>
          <w:rFonts w:ascii="Avenir Book" w:hAnsi="Avenir Book"/>
        </w:rPr>
        <w:t>-citizens’ engagement (section 9</w:t>
      </w:r>
      <w:r w:rsidR="003A5A07" w:rsidRPr="00B06331">
        <w:rPr>
          <w:rFonts w:ascii="Avenir Book" w:hAnsi="Avenir Book"/>
        </w:rPr>
        <w:t>.3).</w:t>
      </w:r>
    </w:p>
    <w:p w:rsidR="003A5A07" w:rsidRPr="00B06331" w:rsidRDefault="003A5A07" w:rsidP="003A5A07">
      <w:pPr>
        <w:pStyle w:val="Heading2"/>
        <w:rPr>
          <w:rFonts w:ascii="Calibri" w:hAnsi="Calibri"/>
          <w:sz w:val="22"/>
          <w:szCs w:val="22"/>
        </w:rPr>
      </w:pPr>
      <w:bookmarkStart w:id="173" w:name="_Toc488689359"/>
      <w:bookmarkStart w:id="174" w:name="_Toc492364802"/>
      <w:bookmarkEnd w:id="172"/>
      <w:r w:rsidRPr="00B06331">
        <w:rPr>
          <w:rFonts w:ascii="Calibri" w:hAnsi="Calibri"/>
          <w:sz w:val="22"/>
          <w:szCs w:val="22"/>
        </w:rPr>
        <w:t>9.2. Implementation Arrangements</w:t>
      </w:r>
      <w:bookmarkEnd w:id="173"/>
      <w:bookmarkEnd w:id="174"/>
    </w:p>
    <w:p w:rsidR="003A5A07" w:rsidRPr="00B06331" w:rsidRDefault="003A5A07" w:rsidP="003A5A07">
      <w:pPr>
        <w:pStyle w:val="Heading3"/>
        <w:rPr>
          <w:rFonts w:ascii="Calibri" w:hAnsi="Calibri"/>
          <w:b/>
          <w:sz w:val="22"/>
          <w:szCs w:val="22"/>
        </w:rPr>
      </w:pPr>
      <w:bookmarkStart w:id="175" w:name="_Toc488689360"/>
      <w:bookmarkStart w:id="176" w:name="_Toc492364803"/>
      <w:r w:rsidRPr="00B06331">
        <w:rPr>
          <w:rFonts w:ascii="Calibri" w:hAnsi="Calibri"/>
          <w:b/>
          <w:sz w:val="22"/>
          <w:szCs w:val="22"/>
        </w:rPr>
        <w:t>9.2.1 Institutional Arrangements</w:t>
      </w:r>
      <w:bookmarkEnd w:id="175"/>
      <w:bookmarkEnd w:id="176"/>
    </w:p>
    <w:p w:rsidR="006D73BD" w:rsidRPr="00B06331" w:rsidRDefault="006D73BD" w:rsidP="003A5A07">
      <w:pPr>
        <w:contextualSpacing/>
        <w:jc w:val="both"/>
        <w:rPr>
          <w:rFonts w:ascii="Avenir Book" w:hAnsi="Avenir Book"/>
        </w:rPr>
      </w:pPr>
    </w:p>
    <w:p w:rsidR="003A5A07" w:rsidRPr="00B06331" w:rsidRDefault="003A5A07" w:rsidP="006D73BD">
      <w:pPr>
        <w:contextualSpacing/>
        <w:jc w:val="both"/>
        <w:rPr>
          <w:rFonts w:ascii="Avenir Book" w:hAnsi="Avenir Book"/>
        </w:rPr>
      </w:pPr>
      <w:r w:rsidRPr="00B06331">
        <w:rPr>
          <w:rFonts w:ascii="Avenir Book" w:hAnsi="Avenir Book"/>
        </w:rPr>
        <w:t xml:space="preserve">Implementation of the National Development Plan will require government to put in place a robust institutional and coordination framework. This is </w:t>
      </w:r>
      <w:r w:rsidR="004E6604" w:rsidRPr="00B06331">
        <w:rPr>
          <w:rFonts w:ascii="Avenir Book" w:hAnsi="Avenir Book"/>
        </w:rPr>
        <w:t xml:space="preserve">made </w:t>
      </w:r>
      <w:r w:rsidRPr="00B06331">
        <w:rPr>
          <w:rFonts w:ascii="Avenir Book" w:hAnsi="Avenir Book"/>
        </w:rPr>
        <w:t>necessarygiven the bold reform agendaof the new government, and the c</w:t>
      </w:r>
      <w:r w:rsidR="004E6604" w:rsidRPr="00B06331">
        <w:rPr>
          <w:rFonts w:ascii="Avenir Book" w:hAnsi="Avenir Book"/>
        </w:rPr>
        <w:t>urrent fragmentation in policy making process, weak coordination</w:t>
      </w:r>
      <w:r w:rsidRPr="00B06331">
        <w:rPr>
          <w:rFonts w:ascii="Avenir Book" w:hAnsi="Avenir Book"/>
        </w:rPr>
        <w:t xml:space="preserve"> and institutions. Furthermore, the new context demands that citizens are placed at </w:t>
      </w:r>
      <w:r w:rsidR="000354FE" w:rsidRPr="00B06331">
        <w:rPr>
          <w:rFonts w:ascii="Avenir Book" w:hAnsi="Avenir Book"/>
        </w:rPr>
        <w:t xml:space="preserve">the center of decision-making. </w:t>
      </w:r>
      <w:r w:rsidRPr="00B06331">
        <w:rPr>
          <w:rFonts w:ascii="Avenir Book" w:hAnsi="Avenir Book"/>
        </w:rPr>
        <w:t>The proposed institutional arrangements for plan implementation therefore covers two aspects: the institutional framework and the related roles and responsibilities.</w:t>
      </w:r>
    </w:p>
    <w:p w:rsidR="006D73BD" w:rsidRPr="00B06331" w:rsidRDefault="006D73BD" w:rsidP="006D73BD">
      <w:pPr>
        <w:contextualSpacing/>
        <w:jc w:val="both"/>
        <w:rPr>
          <w:rFonts w:ascii="Avenir Book" w:hAnsi="Avenir Book"/>
        </w:rPr>
      </w:pPr>
    </w:p>
    <w:p w:rsidR="003A5A07" w:rsidRPr="00B06331" w:rsidRDefault="003A5A07" w:rsidP="003A5A07">
      <w:pPr>
        <w:rPr>
          <w:b/>
        </w:rPr>
      </w:pPr>
      <w:r w:rsidRPr="00B06331">
        <w:rPr>
          <w:b/>
        </w:rPr>
        <w:t>Institutional Framework for Implementation</w:t>
      </w:r>
    </w:p>
    <w:p w:rsidR="003A5A07" w:rsidRPr="00B06331" w:rsidRDefault="003A5A07" w:rsidP="003A5A07">
      <w:pPr>
        <w:contextualSpacing/>
        <w:jc w:val="both"/>
        <w:rPr>
          <w:rFonts w:ascii="Avenir Book" w:hAnsi="Avenir Book"/>
        </w:rPr>
      </w:pPr>
      <w:bookmarkStart w:id="177" w:name="_Hlk488668896"/>
      <w:r w:rsidRPr="00B06331">
        <w:rPr>
          <w:rFonts w:ascii="Avenir Book" w:hAnsi="Avenir Book"/>
        </w:rPr>
        <w:t>The institutional framework proposed for the plan has two interlinked components:</w:t>
      </w:r>
    </w:p>
    <w:p w:rsidR="003A5A07" w:rsidRPr="00B06331" w:rsidRDefault="003A5A07" w:rsidP="004143E3">
      <w:pPr>
        <w:pStyle w:val="ListParagraph"/>
        <w:numPr>
          <w:ilvl w:val="0"/>
          <w:numId w:val="17"/>
        </w:numPr>
        <w:jc w:val="both"/>
        <w:rPr>
          <w:rFonts w:ascii="Avenir Book" w:hAnsi="Avenir Book"/>
        </w:rPr>
      </w:pPr>
      <w:r w:rsidRPr="00B06331">
        <w:rPr>
          <w:rFonts w:ascii="Avenir Book" w:hAnsi="Avenir Book"/>
        </w:rPr>
        <w:t xml:space="preserve">Policy oversight and coordination functions; and </w:t>
      </w:r>
    </w:p>
    <w:p w:rsidR="003A5A07" w:rsidRPr="00B06331" w:rsidRDefault="003A5A07" w:rsidP="004143E3">
      <w:pPr>
        <w:pStyle w:val="ListParagraph"/>
        <w:numPr>
          <w:ilvl w:val="0"/>
          <w:numId w:val="17"/>
        </w:numPr>
        <w:jc w:val="both"/>
        <w:rPr>
          <w:rFonts w:ascii="Avenir Book" w:hAnsi="Avenir Book"/>
        </w:rPr>
      </w:pPr>
      <w:r w:rsidRPr="00B06331">
        <w:rPr>
          <w:rFonts w:ascii="Avenir Book" w:hAnsi="Avenir Book"/>
        </w:rPr>
        <w:t xml:space="preserve">Technical and implementation functions. </w:t>
      </w:r>
    </w:p>
    <w:p w:rsidR="003A5A07" w:rsidRPr="00B06331" w:rsidRDefault="003A5A07" w:rsidP="003A5A07">
      <w:pPr>
        <w:jc w:val="both"/>
        <w:rPr>
          <w:rFonts w:ascii="Avenir Book" w:hAnsi="Avenir Book"/>
        </w:rPr>
      </w:pPr>
      <w:r w:rsidRPr="00B06331">
        <w:rPr>
          <w:rFonts w:ascii="Avenir Book" w:hAnsi="Avenir Book"/>
        </w:rPr>
        <w:t xml:space="preserve">This is schematically represented </w:t>
      </w:r>
      <w:r w:rsidR="006D73BD" w:rsidRPr="00B06331">
        <w:rPr>
          <w:rFonts w:ascii="Avenir Book" w:hAnsi="Avenir Book"/>
        </w:rPr>
        <w:t>in Figure 9</w:t>
      </w:r>
      <w:r w:rsidRPr="00B06331">
        <w:rPr>
          <w:rFonts w:ascii="Avenir Book" w:hAnsi="Avenir Book"/>
        </w:rPr>
        <w:t>.1 below.</w:t>
      </w:r>
    </w:p>
    <w:p w:rsidR="003A5A07" w:rsidRPr="00B06331" w:rsidRDefault="003A5A07" w:rsidP="003A5A07">
      <w:pPr>
        <w:contextualSpacing/>
        <w:jc w:val="both"/>
        <w:rPr>
          <w:rFonts w:ascii="Avenir Book" w:hAnsi="Avenir Book"/>
        </w:rPr>
      </w:pPr>
      <w:r w:rsidRPr="00B06331">
        <w:rPr>
          <w:rFonts w:ascii="Avenir Book" w:hAnsi="Avenir Book"/>
        </w:rPr>
        <w:t xml:space="preserve">The key institutions involved in oversight and policy coordination </w:t>
      </w:r>
      <w:r w:rsidR="00802358" w:rsidRPr="00B06331">
        <w:rPr>
          <w:rFonts w:ascii="Avenir Book" w:hAnsi="Avenir Book"/>
        </w:rPr>
        <w:t>are</w:t>
      </w:r>
      <w:r w:rsidRPr="00B06331">
        <w:rPr>
          <w:rFonts w:ascii="Avenir Book" w:hAnsi="Avenir Book"/>
        </w:rPr>
        <w:t xml:space="preserve">the National Assembly, Cabinet, </w:t>
      </w:r>
      <w:r w:rsidR="006D73BD" w:rsidRPr="00B06331">
        <w:rPr>
          <w:rFonts w:ascii="Avenir Book" w:hAnsi="Avenir Book"/>
        </w:rPr>
        <w:t xml:space="preserve">the Inter- Ministerial Steering Committee, </w:t>
      </w:r>
      <w:r w:rsidRPr="00B06331">
        <w:rPr>
          <w:rFonts w:ascii="Avenir Book" w:hAnsi="Avenir Book"/>
        </w:rPr>
        <w:t>a Multi-StakeholderNational Coordinating Committee, and Regional Governor’s Forum. A Government-Development Partners forum is also envisaged.</w:t>
      </w:r>
    </w:p>
    <w:p w:rsidR="003A5A07" w:rsidRPr="00B06331" w:rsidRDefault="003A5A07" w:rsidP="003A5A07">
      <w:pPr>
        <w:contextualSpacing/>
        <w:jc w:val="both"/>
        <w:rPr>
          <w:rFonts w:ascii="Avenir Book" w:hAnsi="Avenir Book"/>
        </w:rPr>
      </w:pPr>
    </w:p>
    <w:p w:rsidR="003A5A07" w:rsidRPr="00B06331" w:rsidRDefault="003A5A07" w:rsidP="003A5A07">
      <w:pPr>
        <w:contextualSpacing/>
        <w:jc w:val="both"/>
        <w:rPr>
          <w:rFonts w:ascii="Avenir Book" w:hAnsi="Avenir Book"/>
        </w:rPr>
      </w:pPr>
      <w:r w:rsidRPr="00B06331">
        <w:rPr>
          <w:rFonts w:ascii="Avenir Book" w:hAnsi="Avenir Book"/>
        </w:rPr>
        <w:lastRenderedPageBreak/>
        <w:t>For technical and implementation oversight, the following mechanisms are proposed: A National Technical Committee, Technical Clusters, National M&amp;E platform, Regional Technical Advisory Committee and cascading down to Ward levels.</w:t>
      </w:r>
    </w:p>
    <w:bookmarkEnd w:id="177"/>
    <w:p w:rsidR="003A5A07" w:rsidRPr="00B06331" w:rsidRDefault="003A5A07" w:rsidP="003A5A07">
      <w:pPr>
        <w:contextualSpacing/>
        <w:jc w:val="both"/>
        <w:rPr>
          <w:rFonts w:ascii="Avenir Book" w:hAnsi="Avenir Book"/>
        </w:rPr>
      </w:pPr>
    </w:p>
    <w:p w:rsidR="003A5A07" w:rsidRPr="00B06331" w:rsidRDefault="003A5A07" w:rsidP="003A5A07">
      <w:pPr>
        <w:contextualSpacing/>
        <w:jc w:val="both"/>
        <w:rPr>
          <w:rFonts w:ascii="Avenir Book" w:hAnsi="Avenir Book"/>
        </w:rPr>
      </w:pPr>
      <w:r w:rsidRPr="00B06331">
        <w:rPr>
          <w:rFonts w:ascii="Avenir Book" w:hAnsi="Avenir Book"/>
        </w:rPr>
        <w:t xml:space="preserve">To strengthen internal coherence in policy, programme implementation, aid coordination, monitoring and reporting, the Government will undertake a comprehensive review of the current </w:t>
      </w:r>
      <w:r w:rsidR="00802358" w:rsidRPr="00B06331">
        <w:rPr>
          <w:rFonts w:ascii="Avenir Book" w:hAnsi="Avenir Book"/>
        </w:rPr>
        <w:t>situation;</w:t>
      </w:r>
      <w:r w:rsidRPr="00B06331">
        <w:rPr>
          <w:rFonts w:ascii="Avenir Book" w:hAnsi="Avenir Book"/>
        </w:rPr>
        <w:t xml:space="preserve"> draw upon best practices to come up with the appropriate coordination mecha</w:t>
      </w:r>
      <w:r w:rsidR="006D73BD" w:rsidRPr="00B06331">
        <w:rPr>
          <w:rFonts w:ascii="Avenir Book" w:hAnsi="Avenir Book"/>
        </w:rPr>
        <w:t>nism/framework for development planning in the country</w:t>
      </w:r>
      <w:r w:rsidRPr="00B06331">
        <w:rPr>
          <w:rFonts w:ascii="Avenir Book" w:hAnsi="Avenir Book"/>
        </w:rPr>
        <w:t xml:space="preserve">. </w:t>
      </w:r>
    </w:p>
    <w:p w:rsidR="003A5A07" w:rsidRPr="00B06331" w:rsidRDefault="003A5A07" w:rsidP="003A5A07">
      <w:pPr>
        <w:contextualSpacing/>
        <w:jc w:val="both"/>
        <w:rPr>
          <w:rFonts w:ascii="Avenir Book" w:hAnsi="Avenir Book"/>
        </w:rPr>
      </w:pPr>
    </w:p>
    <w:p w:rsidR="003A5A07" w:rsidRPr="00B06331" w:rsidRDefault="003A5A07" w:rsidP="003A5A07">
      <w:pPr>
        <w:contextualSpacing/>
        <w:jc w:val="both"/>
        <w:rPr>
          <w:rFonts w:ascii="Avenir Book" w:hAnsi="Avenir Book"/>
        </w:rPr>
      </w:pPr>
      <w:r w:rsidRPr="00B06331">
        <w:rPr>
          <w:rFonts w:ascii="Avenir Book" w:hAnsi="Avenir Book"/>
        </w:rPr>
        <w:t xml:space="preserve">The recently established </w:t>
      </w:r>
      <w:bookmarkStart w:id="178" w:name="_Hlk488670798"/>
      <w:r w:rsidRPr="00B06331">
        <w:rPr>
          <w:rFonts w:ascii="Avenir Book" w:hAnsi="Avenir Book"/>
          <w:b/>
          <w:i/>
        </w:rPr>
        <w:t>Gambia National Think Tank (GNTT</w:t>
      </w:r>
      <w:bookmarkEnd w:id="178"/>
      <w:r w:rsidRPr="00B06331">
        <w:rPr>
          <w:rFonts w:ascii="Avenir Book" w:hAnsi="Avenir Book"/>
          <w:b/>
          <w:i/>
        </w:rPr>
        <w:t>)</w:t>
      </w:r>
      <w:r w:rsidRPr="00B06331">
        <w:rPr>
          <w:rFonts w:ascii="Avenir Book" w:hAnsi="Avenir Book"/>
        </w:rPr>
        <w:t xml:space="preserve"> will play a vital role in the national development process, providing expert advice based on research and reviews to guide policy, programme design and assessing impac</w:t>
      </w:r>
      <w:r w:rsidR="008F002A" w:rsidRPr="00B06331">
        <w:rPr>
          <w:rFonts w:ascii="Avenir Book" w:hAnsi="Avenir Book"/>
        </w:rPr>
        <w:t>t, and documenting lessons</w:t>
      </w:r>
      <w:r w:rsidRPr="00B06331">
        <w:rPr>
          <w:rFonts w:ascii="Avenir Book" w:hAnsi="Avenir Book"/>
        </w:rPr>
        <w:t>.</w:t>
      </w:r>
    </w:p>
    <w:p w:rsidR="003A5A07" w:rsidRPr="00B06331" w:rsidRDefault="003A5A07" w:rsidP="003A5A07">
      <w:pPr>
        <w:contextualSpacing/>
        <w:rPr>
          <w:rFonts w:ascii="Avenir Book" w:hAnsi="Avenir Book"/>
        </w:rPr>
      </w:pPr>
    </w:p>
    <w:p w:rsidR="003A5A07" w:rsidRPr="00B06331" w:rsidRDefault="006C6E23" w:rsidP="003A5A07">
      <w:pPr>
        <w:rPr>
          <w:b/>
        </w:rPr>
      </w:pPr>
      <w:r w:rsidRPr="00B06331">
        <w:rPr>
          <w:b/>
        </w:rPr>
        <w:t xml:space="preserve">Roles and Responsibilities </w:t>
      </w:r>
    </w:p>
    <w:p w:rsidR="003A5A07" w:rsidRPr="00B06331" w:rsidRDefault="003A5A07" w:rsidP="003A5A07">
      <w:pPr>
        <w:contextualSpacing/>
        <w:jc w:val="both"/>
        <w:rPr>
          <w:rFonts w:ascii="Avenir Book" w:hAnsi="Avenir Book"/>
        </w:rPr>
      </w:pPr>
      <w:r w:rsidRPr="00B06331">
        <w:rPr>
          <w:rFonts w:ascii="Avenir Book" w:hAnsi="Avenir Book"/>
        </w:rPr>
        <w:t>Clarity in roles and responsibilities is critical for succe</w:t>
      </w:r>
      <w:r w:rsidR="000354FE" w:rsidRPr="00B06331">
        <w:rPr>
          <w:rFonts w:ascii="Avenir Book" w:hAnsi="Avenir Book"/>
        </w:rPr>
        <w:t>ssful plan implementation. T</w:t>
      </w:r>
      <w:r w:rsidRPr="00B06331">
        <w:rPr>
          <w:rFonts w:ascii="Avenir Book" w:hAnsi="Avenir Book"/>
        </w:rPr>
        <w:t xml:space="preserve">able </w:t>
      </w:r>
      <w:r w:rsidR="000354FE" w:rsidRPr="00B06331">
        <w:rPr>
          <w:rFonts w:ascii="Avenir Book" w:hAnsi="Avenir Book"/>
        </w:rPr>
        <w:t xml:space="preserve">9.1 </w:t>
      </w:r>
      <w:r w:rsidRPr="00B06331">
        <w:rPr>
          <w:rFonts w:ascii="Avenir Book" w:hAnsi="Avenir Book"/>
        </w:rPr>
        <w:t>below spells out the main responsibilities of key actors – these are aligned to the plan implementa</w:t>
      </w:r>
      <w:r w:rsidR="008F002A" w:rsidRPr="00B06331">
        <w:rPr>
          <w:rFonts w:ascii="Avenir Book" w:hAnsi="Avenir Book"/>
        </w:rPr>
        <w:t>tion framework presented above.</w:t>
      </w:r>
    </w:p>
    <w:p w:rsidR="003A5A07" w:rsidRPr="00B06331" w:rsidRDefault="003A5A07" w:rsidP="003A5A07">
      <w:pPr>
        <w:contextualSpacing/>
        <w:jc w:val="both"/>
        <w:rPr>
          <w:rFonts w:ascii="Avenir Book" w:hAnsi="Avenir Book"/>
        </w:rPr>
      </w:pPr>
    </w:p>
    <w:p w:rsidR="003A5A07" w:rsidRPr="00B06331" w:rsidRDefault="003A5A07" w:rsidP="003A5A07">
      <w:pPr>
        <w:contextualSpacing/>
        <w:jc w:val="both"/>
        <w:rPr>
          <w:rFonts w:ascii="Avenir Book" w:hAnsi="Avenir Book"/>
        </w:rPr>
      </w:pPr>
      <w:r w:rsidRPr="00B06331">
        <w:rPr>
          <w:rFonts w:ascii="Avenir Book" w:hAnsi="Avenir Book"/>
        </w:rPr>
        <w:t xml:space="preserve">Specifically, for </w:t>
      </w:r>
      <w:r w:rsidR="006C6E23" w:rsidRPr="00B06331">
        <w:rPr>
          <w:rFonts w:ascii="Avenir Book" w:hAnsi="Avenir Book"/>
        </w:rPr>
        <w:t xml:space="preserve">operational </w:t>
      </w:r>
      <w:r w:rsidRPr="00B06331">
        <w:rPr>
          <w:rFonts w:ascii="Avenir Book" w:hAnsi="Avenir Book"/>
        </w:rPr>
        <w:t>policy oversight and coordination the following arrangements will be put in place:</w:t>
      </w:r>
    </w:p>
    <w:p w:rsidR="006D73BD" w:rsidRPr="00B06331" w:rsidRDefault="003A5A07" w:rsidP="003715CF">
      <w:pPr>
        <w:pStyle w:val="ListParagraph"/>
        <w:numPr>
          <w:ilvl w:val="0"/>
          <w:numId w:val="11"/>
        </w:numPr>
        <w:jc w:val="both"/>
        <w:rPr>
          <w:rFonts w:ascii="Avenir Book" w:hAnsi="Avenir Book"/>
        </w:rPr>
      </w:pPr>
      <w:r w:rsidRPr="00B06331">
        <w:rPr>
          <w:rFonts w:ascii="Avenir Book" w:hAnsi="Avenir Book"/>
        </w:rPr>
        <w:t xml:space="preserve">The Vice President shall chair the </w:t>
      </w:r>
      <w:r w:rsidR="006D73BD" w:rsidRPr="00B06331">
        <w:rPr>
          <w:rFonts w:ascii="Avenir Book" w:hAnsi="Avenir Book"/>
        </w:rPr>
        <w:t xml:space="preserve">Inter-Ministerial Steering Committee to ensure sector coherence in implementation. </w:t>
      </w:r>
    </w:p>
    <w:p w:rsidR="003A5A07" w:rsidRPr="00B06331" w:rsidRDefault="003A5A07" w:rsidP="003715CF">
      <w:pPr>
        <w:pStyle w:val="ListParagraph"/>
        <w:numPr>
          <w:ilvl w:val="0"/>
          <w:numId w:val="11"/>
        </w:numPr>
        <w:jc w:val="both"/>
        <w:rPr>
          <w:rFonts w:ascii="Avenir Book" w:hAnsi="Avenir Book"/>
        </w:rPr>
      </w:pPr>
      <w:r w:rsidRPr="00B06331">
        <w:rPr>
          <w:rFonts w:ascii="Avenir Book" w:hAnsi="Avenir Book"/>
        </w:rPr>
        <w:t>The High-level National Committee will bring together Governm</w:t>
      </w:r>
      <w:r w:rsidR="006D73BD" w:rsidRPr="00B06331">
        <w:rPr>
          <w:rFonts w:ascii="Avenir Book" w:hAnsi="Avenir Book"/>
        </w:rPr>
        <w:t>ent Ministers,</w:t>
      </w:r>
      <w:r w:rsidRPr="00B06331">
        <w:rPr>
          <w:rFonts w:ascii="Avenir Book" w:hAnsi="Avenir Book"/>
        </w:rPr>
        <w:t xml:space="preserve"> high level representatives from the donor community, private sector, civil society, professional associations, and others designated by the Presidency.</w:t>
      </w:r>
      <w:r w:rsidR="006D73BD" w:rsidRPr="00B06331">
        <w:rPr>
          <w:rFonts w:ascii="Avenir Book" w:hAnsi="Avenir Book"/>
        </w:rPr>
        <w:t xml:space="preserve"> The Committee will also be chaired by the Vice President</w:t>
      </w:r>
    </w:p>
    <w:p w:rsidR="003A5A07" w:rsidRPr="00B06331" w:rsidRDefault="003A5A07" w:rsidP="003715CF">
      <w:pPr>
        <w:pStyle w:val="ListParagraph"/>
        <w:numPr>
          <w:ilvl w:val="0"/>
          <w:numId w:val="11"/>
        </w:numPr>
        <w:jc w:val="both"/>
        <w:rPr>
          <w:rFonts w:ascii="Avenir Book" w:hAnsi="Avenir Book"/>
        </w:rPr>
      </w:pPr>
      <w:r w:rsidRPr="00B06331">
        <w:rPr>
          <w:rFonts w:ascii="Avenir Book" w:hAnsi="Avenir Book"/>
        </w:rPr>
        <w:t>The Ministry of Finance and Economic Affairs shall chair the Government-Donor Consultative Forum.</w:t>
      </w:r>
    </w:p>
    <w:p w:rsidR="003A5A07" w:rsidRPr="00B06331" w:rsidRDefault="003A5A07" w:rsidP="003715CF">
      <w:pPr>
        <w:pStyle w:val="ListParagraph"/>
        <w:numPr>
          <w:ilvl w:val="0"/>
          <w:numId w:val="11"/>
        </w:numPr>
        <w:jc w:val="both"/>
        <w:rPr>
          <w:rFonts w:ascii="Avenir Book" w:hAnsi="Avenir Book"/>
        </w:rPr>
      </w:pPr>
      <w:r w:rsidRPr="00B06331">
        <w:rPr>
          <w:rFonts w:ascii="Avenir Book" w:hAnsi="Avenir Book"/>
        </w:rPr>
        <w:t xml:space="preserve">The Ministry </w:t>
      </w:r>
      <w:r w:rsidR="006C6E23" w:rsidRPr="00B06331">
        <w:rPr>
          <w:rFonts w:ascii="Avenir Book" w:hAnsi="Avenir Book"/>
        </w:rPr>
        <w:t>of Lands and Regional Administration</w:t>
      </w:r>
      <w:r w:rsidRPr="00B06331">
        <w:rPr>
          <w:rFonts w:ascii="Avenir Book" w:hAnsi="Avenir Book"/>
        </w:rPr>
        <w:t xml:space="preserve"> shall chair the Regional and Municipal Forum, which will be tasked with the responsibility to ensure proper alignment of the NDP and regional, municipal, and local development plans.</w:t>
      </w:r>
    </w:p>
    <w:p w:rsidR="003A5A07" w:rsidRPr="00B06331" w:rsidRDefault="003A5A07" w:rsidP="003A5A07">
      <w:pPr>
        <w:ind w:left="360"/>
        <w:jc w:val="both"/>
        <w:rPr>
          <w:rFonts w:ascii="Avenir Book" w:hAnsi="Avenir Book"/>
        </w:rPr>
      </w:pPr>
      <w:r w:rsidRPr="00B06331">
        <w:rPr>
          <w:rFonts w:ascii="Avenir Book" w:hAnsi="Avenir Book"/>
        </w:rPr>
        <w:t>At the technical implementation level, the following arrangements will be put in place:</w:t>
      </w:r>
    </w:p>
    <w:p w:rsidR="003A5A07" w:rsidRPr="00B06331" w:rsidRDefault="003A5A07" w:rsidP="003715CF">
      <w:pPr>
        <w:pStyle w:val="ListParagraph"/>
        <w:numPr>
          <w:ilvl w:val="0"/>
          <w:numId w:val="12"/>
        </w:numPr>
        <w:jc w:val="both"/>
        <w:rPr>
          <w:rFonts w:ascii="Avenir Book" w:hAnsi="Avenir Book"/>
        </w:rPr>
      </w:pPr>
      <w:r w:rsidRPr="00B06331">
        <w:rPr>
          <w:rFonts w:ascii="Avenir Book" w:hAnsi="Avenir Book"/>
        </w:rPr>
        <w:t>A National Technical Steering Committee (NTSC) comprised of all Permanent Secre</w:t>
      </w:r>
      <w:r w:rsidR="006C6E23" w:rsidRPr="00B06331">
        <w:rPr>
          <w:rFonts w:ascii="Avenir Book" w:hAnsi="Avenir Book"/>
        </w:rPr>
        <w:t>taries, chaired by the Secretary General of the Civil Service</w:t>
      </w:r>
      <w:r w:rsidRPr="00B06331">
        <w:rPr>
          <w:rFonts w:ascii="Avenir Book" w:hAnsi="Avenir Book"/>
        </w:rPr>
        <w:t>, which will review and approve work plans, progress, and monitoring reports for onward submission to the MNSC. The Directorate of Development Planning within MOFEA shall act as secretariat.</w:t>
      </w:r>
    </w:p>
    <w:p w:rsidR="003A5A07" w:rsidRPr="00B06331" w:rsidRDefault="003A5A07" w:rsidP="003715CF">
      <w:pPr>
        <w:pStyle w:val="ListParagraph"/>
        <w:numPr>
          <w:ilvl w:val="0"/>
          <w:numId w:val="12"/>
        </w:numPr>
        <w:jc w:val="both"/>
        <w:rPr>
          <w:rFonts w:ascii="Avenir Book" w:hAnsi="Avenir Book"/>
        </w:rPr>
      </w:pPr>
      <w:r w:rsidRPr="00B06331">
        <w:rPr>
          <w:rFonts w:ascii="Avenir Book" w:hAnsi="Avenir Book"/>
        </w:rPr>
        <w:t>Technical clusters shall draw together all MDAs delivering on the respective priorities of the NDP. Their functions would be to develop the annual work plans</w:t>
      </w:r>
      <w:r w:rsidR="006C6E23" w:rsidRPr="00B06331">
        <w:rPr>
          <w:rFonts w:ascii="Avenir Book" w:hAnsi="Avenir Book"/>
        </w:rPr>
        <w:t>, undertake joint monitoring</w:t>
      </w:r>
      <w:r w:rsidRPr="00B06331">
        <w:rPr>
          <w:rFonts w:ascii="Avenir Book" w:hAnsi="Avenir Book"/>
        </w:rPr>
        <w:t xml:space="preserve"> and prepare progress reports. They shall ensure </w:t>
      </w:r>
      <w:r w:rsidR="006D73BD" w:rsidRPr="00B06331">
        <w:rPr>
          <w:rFonts w:ascii="Avenir Book" w:hAnsi="Avenir Book"/>
        </w:rPr>
        <w:t>cooperation</w:t>
      </w:r>
      <w:r w:rsidRPr="00B06331">
        <w:rPr>
          <w:rFonts w:ascii="Avenir Book" w:hAnsi="Avenir Book"/>
        </w:rPr>
        <w:t xml:space="preserve"> and alignment of individual MDA </w:t>
      </w:r>
      <w:r w:rsidRPr="00B06331">
        <w:rPr>
          <w:rFonts w:ascii="Avenir Book" w:hAnsi="Avenir Book"/>
        </w:rPr>
        <w:lastRenderedPageBreak/>
        <w:t>work plans related to that strategic priority. Consequently, there will be 15 technical clusters. Private sector, CSOs, UN agencies and other development partners shall be members of the clusters, based on their areas of expertise.</w:t>
      </w:r>
    </w:p>
    <w:p w:rsidR="003A5A07" w:rsidRPr="00B06331" w:rsidRDefault="003A5A07" w:rsidP="003715CF">
      <w:pPr>
        <w:pStyle w:val="ListParagraph"/>
        <w:numPr>
          <w:ilvl w:val="0"/>
          <w:numId w:val="12"/>
        </w:numPr>
        <w:jc w:val="both"/>
        <w:rPr>
          <w:rFonts w:ascii="Avenir Book" w:hAnsi="Avenir Book"/>
        </w:rPr>
      </w:pPr>
      <w:r w:rsidRPr="00B06331">
        <w:rPr>
          <w:rFonts w:ascii="Avenir Book" w:hAnsi="Avenir Book"/>
        </w:rPr>
        <w:t>A National M&amp;E platform will be established to ensure adequate monitoring and evaluation of the Plan. MOFEA/DDP</w:t>
      </w:r>
      <w:r w:rsidR="00802358" w:rsidRPr="00B06331">
        <w:rPr>
          <w:rFonts w:ascii="Avenir Book" w:hAnsi="Avenir Book"/>
        </w:rPr>
        <w:t>/GBo</w:t>
      </w:r>
      <w:r w:rsidR="000354FE" w:rsidRPr="00B06331">
        <w:rPr>
          <w:rFonts w:ascii="Avenir Book" w:hAnsi="Avenir Book"/>
        </w:rPr>
        <w:t>S,</w:t>
      </w:r>
      <w:r w:rsidRPr="00B06331">
        <w:rPr>
          <w:rFonts w:ascii="Avenir Book" w:hAnsi="Avenir Book"/>
        </w:rPr>
        <w:t xml:space="preserve"> will coordinate the work of the technical clusters and the M&amp;E platform. It shall bring together state and non-state actors.</w:t>
      </w:r>
    </w:p>
    <w:p w:rsidR="003A5A07" w:rsidRPr="00B06331" w:rsidRDefault="003A5A07" w:rsidP="003715CF">
      <w:pPr>
        <w:pStyle w:val="ListParagraph"/>
        <w:numPr>
          <w:ilvl w:val="0"/>
          <w:numId w:val="12"/>
        </w:numPr>
        <w:jc w:val="both"/>
        <w:rPr>
          <w:rFonts w:ascii="Avenir Book" w:hAnsi="Avenir Book"/>
        </w:rPr>
      </w:pPr>
      <w:r w:rsidRPr="00B06331">
        <w:rPr>
          <w:rFonts w:ascii="Avenir Book" w:hAnsi="Avenir Book"/>
        </w:rPr>
        <w:t>At Regional level, the MDFT will ensure that Ward and local development programmes and projects are aligned with the NDP, and shall undertake M&amp;E and other related activities.</w:t>
      </w:r>
    </w:p>
    <w:p w:rsidR="003A5A07" w:rsidRPr="00B06331" w:rsidRDefault="003A5A07" w:rsidP="003A5A07">
      <w:pPr>
        <w:jc w:val="both"/>
        <w:rPr>
          <w:rFonts w:ascii="Avenir Book" w:hAnsi="Avenir Book"/>
          <w:sz w:val="24"/>
          <w:szCs w:val="24"/>
        </w:rPr>
        <w:sectPr w:rsidR="003A5A07" w:rsidRPr="00B06331" w:rsidSect="003604CF">
          <w:pgSz w:w="12240" w:h="15840"/>
          <w:pgMar w:top="1440" w:right="1440" w:bottom="1440" w:left="1440" w:header="720" w:footer="720" w:gutter="0"/>
          <w:cols w:space="720"/>
          <w:docGrid w:linePitch="360"/>
        </w:sectPr>
      </w:pPr>
      <w:r w:rsidRPr="00B06331">
        <w:rPr>
          <w:rFonts w:ascii="Avenir Book" w:hAnsi="Avenir Book"/>
        </w:rPr>
        <w:t xml:space="preserve">The Directorate of Development Planning will be tasked with elaborating detailed Terms of Reference, including membership criteria for the mechanisms proposed above. </w:t>
      </w:r>
      <w:r w:rsidR="00F67563" w:rsidRPr="00B06331">
        <w:rPr>
          <w:rFonts w:ascii="Avenir Book" w:hAnsi="Avenir Book"/>
        </w:rPr>
        <w:t xml:space="preserve">Table </w:t>
      </w:r>
      <w:r w:rsidR="00802358" w:rsidRPr="00B06331">
        <w:rPr>
          <w:rFonts w:ascii="Avenir Book" w:hAnsi="Avenir Book"/>
        </w:rPr>
        <w:t>9.1 below</w:t>
      </w:r>
      <w:r w:rsidRPr="00B06331">
        <w:rPr>
          <w:rFonts w:ascii="Avenir Book" w:hAnsi="Avenir Book"/>
        </w:rPr>
        <w:t xml:space="preserve"> provides an overview of the main functions of the structures and organs outlined.</w:t>
      </w:r>
    </w:p>
    <w:p w:rsidR="003A5A07" w:rsidRPr="00B06331" w:rsidRDefault="003A5A07" w:rsidP="003A5A07">
      <w:pPr>
        <w:contextualSpacing/>
        <w:jc w:val="both"/>
        <w:rPr>
          <w:rFonts w:ascii="Avenir Book" w:hAnsi="Avenir Book"/>
          <w:sz w:val="24"/>
          <w:szCs w:val="24"/>
        </w:rPr>
        <w:sectPr w:rsidR="003A5A07" w:rsidRPr="00B06331" w:rsidSect="003604CF">
          <w:pgSz w:w="15840" w:h="12240" w:orient="landscape"/>
          <w:pgMar w:top="1440" w:right="1440" w:bottom="1440" w:left="1440" w:header="720" w:footer="720" w:gutter="0"/>
          <w:cols w:space="720"/>
          <w:docGrid w:linePitch="360"/>
        </w:sectPr>
      </w:pPr>
      <w:r w:rsidRPr="00B06331">
        <w:rPr>
          <w:noProof/>
        </w:rPr>
        <w:lastRenderedPageBreak/>
        <w:drawing>
          <wp:inline distT="0" distB="0" distL="0" distR="0">
            <wp:extent cx="8229600" cy="5829935"/>
            <wp:effectExtent l="0" t="0" r="0" b="0"/>
            <wp:docPr id="3" name="Picture 3" descr="C:\Users\tijan\AppData\Local\Microsoft\Windows\INetCache\Content.Word\finance 2.FIN[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tijan\AppData\Local\Microsoft\Windows\INetCache\Content.Word\finance 2.FIN[7897].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829935"/>
                    </a:xfrm>
                    <a:prstGeom prst="rect">
                      <a:avLst/>
                    </a:prstGeom>
                    <a:noFill/>
                    <a:ln>
                      <a:noFill/>
                    </a:ln>
                  </pic:spPr>
                </pic:pic>
              </a:graphicData>
            </a:graphic>
          </wp:inline>
        </w:drawing>
      </w:r>
    </w:p>
    <w:p w:rsidR="003A5A07" w:rsidRPr="00B06331" w:rsidRDefault="003A5A07" w:rsidP="003A5A07">
      <w:pPr>
        <w:contextualSpacing/>
        <w:jc w:val="both"/>
        <w:rPr>
          <w:rFonts w:ascii="Avenir Book" w:hAnsi="Avenir Book"/>
          <w:sz w:val="24"/>
          <w:szCs w:val="24"/>
        </w:rPr>
      </w:pPr>
    </w:p>
    <w:p w:rsidR="003A5A07" w:rsidRPr="00B06331" w:rsidRDefault="00F67563" w:rsidP="003A5A07">
      <w:pPr>
        <w:contextualSpacing/>
        <w:jc w:val="both"/>
        <w:rPr>
          <w:rFonts w:ascii="Avenir Book" w:hAnsi="Avenir Book"/>
          <w:b/>
          <w:sz w:val="20"/>
          <w:szCs w:val="24"/>
        </w:rPr>
      </w:pPr>
      <w:r w:rsidRPr="00B06331">
        <w:rPr>
          <w:rFonts w:ascii="Avenir Book" w:hAnsi="Avenir Book"/>
          <w:b/>
          <w:sz w:val="20"/>
          <w:szCs w:val="24"/>
        </w:rPr>
        <w:t>Table 9</w:t>
      </w:r>
      <w:r w:rsidR="003A5A07" w:rsidRPr="00B06331">
        <w:rPr>
          <w:rFonts w:ascii="Avenir Book" w:hAnsi="Avenir Book"/>
          <w:b/>
          <w:sz w:val="20"/>
          <w:szCs w:val="24"/>
        </w:rPr>
        <w:t xml:space="preserve">.1: Generic Roles and Responsibilities in </w:t>
      </w:r>
      <w:r w:rsidR="00F04BC0" w:rsidRPr="00B06331">
        <w:rPr>
          <w:rFonts w:ascii="Avenir Book" w:hAnsi="Avenir Book"/>
          <w:b/>
          <w:sz w:val="20"/>
          <w:szCs w:val="24"/>
        </w:rPr>
        <w:t>Plan Implementation by various S</w:t>
      </w:r>
      <w:r w:rsidR="003A5A07" w:rsidRPr="00B06331">
        <w:rPr>
          <w:rFonts w:ascii="Avenir Book" w:hAnsi="Avenir Book"/>
          <w:b/>
          <w:sz w:val="20"/>
          <w:szCs w:val="24"/>
        </w:rPr>
        <w:t>tructures</w:t>
      </w:r>
      <w:r w:rsidR="00F04BC0" w:rsidRPr="00B06331">
        <w:rPr>
          <w:rFonts w:ascii="Avenir Book" w:hAnsi="Avenir Book"/>
          <w:b/>
          <w:sz w:val="20"/>
          <w:szCs w:val="24"/>
        </w:rPr>
        <w:t xml:space="preserve"> and Mechanisms</w:t>
      </w:r>
    </w:p>
    <w:tbl>
      <w:tblPr>
        <w:tblStyle w:val="GridTable4-Accent11"/>
        <w:tblW w:w="10456" w:type="dxa"/>
        <w:tblLook w:val="04A0"/>
      </w:tblPr>
      <w:tblGrid>
        <w:gridCol w:w="2093"/>
        <w:gridCol w:w="4098"/>
        <w:gridCol w:w="4265"/>
      </w:tblGrid>
      <w:tr w:rsidR="003A5A07" w:rsidRPr="00B06331" w:rsidTr="004143E3">
        <w:trPr>
          <w:cnfStyle w:val="100000000000"/>
          <w:trHeight w:val="633"/>
        </w:trPr>
        <w:tc>
          <w:tcPr>
            <w:cnfStyle w:val="001000000000"/>
            <w:tcW w:w="2093" w:type="dxa"/>
          </w:tcPr>
          <w:p w:rsidR="003A5A07" w:rsidRPr="00B06331" w:rsidRDefault="003A5A07" w:rsidP="003604CF">
            <w:pPr>
              <w:rPr>
                <w:rFonts w:ascii="Avenir Book" w:hAnsi="Avenir Book"/>
                <w:b w:val="0"/>
                <w:sz w:val="18"/>
                <w:szCs w:val="18"/>
              </w:rPr>
            </w:pPr>
            <w:r w:rsidRPr="00B06331">
              <w:rPr>
                <w:rFonts w:ascii="Avenir Book" w:hAnsi="Avenir Book"/>
                <w:b w:val="0"/>
                <w:sz w:val="18"/>
                <w:szCs w:val="18"/>
              </w:rPr>
              <w:t>Institutions/</w:t>
            </w:r>
          </w:p>
          <w:p w:rsidR="003A5A07" w:rsidRPr="00B06331" w:rsidRDefault="003A5A07" w:rsidP="003604CF">
            <w:pPr>
              <w:rPr>
                <w:rFonts w:ascii="Avenir Book" w:hAnsi="Avenir Book"/>
                <w:b w:val="0"/>
                <w:sz w:val="18"/>
                <w:szCs w:val="18"/>
              </w:rPr>
            </w:pPr>
            <w:r w:rsidRPr="00B06331">
              <w:rPr>
                <w:rFonts w:ascii="Avenir Book" w:hAnsi="Avenir Book"/>
                <w:b w:val="0"/>
                <w:sz w:val="18"/>
                <w:szCs w:val="18"/>
              </w:rPr>
              <w:t>Structures</w:t>
            </w:r>
          </w:p>
        </w:tc>
        <w:tc>
          <w:tcPr>
            <w:tcW w:w="4098" w:type="dxa"/>
          </w:tcPr>
          <w:p w:rsidR="003A5A07" w:rsidRPr="00B06331" w:rsidRDefault="003A5A07" w:rsidP="003604CF">
            <w:pPr>
              <w:cnfStyle w:val="100000000000"/>
              <w:rPr>
                <w:rFonts w:ascii="Avenir Book" w:hAnsi="Avenir Book"/>
                <w:b w:val="0"/>
                <w:sz w:val="18"/>
                <w:szCs w:val="18"/>
              </w:rPr>
            </w:pPr>
            <w:r w:rsidRPr="00B06331">
              <w:rPr>
                <w:rFonts w:ascii="Avenir Book" w:hAnsi="Avenir Book"/>
                <w:b w:val="0"/>
                <w:sz w:val="18"/>
                <w:szCs w:val="18"/>
              </w:rPr>
              <w:t>Policy Oversight &amp; Coordination</w:t>
            </w:r>
          </w:p>
        </w:tc>
        <w:tc>
          <w:tcPr>
            <w:tcW w:w="4265" w:type="dxa"/>
          </w:tcPr>
          <w:p w:rsidR="003A5A07" w:rsidRPr="00B06331" w:rsidRDefault="003A5A07" w:rsidP="003604CF">
            <w:pPr>
              <w:cnfStyle w:val="100000000000"/>
              <w:rPr>
                <w:rFonts w:ascii="Avenir Book" w:hAnsi="Avenir Book"/>
                <w:b w:val="0"/>
                <w:sz w:val="18"/>
                <w:szCs w:val="18"/>
              </w:rPr>
            </w:pPr>
            <w:r w:rsidRPr="00B06331">
              <w:rPr>
                <w:rFonts w:ascii="Avenir Book" w:hAnsi="Avenir Book"/>
                <w:b w:val="0"/>
                <w:sz w:val="18"/>
                <w:szCs w:val="18"/>
              </w:rPr>
              <w:t>Implementation, Monitoring &amp; Evaluation</w:t>
            </w:r>
          </w:p>
        </w:tc>
      </w:tr>
      <w:tr w:rsidR="003A5A07" w:rsidRPr="00B06331" w:rsidTr="004143E3">
        <w:trPr>
          <w:cnfStyle w:val="000000100000"/>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National Assembly</w:t>
            </w:r>
          </w:p>
        </w:tc>
        <w:tc>
          <w:tcPr>
            <w:tcW w:w="4098" w:type="dxa"/>
          </w:tcPr>
          <w:p w:rsidR="003A5A07" w:rsidRPr="00B06331" w:rsidRDefault="003A5A07" w:rsidP="003715CF">
            <w:pPr>
              <w:pStyle w:val="ListParagraph"/>
              <w:numPr>
                <w:ilvl w:val="0"/>
                <w:numId w:val="4"/>
              </w:numPr>
              <w:jc w:val="both"/>
              <w:cnfStyle w:val="000000100000"/>
              <w:rPr>
                <w:rFonts w:ascii="Avenir Book" w:hAnsi="Avenir Book"/>
                <w:sz w:val="18"/>
                <w:szCs w:val="18"/>
              </w:rPr>
            </w:pPr>
            <w:r w:rsidRPr="00B06331">
              <w:rPr>
                <w:rFonts w:ascii="Avenir Book" w:hAnsi="Avenir Book"/>
                <w:sz w:val="18"/>
                <w:szCs w:val="18"/>
              </w:rPr>
              <w:t>Contribute to defining key national development priorities</w:t>
            </w:r>
          </w:p>
          <w:p w:rsidR="003A5A07" w:rsidRPr="00B06331" w:rsidRDefault="003A5A07" w:rsidP="003715CF">
            <w:pPr>
              <w:pStyle w:val="ListParagraph"/>
              <w:numPr>
                <w:ilvl w:val="0"/>
                <w:numId w:val="4"/>
              </w:numPr>
              <w:jc w:val="both"/>
              <w:cnfStyle w:val="000000100000"/>
              <w:rPr>
                <w:rFonts w:ascii="Avenir Book" w:hAnsi="Avenir Book"/>
                <w:sz w:val="18"/>
                <w:szCs w:val="18"/>
              </w:rPr>
            </w:pPr>
            <w:r w:rsidRPr="00B06331">
              <w:rPr>
                <w:rFonts w:ascii="Avenir Book" w:hAnsi="Avenir Book"/>
                <w:sz w:val="18"/>
                <w:szCs w:val="18"/>
              </w:rPr>
              <w:t>Vote/approve budget</w:t>
            </w:r>
          </w:p>
          <w:p w:rsidR="003A5A07" w:rsidRPr="00B06331" w:rsidRDefault="003A5A07" w:rsidP="003715CF">
            <w:pPr>
              <w:pStyle w:val="ListParagraph"/>
              <w:numPr>
                <w:ilvl w:val="0"/>
                <w:numId w:val="4"/>
              </w:numPr>
              <w:jc w:val="both"/>
              <w:cnfStyle w:val="000000100000"/>
              <w:rPr>
                <w:rFonts w:ascii="Avenir Book" w:hAnsi="Avenir Book"/>
                <w:sz w:val="18"/>
                <w:szCs w:val="18"/>
              </w:rPr>
            </w:pPr>
            <w:r w:rsidRPr="00B06331">
              <w:rPr>
                <w:rFonts w:ascii="Avenir Book" w:hAnsi="Avenir Book"/>
                <w:sz w:val="18"/>
                <w:szCs w:val="18"/>
              </w:rPr>
              <w:t xml:space="preserve">Ensure plans address national priorities </w:t>
            </w:r>
          </w:p>
          <w:p w:rsidR="003A5A07" w:rsidRPr="00B06331" w:rsidRDefault="003A5A07" w:rsidP="003715CF">
            <w:pPr>
              <w:pStyle w:val="ListParagraph"/>
              <w:numPr>
                <w:ilvl w:val="0"/>
                <w:numId w:val="4"/>
              </w:numPr>
              <w:jc w:val="both"/>
              <w:cnfStyle w:val="000000100000"/>
              <w:rPr>
                <w:rFonts w:ascii="Avenir Book" w:hAnsi="Avenir Book"/>
                <w:sz w:val="18"/>
                <w:szCs w:val="18"/>
              </w:rPr>
            </w:pPr>
            <w:r w:rsidRPr="00B06331">
              <w:rPr>
                <w:rFonts w:ascii="Avenir Book" w:hAnsi="Avenir Book"/>
                <w:sz w:val="18"/>
                <w:szCs w:val="18"/>
              </w:rPr>
              <w:t xml:space="preserve">Ensure sector plans are aligned to NDP </w:t>
            </w:r>
          </w:p>
          <w:p w:rsidR="003A5A07" w:rsidRPr="00B06331" w:rsidRDefault="003A5A07" w:rsidP="003715CF">
            <w:pPr>
              <w:pStyle w:val="ListParagraph"/>
              <w:numPr>
                <w:ilvl w:val="0"/>
                <w:numId w:val="4"/>
              </w:numPr>
              <w:jc w:val="both"/>
              <w:cnfStyle w:val="000000100000"/>
              <w:rPr>
                <w:rFonts w:ascii="Avenir Book" w:hAnsi="Avenir Book"/>
                <w:sz w:val="18"/>
                <w:szCs w:val="18"/>
              </w:rPr>
            </w:pPr>
            <w:r w:rsidRPr="00B06331">
              <w:rPr>
                <w:rFonts w:ascii="Avenir Book" w:hAnsi="Avenir Book"/>
                <w:sz w:val="18"/>
                <w:szCs w:val="18"/>
              </w:rPr>
              <w:t>Review progress reports</w:t>
            </w:r>
          </w:p>
        </w:tc>
        <w:tc>
          <w:tcPr>
            <w:tcW w:w="4265" w:type="dxa"/>
          </w:tcPr>
          <w:p w:rsidR="003A5A07" w:rsidRPr="00B06331" w:rsidRDefault="003A5A07" w:rsidP="003604CF">
            <w:pPr>
              <w:cnfStyle w:val="000000100000"/>
              <w:rPr>
                <w:rFonts w:ascii="Avenir Book" w:hAnsi="Avenir Book"/>
                <w:sz w:val="18"/>
                <w:szCs w:val="18"/>
              </w:rPr>
            </w:pPr>
          </w:p>
        </w:tc>
      </w:tr>
      <w:tr w:rsidR="003A5A07" w:rsidRPr="00B06331" w:rsidTr="008F002A">
        <w:trPr>
          <w:trHeight w:val="854"/>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Cabinet</w:t>
            </w:r>
          </w:p>
          <w:p w:rsidR="006D73BD" w:rsidRPr="00B06331" w:rsidRDefault="006D73BD" w:rsidP="003604CF">
            <w:pPr>
              <w:rPr>
                <w:rFonts w:ascii="Avenir Book" w:hAnsi="Avenir Book"/>
                <w:i/>
                <w:sz w:val="18"/>
                <w:szCs w:val="18"/>
              </w:rPr>
            </w:pPr>
          </w:p>
          <w:p w:rsidR="006D73BD" w:rsidRPr="00B06331" w:rsidRDefault="006D73BD" w:rsidP="003604CF">
            <w:pPr>
              <w:rPr>
                <w:rFonts w:ascii="Avenir Book" w:hAnsi="Avenir Book"/>
                <w:i/>
                <w:sz w:val="18"/>
                <w:szCs w:val="18"/>
              </w:rPr>
            </w:pPr>
          </w:p>
          <w:p w:rsidR="006D73BD" w:rsidRPr="00B06331" w:rsidRDefault="006D73BD" w:rsidP="003604CF">
            <w:pPr>
              <w:rPr>
                <w:rFonts w:ascii="Avenir Book" w:hAnsi="Avenir Book"/>
                <w:i/>
                <w:sz w:val="18"/>
                <w:szCs w:val="18"/>
              </w:rPr>
            </w:pPr>
          </w:p>
        </w:tc>
        <w:tc>
          <w:tcPr>
            <w:tcW w:w="4098" w:type="dxa"/>
          </w:tcPr>
          <w:p w:rsidR="003A5A07" w:rsidRPr="00B06331" w:rsidRDefault="003A5A07" w:rsidP="003715CF">
            <w:pPr>
              <w:pStyle w:val="ListParagraph"/>
              <w:numPr>
                <w:ilvl w:val="0"/>
                <w:numId w:val="5"/>
              </w:numPr>
              <w:jc w:val="both"/>
              <w:cnfStyle w:val="000000000000"/>
              <w:rPr>
                <w:rFonts w:ascii="Avenir Book" w:hAnsi="Avenir Book"/>
                <w:sz w:val="18"/>
                <w:szCs w:val="18"/>
              </w:rPr>
            </w:pPr>
            <w:r w:rsidRPr="00B06331">
              <w:rPr>
                <w:rFonts w:ascii="Avenir Book" w:hAnsi="Avenir Book"/>
                <w:sz w:val="18"/>
                <w:szCs w:val="18"/>
              </w:rPr>
              <w:t>Provide broad orientations ofthe plan</w:t>
            </w:r>
          </w:p>
          <w:p w:rsidR="003A5A07" w:rsidRPr="00B06331" w:rsidRDefault="003A5A07" w:rsidP="003715CF">
            <w:pPr>
              <w:pStyle w:val="ListParagraph"/>
              <w:numPr>
                <w:ilvl w:val="0"/>
                <w:numId w:val="5"/>
              </w:numPr>
              <w:jc w:val="both"/>
              <w:cnfStyle w:val="000000000000"/>
              <w:rPr>
                <w:rFonts w:ascii="Avenir Book" w:hAnsi="Avenir Book"/>
                <w:sz w:val="18"/>
                <w:szCs w:val="18"/>
              </w:rPr>
            </w:pPr>
            <w:r w:rsidRPr="00B06331">
              <w:rPr>
                <w:rFonts w:ascii="Avenir Book" w:hAnsi="Avenir Book"/>
                <w:sz w:val="18"/>
                <w:szCs w:val="18"/>
              </w:rPr>
              <w:t>Approve Plan</w:t>
            </w:r>
          </w:p>
          <w:p w:rsidR="00F04BC0" w:rsidRPr="00B06331" w:rsidRDefault="003A5A07" w:rsidP="008F002A">
            <w:pPr>
              <w:pStyle w:val="ListParagraph"/>
              <w:numPr>
                <w:ilvl w:val="0"/>
                <w:numId w:val="5"/>
              </w:numPr>
              <w:jc w:val="both"/>
              <w:cnfStyle w:val="000000000000"/>
              <w:rPr>
                <w:rFonts w:ascii="Avenir Book" w:hAnsi="Avenir Book"/>
                <w:sz w:val="18"/>
                <w:szCs w:val="18"/>
              </w:rPr>
            </w:pPr>
            <w:r w:rsidRPr="00B06331">
              <w:rPr>
                <w:rFonts w:ascii="Avenir Book" w:hAnsi="Avenir Book"/>
                <w:sz w:val="18"/>
                <w:szCs w:val="18"/>
              </w:rPr>
              <w:t>Give feedback on policy adjustments</w:t>
            </w:r>
          </w:p>
        </w:tc>
        <w:tc>
          <w:tcPr>
            <w:tcW w:w="4265" w:type="dxa"/>
          </w:tcPr>
          <w:p w:rsidR="003A5A07" w:rsidRPr="00B06331" w:rsidRDefault="003A5A07" w:rsidP="003604CF">
            <w:pPr>
              <w:cnfStyle w:val="000000000000"/>
              <w:rPr>
                <w:rFonts w:ascii="Avenir Book" w:hAnsi="Avenir Book"/>
                <w:sz w:val="18"/>
                <w:szCs w:val="18"/>
              </w:rPr>
            </w:pPr>
          </w:p>
        </w:tc>
      </w:tr>
      <w:tr w:rsidR="008F002A" w:rsidRPr="00B06331" w:rsidTr="004143E3">
        <w:trPr>
          <w:cnfStyle w:val="000000100000"/>
          <w:trHeight w:val="317"/>
        </w:trPr>
        <w:tc>
          <w:tcPr>
            <w:cnfStyle w:val="001000000000"/>
            <w:tcW w:w="2093" w:type="dxa"/>
          </w:tcPr>
          <w:p w:rsidR="008F002A" w:rsidRPr="00B06331" w:rsidRDefault="008F002A" w:rsidP="003604CF">
            <w:pPr>
              <w:rPr>
                <w:rFonts w:ascii="Avenir Book" w:hAnsi="Avenir Book"/>
                <w:i/>
                <w:sz w:val="18"/>
                <w:szCs w:val="18"/>
              </w:rPr>
            </w:pPr>
            <w:r w:rsidRPr="00B06331">
              <w:rPr>
                <w:rFonts w:ascii="Avenir Book" w:hAnsi="Avenir Book"/>
                <w:i/>
                <w:sz w:val="18"/>
                <w:szCs w:val="18"/>
              </w:rPr>
              <w:t>Inter-Ministerial Steering Committee</w:t>
            </w:r>
          </w:p>
        </w:tc>
        <w:tc>
          <w:tcPr>
            <w:tcW w:w="4098" w:type="dxa"/>
          </w:tcPr>
          <w:p w:rsidR="008F002A" w:rsidRPr="00B06331" w:rsidRDefault="008F002A" w:rsidP="008F002A">
            <w:pPr>
              <w:pStyle w:val="ListParagraph"/>
              <w:numPr>
                <w:ilvl w:val="0"/>
                <w:numId w:val="5"/>
              </w:numPr>
              <w:jc w:val="both"/>
              <w:cnfStyle w:val="000000100000"/>
              <w:rPr>
                <w:rFonts w:ascii="Avenir Book" w:hAnsi="Avenir Book"/>
                <w:sz w:val="18"/>
                <w:szCs w:val="18"/>
              </w:rPr>
            </w:pPr>
            <w:r w:rsidRPr="00B06331">
              <w:rPr>
                <w:rFonts w:ascii="Avenir Book" w:hAnsi="Avenir Book"/>
                <w:sz w:val="18"/>
                <w:szCs w:val="18"/>
              </w:rPr>
              <w:t>Review and approve annual progress report</w:t>
            </w:r>
          </w:p>
          <w:p w:rsidR="008F002A" w:rsidRPr="00B06331" w:rsidRDefault="008F002A" w:rsidP="008F002A">
            <w:pPr>
              <w:pStyle w:val="ListParagraph"/>
              <w:numPr>
                <w:ilvl w:val="0"/>
                <w:numId w:val="5"/>
              </w:numPr>
              <w:spacing w:after="0" w:line="240" w:lineRule="auto"/>
              <w:jc w:val="both"/>
              <w:cnfStyle w:val="000000100000"/>
              <w:rPr>
                <w:rFonts w:ascii="Avenir Book" w:hAnsi="Avenir Book"/>
                <w:sz w:val="18"/>
                <w:szCs w:val="18"/>
              </w:rPr>
            </w:pPr>
            <w:r w:rsidRPr="00B06331">
              <w:rPr>
                <w:rFonts w:ascii="Avenir Book" w:hAnsi="Avenir Book"/>
                <w:sz w:val="18"/>
                <w:szCs w:val="18"/>
              </w:rPr>
              <w:t>Review reports (Progress reports, M&amp;E reports) and provide guidance on the overall implementation of the NDP</w:t>
            </w:r>
          </w:p>
          <w:p w:rsidR="008F002A" w:rsidRPr="00B06331" w:rsidRDefault="008F002A" w:rsidP="008F002A">
            <w:pPr>
              <w:pStyle w:val="ListParagraph"/>
              <w:numPr>
                <w:ilvl w:val="0"/>
                <w:numId w:val="5"/>
              </w:numPr>
              <w:spacing w:after="0" w:line="240" w:lineRule="auto"/>
              <w:jc w:val="both"/>
              <w:cnfStyle w:val="000000100000"/>
              <w:rPr>
                <w:rFonts w:ascii="Avenir Book" w:hAnsi="Avenir Book"/>
                <w:sz w:val="18"/>
                <w:szCs w:val="18"/>
              </w:rPr>
            </w:pPr>
            <w:r w:rsidRPr="00B06331">
              <w:rPr>
                <w:rFonts w:ascii="Avenir Book" w:hAnsi="Avenir Book"/>
                <w:sz w:val="18"/>
                <w:szCs w:val="18"/>
              </w:rPr>
              <w:t>Update the Cabinet on progress and make recommendations for action</w:t>
            </w:r>
          </w:p>
          <w:p w:rsidR="008F002A" w:rsidRPr="00B06331" w:rsidRDefault="008F002A" w:rsidP="008F002A">
            <w:pPr>
              <w:pStyle w:val="ListParagraph"/>
              <w:numPr>
                <w:ilvl w:val="0"/>
                <w:numId w:val="5"/>
              </w:numPr>
              <w:spacing w:after="0" w:line="240" w:lineRule="auto"/>
              <w:jc w:val="both"/>
              <w:cnfStyle w:val="000000100000"/>
              <w:rPr>
                <w:rFonts w:ascii="Avenir Book" w:hAnsi="Avenir Book"/>
                <w:sz w:val="18"/>
                <w:szCs w:val="18"/>
              </w:rPr>
            </w:pPr>
            <w:r w:rsidRPr="00B06331">
              <w:rPr>
                <w:rFonts w:ascii="Avenir Book" w:hAnsi="Avenir Book"/>
                <w:sz w:val="18"/>
                <w:szCs w:val="18"/>
              </w:rPr>
              <w:t>Ensure sector coherence and inter-sector linkages</w:t>
            </w:r>
          </w:p>
        </w:tc>
        <w:tc>
          <w:tcPr>
            <w:tcW w:w="4265" w:type="dxa"/>
          </w:tcPr>
          <w:p w:rsidR="008F002A" w:rsidRPr="00B06331" w:rsidRDefault="008F002A" w:rsidP="003604CF">
            <w:pPr>
              <w:cnfStyle w:val="000000100000"/>
              <w:rPr>
                <w:rFonts w:ascii="Avenir Book" w:hAnsi="Avenir Book"/>
                <w:sz w:val="18"/>
                <w:szCs w:val="18"/>
              </w:rPr>
            </w:pPr>
          </w:p>
        </w:tc>
      </w:tr>
      <w:tr w:rsidR="003A5A07" w:rsidRPr="00B06331" w:rsidTr="004143E3">
        <w:trPr>
          <w:trHeight w:val="302"/>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High-level Multi-Stakeholder National Steering Committee</w:t>
            </w:r>
          </w:p>
        </w:tc>
        <w:tc>
          <w:tcPr>
            <w:tcW w:w="4098" w:type="dxa"/>
          </w:tcPr>
          <w:p w:rsidR="003A5A07" w:rsidRPr="00B06331" w:rsidRDefault="003A5A07" w:rsidP="003715CF">
            <w:pPr>
              <w:pStyle w:val="ListParagraph"/>
              <w:numPr>
                <w:ilvl w:val="0"/>
                <w:numId w:val="6"/>
              </w:numPr>
              <w:jc w:val="both"/>
              <w:cnfStyle w:val="000000000000"/>
              <w:rPr>
                <w:rFonts w:ascii="Avenir Book" w:hAnsi="Avenir Book"/>
                <w:sz w:val="18"/>
                <w:szCs w:val="18"/>
              </w:rPr>
            </w:pPr>
            <w:r w:rsidRPr="00B06331">
              <w:rPr>
                <w:rFonts w:ascii="Avenir Book" w:hAnsi="Avenir Book"/>
                <w:sz w:val="18"/>
                <w:szCs w:val="18"/>
              </w:rPr>
              <w:t>Provide guidance for plan preparation and implementation</w:t>
            </w:r>
          </w:p>
          <w:p w:rsidR="003A5A07" w:rsidRPr="00B06331" w:rsidRDefault="003A5A07" w:rsidP="003715CF">
            <w:pPr>
              <w:pStyle w:val="ListParagraph"/>
              <w:numPr>
                <w:ilvl w:val="0"/>
                <w:numId w:val="6"/>
              </w:numPr>
              <w:jc w:val="both"/>
              <w:cnfStyle w:val="000000000000"/>
              <w:rPr>
                <w:rFonts w:ascii="Avenir Book" w:hAnsi="Avenir Book"/>
                <w:sz w:val="18"/>
                <w:szCs w:val="18"/>
              </w:rPr>
            </w:pPr>
            <w:r w:rsidRPr="00B06331">
              <w:rPr>
                <w:rFonts w:ascii="Avenir Book" w:hAnsi="Avenir Book"/>
                <w:sz w:val="18"/>
                <w:szCs w:val="18"/>
              </w:rPr>
              <w:t>Review M&amp;E reports</w:t>
            </w:r>
          </w:p>
          <w:p w:rsidR="003A5A07" w:rsidRPr="00B06331" w:rsidRDefault="003A5A07" w:rsidP="003715CF">
            <w:pPr>
              <w:pStyle w:val="ListParagraph"/>
              <w:numPr>
                <w:ilvl w:val="0"/>
                <w:numId w:val="6"/>
              </w:numPr>
              <w:jc w:val="both"/>
              <w:cnfStyle w:val="000000000000"/>
              <w:rPr>
                <w:rFonts w:ascii="Avenir Book" w:hAnsi="Avenir Book"/>
                <w:sz w:val="18"/>
                <w:szCs w:val="18"/>
              </w:rPr>
            </w:pPr>
            <w:r w:rsidRPr="00B06331">
              <w:rPr>
                <w:rFonts w:ascii="Avenir Book" w:hAnsi="Avenir Book"/>
                <w:sz w:val="18"/>
                <w:szCs w:val="18"/>
              </w:rPr>
              <w:t>Advice on national priorities &amp; adjustments needed on the plan</w:t>
            </w:r>
          </w:p>
          <w:p w:rsidR="003A5A07" w:rsidRPr="00B06331" w:rsidRDefault="003A5A07" w:rsidP="003715CF">
            <w:pPr>
              <w:pStyle w:val="ListParagraph"/>
              <w:numPr>
                <w:ilvl w:val="0"/>
                <w:numId w:val="6"/>
              </w:numPr>
              <w:jc w:val="both"/>
              <w:cnfStyle w:val="000000000000"/>
              <w:rPr>
                <w:rFonts w:ascii="Avenir Book" w:hAnsi="Avenir Book"/>
                <w:sz w:val="18"/>
                <w:szCs w:val="18"/>
              </w:rPr>
            </w:pPr>
            <w:r w:rsidRPr="00B06331">
              <w:rPr>
                <w:rFonts w:ascii="Avenir Book" w:hAnsi="Avenir Book"/>
                <w:sz w:val="18"/>
                <w:szCs w:val="18"/>
              </w:rPr>
              <w:t>Create a platform for dialogue on key national development challenges</w:t>
            </w:r>
          </w:p>
        </w:tc>
        <w:tc>
          <w:tcPr>
            <w:tcW w:w="4265" w:type="dxa"/>
          </w:tcPr>
          <w:p w:rsidR="003A5A07" w:rsidRPr="00B06331" w:rsidRDefault="003A5A07" w:rsidP="003604CF">
            <w:pPr>
              <w:cnfStyle w:val="000000000000"/>
              <w:rPr>
                <w:rFonts w:ascii="Avenir Book" w:hAnsi="Avenir Book"/>
                <w:sz w:val="18"/>
                <w:szCs w:val="18"/>
              </w:rPr>
            </w:pPr>
          </w:p>
        </w:tc>
      </w:tr>
      <w:tr w:rsidR="003A5A07" w:rsidRPr="00B06331" w:rsidTr="004143E3">
        <w:trPr>
          <w:cnfStyle w:val="000000100000"/>
          <w:trHeight w:val="302"/>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Regional Governors/Mayors &amp; Council Chairperson’s Forum</w:t>
            </w:r>
          </w:p>
        </w:tc>
        <w:tc>
          <w:tcPr>
            <w:tcW w:w="4098" w:type="dxa"/>
          </w:tcPr>
          <w:p w:rsidR="003A5A07" w:rsidRPr="00B06331" w:rsidRDefault="003A5A07" w:rsidP="003715CF">
            <w:pPr>
              <w:pStyle w:val="ListParagraph"/>
              <w:numPr>
                <w:ilvl w:val="0"/>
                <w:numId w:val="7"/>
              </w:numPr>
              <w:jc w:val="both"/>
              <w:cnfStyle w:val="000000100000"/>
              <w:rPr>
                <w:rFonts w:ascii="Avenir Book" w:hAnsi="Avenir Book"/>
                <w:sz w:val="18"/>
                <w:szCs w:val="18"/>
              </w:rPr>
            </w:pPr>
            <w:r w:rsidRPr="00B06331">
              <w:rPr>
                <w:rFonts w:ascii="Avenir Book" w:hAnsi="Avenir Book"/>
                <w:sz w:val="18"/>
                <w:szCs w:val="18"/>
              </w:rPr>
              <w:t xml:space="preserve">Ensure alignment of regional plans with NDP </w:t>
            </w:r>
          </w:p>
          <w:p w:rsidR="003A5A07" w:rsidRPr="00B06331" w:rsidRDefault="003A5A07" w:rsidP="003715CF">
            <w:pPr>
              <w:pStyle w:val="ListParagraph"/>
              <w:numPr>
                <w:ilvl w:val="0"/>
                <w:numId w:val="7"/>
              </w:numPr>
              <w:jc w:val="both"/>
              <w:cnfStyle w:val="000000100000"/>
              <w:rPr>
                <w:rFonts w:ascii="Avenir Book" w:hAnsi="Avenir Book"/>
                <w:sz w:val="18"/>
                <w:szCs w:val="18"/>
              </w:rPr>
            </w:pPr>
            <w:r w:rsidRPr="00B06331">
              <w:rPr>
                <w:rFonts w:ascii="Avenir Book" w:hAnsi="Avenir Book"/>
                <w:sz w:val="18"/>
                <w:szCs w:val="18"/>
              </w:rPr>
              <w:t xml:space="preserve">Provide leadership at the regional level </w:t>
            </w:r>
          </w:p>
          <w:p w:rsidR="003A5A07" w:rsidRPr="00B06331" w:rsidRDefault="003A5A07" w:rsidP="003715CF">
            <w:pPr>
              <w:pStyle w:val="ListParagraph"/>
              <w:numPr>
                <w:ilvl w:val="0"/>
                <w:numId w:val="7"/>
              </w:numPr>
              <w:jc w:val="both"/>
              <w:cnfStyle w:val="000000100000"/>
              <w:rPr>
                <w:rFonts w:ascii="Avenir Book" w:hAnsi="Avenir Book"/>
                <w:sz w:val="18"/>
                <w:szCs w:val="18"/>
              </w:rPr>
            </w:pPr>
            <w:r w:rsidRPr="00B06331">
              <w:rPr>
                <w:rFonts w:ascii="Avenir Book" w:hAnsi="Avenir Book"/>
                <w:sz w:val="18"/>
                <w:szCs w:val="18"/>
              </w:rPr>
              <w:t>Co-ordinate NDP related activities at regional level</w:t>
            </w:r>
          </w:p>
        </w:tc>
        <w:tc>
          <w:tcPr>
            <w:tcW w:w="4265" w:type="dxa"/>
          </w:tcPr>
          <w:p w:rsidR="003A5A07" w:rsidRPr="00B06331" w:rsidRDefault="003A5A07" w:rsidP="003604CF">
            <w:pPr>
              <w:cnfStyle w:val="000000100000"/>
              <w:rPr>
                <w:rFonts w:ascii="Avenir Book" w:hAnsi="Avenir Book"/>
                <w:sz w:val="18"/>
                <w:szCs w:val="18"/>
              </w:rPr>
            </w:pPr>
          </w:p>
        </w:tc>
      </w:tr>
      <w:tr w:rsidR="003A5A07" w:rsidRPr="00B06331" w:rsidTr="004143E3">
        <w:trPr>
          <w:trHeight w:val="302"/>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Government Donor Consultative Forum</w:t>
            </w:r>
          </w:p>
        </w:tc>
        <w:tc>
          <w:tcPr>
            <w:tcW w:w="4098" w:type="dxa"/>
          </w:tcPr>
          <w:p w:rsidR="003A5A07" w:rsidRPr="00B06331" w:rsidRDefault="003A5A07" w:rsidP="004143E3">
            <w:pPr>
              <w:pStyle w:val="ListParagraph"/>
              <w:numPr>
                <w:ilvl w:val="0"/>
                <w:numId w:val="18"/>
              </w:numPr>
              <w:jc w:val="both"/>
              <w:cnfStyle w:val="000000000000"/>
              <w:rPr>
                <w:rFonts w:ascii="Avenir Book" w:hAnsi="Avenir Book"/>
                <w:sz w:val="18"/>
                <w:szCs w:val="18"/>
              </w:rPr>
            </w:pPr>
            <w:r w:rsidRPr="00B06331">
              <w:rPr>
                <w:rFonts w:ascii="Avenir Book" w:hAnsi="Avenir Book"/>
                <w:sz w:val="18"/>
                <w:szCs w:val="18"/>
              </w:rPr>
              <w:t>Provide a forum for mutual dialogue between government and development partners</w:t>
            </w:r>
          </w:p>
          <w:p w:rsidR="003A5A07" w:rsidRPr="00B06331" w:rsidRDefault="003A5A07" w:rsidP="004143E3">
            <w:pPr>
              <w:pStyle w:val="ListParagraph"/>
              <w:numPr>
                <w:ilvl w:val="0"/>
                <w:numId w:val="18"/>
              </w:numPr>
              <w:jc w:val="both"/>
              <w:cnfStyle w:val="000000000000"/>
              <w:rPr>
                <w:rFonts w:ascii="Avenir Book" w:hAnsi="Avenir Book"/>
                <w:sz w:val="18"/>
                <w:szCs w:val="18"/>
              </w:rPr>
            </w:pPr>
            <w:r w:rsidRPr="00B06331">
              <w:rPr>
                <w:rFonts w:ascii="Avenir Book" w:hAnsi="Avenir Book"/>
                <w:sz w:val="18"/>
                <w:szCs w:val="18"/>
              </w:rPr>
              <w:t>The forum shall be co-chaired by the Minister of Finance and a Lead Development partner</w:t>
            </w:r>
          </w:p>
        </w:tc>
        <w:tc>
          <w:tcPr>
            <w:tcW w:w="4265" w:type="dxa"/>
          </w:tcPr>
          <w:p w:rsidR="003A5A07" w:rsidRPr="00B06331" w:rsidRDefault="003A5A07" w:rsidP="003604CF">
            <w:pPr>
              <w:cnfStyle w:val="000000000000"/>
              <w:rPr>
                <w:rFonts w:ascii="Avenir Book" w:hAnsi="Avenir Book"/>
                <w:sz w:val="18"/>
                <w:szCs w:val="18"/>
              </w:rPr>
            </w:pPr>
          </w:p>
        </w:tc>
      </w:tr>
      <w:tr w:rsidR="003A5A07" w:rsidRPr="00B06331" w:rsidTr="004143E3">
        <w:trPr>
          <w:cnfStyle w:val="000000100000"/>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National Technical Committee</w:t>
            </w:r>
          </w:p>
        </w:tc>
        <w:tc>
          <w:tcPr>
            <w:tcW w:w="4098" w:type="dxa"/>
          </w:tcPr>
          <w:p w:rsidR="003A5A07" w:rsidRPr="00B06331" w:rsidRDefault="003A5A07" w:rsidP="003604CF">
            <w:pPr>
              <w:cnfStyle w:val="000000100000"/>
              <w:rPr>
                <w:rFonts w:ascii="Avenir Book" w:hAnsi="Avenir Book"/>
                <w:sz w:val="18"/>
                <w:szCs w:val="18"/>
              </w:rPr>
            </w:pPr>
          </w:p>
        </w:tc>
        <w:tc>
          <w:tcPr>
            <w:tcW w:w="4265" w:type="dxa"/>
          </w:tcPr>
          <w:p w:rsidR="003A5A07" w:rsidRPr="00B06331" w:rsidRDefault="003A5A07" w:rsidP="003715CF">
            <w:pPr>
              <w:pStyle w:val="ListParagraph"/>
              <w:numPr>
                <w:ilvl w:val="0"/>
                <w:numId w:val="8"/>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Provide oversight of the implementation and M&amp;E</w:t>
            </w:r>
          </w:p>
          <w:p w:rsidR="003A5A07" w:rsidRPr="00B06331" w:rsidRDefault="003A5A07" w:rsidP="003715CF">
            <w:pPr>
              <w:pStyle w:val="ListParagraph"/>
              <w:numPr>
                <w:ilvl w:val="0"/>
                <w:numId w:val="8"/>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 xml:space="preserve">Ensure alignment of sector strategies with NDP </w:t>
            </w:r>
          </w:p>
          <w:p w:rsidR="003A5A07" w:rsidRPr="00B06331" w:rsidRDefault="003A5A07" w:rsidP="003715CF">
            <w:pPr>
              <w:pStyle w:val="ListParagraph"/>
              <w:numPr>
                <w:ilvl w:val="0"/>
                <w:numId w:val="8"/>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 xml:space="preserve">Ensure annual work plans and budgets are developed and aligned to NDP </w:t>
            </w:r>
          </w:p>
          <w:p w:rsidR="003A5A07" w:rsidRPr="00B06331" w:rsidRDefault="003A5A07" w:rsidP="003715CF">
            <w:pPr>
              <w:pStyle w:val="ListParagraph"/>
              <w:numPr>
                <w:ilvl w:val="0"/>
                <w:numId w:val="8"/>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lastRenderedPageBreak/>
              <w:t>Review periodic progress reports</w:t>
            </w:r>
          </w:p>
          <w:p w:rsidR="003A5A07" w:rsidRPr="00B06331" w:rsidRDefault="003A5A07" w:rsidP="003715CF">
            <w:pPr>
              <w:pStyle w:val="ListParagraph"/>
              <w:numPr>
                <w:ilvl w:val="0"/>
                <w:numId w:val="8"/>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Provide advice to national coordinating committee</w:t>
            </w:r>
          </w:p>
          <w:p w:rsidR="003A5A07" w:rsidRPr="00B06331" w:rsidRDefault="003A5A07" w:rsidP="003715CF">
            <w:pPr>
              <w:pStyle w:val="ListParagraph"/>
              <w:numPr>
                <w:ilvl w:val="0"/>
                <w:numId w:val="8"/>
              </w:numPr>
              <w:jc w:val="both"/>
              <w:cnfStyle w:val="000000100000"/>
              <w:rPr>
                <w:rFonts w:ascii="Avenir Book" w:eastAsia="Times New Roman" w:hAnsi="Avenir Book"/>
                <w:color w:val="000000"/>
                <w:sz w:val="18"/>
                <w:szCs w:val="18"/>
              </w:rPr>
            </w:pPr>
            <w:r w:rsidRPr="00B06331">
              <w:rPr>
                <w:rFonts w:ascii="Avenir Book" w:eastAsia="Times New Roman" w:hAnsi="Avenir Book"/>
                <w:color w:val="000000"/>
                <w:sz w:val="18"/>
                <w:szCs w:val="18"/>
                <w:shd w:val="clear" w:color="auto" w:fill="FFFFFF"/>
              </w:rPr>
              <w:t>Provide consolidated reports during Cabinet retreats</w:t>
            </w:r>
          </w:p>
        </w:tc>
      </w:tr>
      <w:tr w:rsidR="003A5A07" w:rsidRPr="00B06331" w:rsidTr="004143E3">
        <w:trPr>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lastRenderedPageBreak/>
              <w:t>National M&amp;E platform</w:t>
            </w:r>
          </w:p>
        </w:tc>
        <w:tc>
          <w:tcPr>
            <w:tcW w:w="4098" w:type="dxa"/>
          </w:tcPr>
          <w:p w:rsidR="003A5A07" w:rsidRPr="00B06331" w:rsidRDefault="003A5A07" w:rsidP="003604CF">
            <w:pPr>
              <w:cnfStyle w:val="000000000000"/>
              <w:rPr>
                <w:rFonts w:ascii="Avenir Book" w:hAnsi="Avenir Book"/>
                <w:sz w:val="18"/>
                <w:szCs w:val="18"/>
              </w:rPr>
            </w:pPr>
          </w:p>
        </w:tc>
        <w:tc>
          <w:tcPr>
            <w:tcW w:w="4265" w:type="dxa"/>
          </w:tcPr>
          <w:p w:rsidR="003A5A07" w:rsidRPr="00B06331" w:rsidRDefault="003A5A07" w:rsidP="003604CF">
            <w:pPr>
              <w:pStyle w:val="ListParagraph"/>
              <w:numPr>
                <w:ilvl w:val="0"/>
                <w:numId w:val="9"/>
              </w:numPr>
              <w:jc w:val="both"/>
              <w:cnfStyle w:val="000000000000"/>
              <w:rPr>
                <w:rFonts w:ascii="Avenir Book" w:eastAsia="Times New Roman" w:hAnsi="Avenir Book"/>
                <w:color w:val="000000"/>
                <w:sz w:val="18"/>
                <w:szCs w:val="18"/>
              </w:rPr>
            </w:pPr>
            <w:r w:rsidRPr="00B06331">
              <w:rPr>
                <w:rFonts w:ascii="Avenir Book" w:eastAsia="Times New Roman" w:hAnsi="Avenir Book"/>
                <w:color w:val="000000"/>
                <w:sz w:val="18"/>
                <w:szCs w:val="18"/>
                <w:shd w:val="clear" w:color="auto" w:fill="FFFFFF"/>
              </w:rPr>
              <w:t>Provide input for National Technical Committee and Technical Clusters</w:t>
            </w:r>
          </w:p>
        </w:tc>
      </w:tr>
      <w:tr w:rsidR="003A5A07" w:rsidRPr="00B06331" w:rsidTr="004143E3">
        <w:trPr>
          <w:cnfStyle w:val="000000100000"/>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Technical Clusters</w:t>
            </w:r>
          </w:p>
        </w:tc>
        <w:tc>
          <w:tcPr>
            <w:tcW w:w="4098" w:type="dxa"/>
          </w:tcPr>
          <w:p w:rsidR="003A5A07" w:rsidRPr="00B06331" w:rsidRDefault="003A5A07" w:rsidP="003604CF">
            <w:pPr>
              <w:cnfStyle w:val="000000100000"/>
              <w:rPr>
                <w:rFonts w:ascii="Avenir Book" w:hAnsi="Avenir Book"/>
                <w:sz w:val="18"/>
                <w:szCs w:val="18"/>
              </w:rPr>
            </w:pPr>
          </w:p>
        </w:tc>
        <w:tc>
          <w:tcPr>
            <w:tcW w:w="4265" w:type="dxa"/>
          </w:tcPr>
          <w:p w:rsidR="003A5A07" w:rsidRPr="00B06331" w:rsidRDefault="003A5A07" w:rsidP="003715CF">
            <w:pPr>
              <w:pStyle w:val="ListParagraph"/>
              <w:numPr>
                <w:ilvl w:val="0"/>
                <w:numId w:val="10"/>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Develop annual work plans and budgets in areas of specialty</w:t>
            </w:r>
          </w:p>
          <w:p w:rsidR="003A5A07" w:rsidRPr="00B06331" w:rsidRDefault="003A5A07" w:rsidP="003715CF">
            <w:pPr>
              <w:pStyle w:val="ListParagraph"/>
              <w:numPr>
                <w:ilvl w:val="0"/>
                <w:numId w:val="10"/>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Prepare monitoring and progress reports</w:t>
            </w:r>
          </w:p>
          <w:p w:rsidR="003A5A07" w:rsidRPr="00B06331" w:rsidRDefault="003A5A07" w:rsidP="003715CF">
            <w:pPr>
              <w:pStyle w:val="ListParagraph"/>
              <w:numPr>
                <w:ilvl w:val="0"/>
                <w:numId w:val="10"/>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Platform for sharing information and coordinating activities of key stakeholders within the thematic area</w:t>
            </w:r>
          </w:p>
          <w:p w:rsidR="003A5A07" w:rsidRPr="00B06331" w:rsidRDefault="003A5A07" w:rsidP="003604CF">
            <w:pPr>
              <w:pStyle w:val="ListParagraph"/>
              <w:numPr>
                <w:ilvl w:val="0"/>
                <w:numId w:val="10"/>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 xml:space="preserve">Sharing knowledge and best practices in the thematic area </w:t>
            </w:r>
          </w:p>
        </w:tc>
      </w:tr>
      <w:tr w:rsidR="003A5A07" w:rsidRPr="00B06331" w:rsidTr="004143E3">
        <w:trPr>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Regional Technical Advisory Committee</w:t>
            </w:r>
          </w:p>
        </w:tc>
        <w:tc>
          <w:tcPr>
            <w:tcW w:w="4098" w:type="dxa"/>
          </w:tcPr>
          <w:p w:rsidR="003A5A07" w:rsidRPr="00B06331" w:rsidRDefault="003A5A07" w:rsidP="003604CF">
            <w:pPr>
              <w:cnfStyle w:val="000000000000"/>
              <w:rPr>
                <w:rFonts w:ascii="Avenir Book" w:hAnsi="Avenir Book"/>
                <w:sz w:val="18"/>
                <w:szCs w:val="18"/>
              </w:rPr>
            </w:pPr>
          </w:p>
        </w:tc>
        <w:tc>
          <w:tcPr>
            <w:tcW w:w="4265" w:type="dxa"/>
          </w:tcPr>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Prepare regional development incorporating all wards</w:t>
            </w:r>
          </w:p>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Co-ordinate all donor support and approve all project agreements for the region</w:t>
            </w:r>
          </w:p>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rPr>
            </w:pPr>
            <w:r w:rsidRPr="00B06331">
              <w:rPr>
                <w:rFonts w:ascii="Avenir Book" w:eastAsia="Times New Roman" w:hAnsi="Avenir Book"/>
                <w:color w:val="000000"/>
                <w:sz w:val="18"/>
                <w:szCs w:val="18"/>
                <w:shd w:val="clear" w:color="auto" w:fill="FFFFFF"/>
              </w:rPr>
              <w:t xml:space="preserve">Support participatory M&amp;E of the regional development plans </w:t>
            </w:r>
          </w:p>
          <w:p w:rsidR="003A5A07" w:rsidRPr="00B06331" w:rsidRDefault="003A5A07" w:rsidP="003604CF">
            <w:pPr>
              <w:pStyle w:val="ListParagraph"/>
              <w:numPr>
                <w:ilvl w:val="0"/>
                <w:numId w:val="10"/>
              </w:numPr>
              <w:jc w:val="both"/>
              <w:cnfStyle w:val="000000000000"/>
              <w:rPr>
                <w:rFonts w:ascii="Avenir Book" w:eastAsia="Times New Roman" w:hAnsi="Avenir Book"/>
                <w:color w:val="000000"/>
                <w:sz w:val="18"/>
                <w:szCs w:val="18"/>
              </w:rPr>
            </w:pPr>
            <w:r w:rsidRPr="00B06331">
              <w:rPr>
                <w:rFonts w:ascii="Avenir Book" w:eastAsia="Times New Roman" w:hAnsi="Avenir Book"/>
                <w:color w:val="000000"/>
                <w:sz w:val="18"/>
                <w:szCs w:val="18"/>
                <w:shd w:val="clear" w:color="auto" w:fill="FFFFFF"/>
              </w:rPr>
              <w:t>Provide additional technical support in their respective areas of expertise</w:t>
            </w:r>
          </w:p>
        </w:tc>
      </w:tr>
      <w:tr w:rsidR="003A5A07" w:rsidRPr="00B06331" w:rsidTr="004143E3">
        <w:trPr>
          <w:cnfStyle w:val="000000100000"/>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Ward Development Committee</w:t>
            </w:r>
          </w:p>
        </w:tc>
        <w:tc>
          <w:tcPr>
            <w:tcW w:w="4098" w:type="dxa"/>
          </w:tcPr>
          <w:p w:rsidR="003A5A07" w:rsidRPr="00B06331" w:rsidRDefault="003A5A07" w:rsidP="003604CF">
            <w:pPr>
              <w:cnfStyle w:val="000000100000"/>
              <w:rPr>
                <w:rFonts w:ascii="Avenir Book" w:hAnsi="Avenir Book"/>
                <w:sz w:val="18"/>
                <w:szCs w:val="18"/>
              </w:rPr>
            </w:pPr>
          </w:p>
        </w:tc>
        <w:tc>
          <w:tcPr>
            <w:tcW w:w="4265" w:type="dxa"/>
          </w:tcPr>
          <w:p w:rsidR="003A5A07" w:rsidRPr="00B06331" w:rsidRDefault="003A5A07" w:rsidP="003715CF">
            <w:pPr>
              <w:pStyle w:val="ListParagraph"/>
              <w:numPr>
                <w:ilvl w:val="0"/>
                <w:numId w:val="10"/>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Sensitize and disseminate information on development issues</w:t>
            </w:r>
          </w:p>
          <w:p w:rsidR="003A5A07" w:rsidRPr="00B06331" w:rsidRDefault="003A5A07" w:rsidP="003715CF">
            <w:pPr>
              <w:pStyle w:val="ListParagraph"/>
              <w:numPr>
                <w:ilvl w:val="0"/>
                <w:numId w:val="10"/>
              </w:numPr>
              <w:jc w:val="both"/>
              <w:cnfStyle w:val="0000001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 xml:space="preserve">Collaborate with regional governors and TAC to better address development needs at Ward level </w:t>
            </w:r>
          </w:p>
          <w:p w:rsidR="003A5A07" w:rsidRPr="00B06331" w:rsidRDefault="003A5A07" w:rsidP="003604CF">
            <w:pPr>
              <w:pStyle w:val="ListParagraph"/>
              <w:numPr>
                <w:ilvl w:val="0"/>
                <w:numId w:val="10"/>
              </w:numPr>
              <w:jc w:val="both"/>
              <w:cnfStyle w:val="000000100000"/>
              <w:rPr>
                <w:rFonts w:ascii="Avenir Book" w:eastAsia="Times New Roman" w:hAnsi="Avenir Book"/>
                <w:color w:val="000000"/>
                <w:sz w:val="18"/>
                <w:szCs w:val="18"/>
              </w:rPr>
            </w:pPr>
            <w:r w:rsidRPr="00B06331">
              <w:rPr>
                <w:rFonts w:ascii="Avenir Book" w:eastAsia="Times New Roman" w:hAnsi="Avenir Book"/>
                <w:color w:val="000000"/>
                <w:sz w:val="18"/>
                <w:szCs w:val="18"/>
                <w:shd w:val="clear" w:color="auto" w:fill="FFFFFF"/>
              </w:rPr>
              <w:t xml:space="preserve">Co-ordinate development initiatives at local level  </w:t>
            </w:r>
          </w:p>
        </w:tc>
      </w:tr>
      <w:tr w:rsidR="003A5A07" w:rsidRPr="00B06331" w:rsidTr="004143E3">
        <w:trPr>
          <w:trHeight w:val="317"/>
        </w:trPr>
        <w:tc>
          <w:tcPr>
            <w:cnfStyle w:val="001000000000"/>
            <w:tcW w:w="2093" w:type="dxa"/>
          </w:tcPr>
          <w:p w:rsidR="003A5A07" w:rsidRPr="00B06331" w:rsidRDefault="003A5A07" w:rsidP="003604CF">
            <w:pPr>
              <w:rPr>
                <w:rFonts w:ascii="Avenir Book" w:hAnsi="Avenir Book"/>
                <w:i/>
                <w:sz w:val="18"/>
                <w:szCs w:val="18"/>
              </w:rPr>
            </w:pPr>
            <w:r w:rsidRPr="00B06331">
              <w:rPr>
                <w:rFonts w:ascii="Avenir Book" w:hAnsi="Avenir Book"/>
                <w:i/>
                <w:sz w:val="18"/>
                <w:szCs w:val="18"/>
              </w:rPr>
              <w:t>Village Development Committee</w:t>
            </w:r>
          </w:p>
        </w:tc>
        <w:tc>
          <w:tcPr>
            <w:tcW w:w="4098" w:type="dxa"/>
          </w:tcPr>
          <w:p w:rsidR="003A5A07" w:rsidRPr="00B06331" w:rsidRDefault="003A5A07" w:rsidP="003604CF">
            <w:pPr>
              <w:cnfStyle w:val="000000000000"/>
              <w:rPr>
                <w:rFonts w:ascii="Avenir Book" w:hAnsi="Avenir Book"/>
                <w:sz w:val="18"/>
                <w:szCs w:val="18"/>
              </w:rPr>
            </w:pPr>
          </w:p>
        </w:tc>
        <w:tc>
          <w:tcPr>
            <w:tcW w:w="4265" w:type="dxa"/>
          </w:tcPr>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 xml:space="preserve">Sensitize and disseminate information at their level </w:t>
            </w:r>
          </w:p>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Co-ordinate development related activities at village level</w:t>
            </w:r>
          </w:p>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 xml:space="preserve">Identifying and prioritizing local development needs in consultation with the community </w:t>
            </w:r>
          </w:p>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shd w:val="clear" w:color="auto" w:fill="FFFFFF"/>
              </w:rPr>
            </w:pPr>
            <w:r w:rsidRPr="00B06331">
              <w:rPr>
                <w:rFonts w:ascii="Avenir Book" w:eastAsia="Times New Roman" w:hAnsi="Avenir Book"/>
                <w:color w:val="000000"/>
                <w:sz w:val="18"/>
                <w:szCs w:val="18"/>
                <w:shd w:val="clear" w:color="auto" w:fill="FFFFFF"/>
              </w:rPr>
              <w:t>Developing appropriate plans for addressing local needs in consultation with the community</w:t>
            </w:r>
          </w:p>
          <w:p w:rsidR="003A5A07" w:rsidRPr="00B06331" w:rsidRDefault="003A5A07" w:rsidP="003715CF">
            <w:pPr>
              <w:pStyle w:val="ListParagraph"/>
              <w:numPr>
                <w:ilvl w:val="0"/>
                <w:numId w:val="10"/>
              </w:numPr>
              <w:jc w:val="both"/>
              <w:cnfStyle w:val="000000000000"/>
              <w:rPr>
                <w:rFonts w:ascii="Avenir Book" w:eastAsia="Times New Roman" w:hAnsi="Avenir Book"/>
                <w:color w:val="000000"/>
                <w:sz w:val="18"/>
                <w:szCs w:val="18"/>
              </w:rPr>
            </w:pPr>
            <w:r w:rsidRPr="00B06331">
              <w:rPr>
                <w:rFonts w:ascii="Avenir Book" w:eastAsia="Times New Roman" w:hAnsi="Avenir Book"/>
                <w:color w:val="000000"/>
                <w:sz w:val="18"/>
                <w:szCs w:val="18"/>
                <w:shd w:val="clear" w:color="auto" w:fill="FFFFFF"/>
              </w:rPr>
              <w:t>Mobilizing community participation in development activities</w:t>
            </w:r>
          </w:p>
        </w:tc>
      </w:tr>
    </w:tbl>
    <w:p w:rsidR="003A5A07" w:rsidRPr="00B06331" w:rsidRDefault="003A5A07" w:rsidP="003A5A07">
      <w:pPr>
        <w:contextualSpacing/>
        <w:rPr>
          <w:rFonts w:ascii="Avenir Book" w:hAnsi="Avenir Book"/>
          <w:sz w:val="24"/>
          <w:szCs w:val="24"/>
        </w:rPr>
      </w:pPr>
    </w:p>
    <w:p w:rsidR="00EB7E8A" w:rsidRPr="00B06331" w:rsidRDefault="00EB7E8A" w:rsidP="003A5A07">
      <w:pPr>
        <w:contextualSpacing/>
        <w:rPr>
          <w:rFonts w:ascii="Avenir Book" w:hAnsi="Avenir Book"/>
          <w:sz w:val="24"/>
          <w:szCs w:val="24"/>
        </w:rPr>
      </w:pPr>
    </w:p>
    <w:p w:rsidR="00EB7E8A" w:rsidRPr="00B06331" w:rsidRDefault="00EB7E8A" w:rsidP="003A5A07">
      <w:pPr>
        <w:contextualSpacing/>
        <w:rPr>
          <w:rFonts w:ascii="Avenir Book" w:hAnsi="Avenir Book"/>
          <w:sz w:val="24"/>
          <w:szCs w:val="24"/>
        </w:rPr>
      </w:pPr>
    </w:p>
    <w:p w:rsidR="00EB7E8A" w:rsidRPr="00B06331" w:rsidRDefault="00EB7E8A" w:rsidP="003A5A07">
      <w:pPr>
        <w:contextualSpacing/>
        <w:rPr>
          <w:rFonts w:ascii="Avenir Book" w:hAnsi="Avenir Book"/>
          <w:sz w:val="24"/>
          <w:szCs w:val="24"/>
        </w:rPr>
      </w:pPr>
    </w:p>
    <w:p w:rsidR="00EB7E8A" w:rsidRPr="00B06331" w:rsidRDefault="00EB7E8A" w:rsidP="003A5A07">
      <w:pPr>
        <w:contextualSpacing/>
        <w:rPr>
          <w:rFonts w:ascii="Avenir Book" w:hAnsi="Avenir Book"/>
          <w:sz w:val="24"/>
          <w:szCs w:val="24"/>
        </w:rPr>
      </w:pPr>
    </w:p>
    <w:p w:rsidR="00EB7E8A" w:rsidRPr="00B06331" w:rsidRDefault="00EB7E8A" w:rsidP="003A5A07">
      <w:pPr>
        <w:contextualSpacing/>
        <w:rPr>
          <w:rFonts w:ascii="Avenir Book" w:hAnsi="Avenir Book"/>
          <w:sz w:val="24"/>
          <w:szCs w:val="24"/>
        </w:rPr>
      </w:pPr>
    </w:p>
    <w:p w:rsidR="003A5A07" w:rsidRPr="00B06331" w:rsidRDefault="003A5A07" w:rsidP="000354FE">
      <w:pPr>
        <w:pStyle w:val="Heading3"/>
        <w:numPr>
          <w:ilvl w:val="2"/>
          <w:numId w:val="223"/>
        </w:numPr>
        <w:rPr>
          <w:rFonts w:ascii="Calibri" w:hAnsi="Calibri"/>
          <w:b/>
          <w:sz w:val="22"/>
          <w:szCs w:val="22"/>
        </w:rPr>
      </w:pPr>
      <w:bookmarkStart w:id="179" w:name="_Toc488689361"/>
      <w:bookmarkStart w:id="180" w:name="_Toc492364804"/>
      <w:r w:rsidRPr="00B06331">
        <w:rPr>
          <w:rFonts w:ascii="Calibri" w:hAnsi="Calibri"/>
          <w:b/>
          <w:sz w:val="22"/>
          <w:szCs w:val="22"/>
        </w:rPr>
        <w:t>Implementation Strategy</w:t>
      </w:r>
      <w:bookmarkEnd w:id="179"/>
      <w:bookmarkEnd w:id="180"/>
    </w:p>
    <w:p w:rsidR="003A5A07" w:rsidRPr="00B06331" w:rsidRDefault="003A5A07" w:rsidP="003A5A07">
      <w:pPr>
        <w:contextualSpacing/>
        <w:jc w:val="both"/>
        <w:rPr>
          <w:rFonts w:ascii="Avenir Book" w:hAnsi="Avenir Book"/>
        </w:rPr>
      </w:pPr>
      <w:bookmarkStart w:id="181" w:name="_Hlk488670871"/>
    </w:p>
    <w:p w:rsidR="003A5A07" w:rsidRPr="00B06331" w:rsidRDefault="00A16976" w:rsidP="000354FE">
      <w:pPr>
        <w:contextualSpacing/>
        <w:jc w:val="both"/>
        <w:rPr>
          <w:rFonts w:ascii="Avenir Book" w:hAnsi="Avenir Book"/>
        </w:rPr>
      </w:pPr>
      <w:r w:rsidRPr="00B06331">
        <w:rPr>
          <w:rFonts w:ascii="Avenir Book" w:hAnsi="Avenir Book"/>
        </w:rPr>
        <w:t>Several</w:t>
      </w:r>
      <w:r w:rsidR="003A5A07" w:rsidRPr="00B06331">
        <w:rPr>
          <w:rFonts w:ascii="Avenir Book" w:hAnsi="Avenir Book"/>
        </w:rPr>
        <w:t xml:space="preserve"> interconnected strategies shall drive implementation of the NDP, namely</w:t>
      </w:r>
      <w:r w:rsidRPr="00B06331">
        <w:rPr>
          <w:rFonts w:ascii="Avenir Book" w:hAnsi="Avenir Book"/>
        </w:rPr>
        <w:t>:</w:t>
      </w:r>
      <w:r w:rsidR="000354FE" w:rsidRPr="00B06331">
        <w:rPr>
          <w:rFonts w:ascii="Avenir Book" w:hAnsi="Avenir Book"/>
        </w:rPr>
        <w:t xml:space="preserve"> p</w:t>
      </w:r>
      <w:r w:rsidRPr="00B06331">
        <w:rPr>
          <w:rFonts w:ascii="Avenir Book" w:hAnsi="Avenir Book"/>
        </w:rPr>
        <w:t xml:space="preserve">rioritization and </w:t>
      </w:r>
      <w:r w:rsidR="003A5A07" w:rsidRPr="00B06331">
        <w:rPr>
          <w:rFonts w:ascii="Avenir Book" w:hAnsi="Avenir Book"/>
        </w:rPr>
        <w:t>sequ</w:t>
      </w:r>
      <w:r w:rsidRPr="00B06331">
        <w:rPr>
          <w:rFonts w:ascii="Avenir Book" w:hAnsi="Avenir Book"/>
        </w:rPr>
        <w:t>encing of actions;</w:t>
      </w:r>
      <w:r w:rsidR="000354FE" w:rsidRPr="00B06331">
        <w:rPr>
          <w:rFonts w:ascii="Avenir Book" w:hAnsi="Avenir Book"/>
        </w:rPr>
        <w:t xml:space="preserve"> a</w:t>
      </w:r>
      <w:r w:rsidRPr="00B06331">
        <w:rPr>
          <w:rFonts w:ascii="Avenir Book" w:hAnsi="Avenir Book"/>
        </w:rPr>
        <w:t>ddressing regional disparities in access to basic services and strengthening integrated urban planning;</w:t>
      </w:r>
      <w:r w:rsidR="000354FE" w:rsidRPr="00B06331">
        <w:rPr>
          <w:rFonts w:ascii="Avenir Book" w:hAnsi="Avenir Book"/>
        </w:rPr>
        <w:t xml:space="preserve"> r</w:t>
      </w:r>
      <w:r w:rsidR="003A5A07" w:rsidRPr="00B06331">
        <w:rPr>
          <w:rFonts w:ascii="Avenir Book" w:hAnsi="Avenir Book"/>
        </w:rPr>
        <w:t>ealignment of sector strategies and action plans to the overall orientation of the NDP</w:t>
      </w:r>
      <w:r w:rsidRPr="00B06331">
        <w:rPr>
          <w:rFonts w:ascii="Avenir Book" w:hAnsi="Avenir Book"/>
        </w:rPr>
        <w:t>;</w:t>
      </w:r>
      <w:r w:rsidR="000354FE" w:rsidRPr="00B06331">
        <w:rPr>
          <w:rFonts w:ascii="Avenir Book" w:hAnsi="Avenir Book"/>
        </w:rPr>
        <w:t xml:space="preserve"> r</w:t>
      </w:r>
      <w:r w:rsidR="00F04BC0" w:rsidRPr="00B06331">
        <w:rPr>
          <w:rFonts w:ascii="Avenir Book" w:hAnsi="Avenir Book"/>
        </w:rPr>
        <w:t>egional integration</w:t>
      </w:r>
      <w:r w:rsidRPr="00B06331">
        <w:rPr>
          <w:rFonts w:ascii="Avenir Book" w:hAnsi="Avenir Book"/>
        </w:rPr>
        <w:t xml:space="preserve"> and cross-border cooperation; and</w:t>
      </w:r>
      <w:r w:rsidR="000354FE" w:rsidRPr="00B06331">
        <w:rPr>
          <w:rFonts w:ascii="Avenir Book" w:hAnsi="Avenir Book"/>
        </w:rPr>
        <w:t xml:space="preserve"> c</w:t>
      </w:r>
      <w:r w:rsidRPr="00B06331">
        <w:rPr>
          <w:rFonts w:ascii="Avenir Book" w:hAnsi="Avenir Book"/>
        </w:rPr>
        <w:t>apacity development</w:t>
      </w:r>
      <w:r w:rsidR="003A5A07" w:rsidRPr="00B06331">
        <w:rPr>
          <w:rFonts w:ascii="Avenir Book" w:hAnsi="Avenir Book"/>
        </w:rPr>
        <w:t>.</w:t>
      </w:r>
    </w:p>
    <w:bookmarkEnd w:id="181"/>
    <w:p w:rsidR="000354FE" w:rsidRPr="00B06331" w:rsidRDefault="000354FE" w:rsidP="003A5A07">
      <w:pPr>
        <w:rPr>
          <w:b/>
        </w:rPr>
      </w:pPr>
    </w:p>
    <w:p w:rsidR="003A5A07" w:rsidRPr="00B06331" w:rsidRDefault="003A5A07" w:rsidP="003A5A07">
      <w:pPr>
        <w:rPr>
          <w:b/>
        </w:rPr>
      </w:pPr>
      <w:r w:rsidRPr="00B06331">
        <w:rPr>
          <w:b/>
        </w:rPr>
        <w:t>Prioritization and Sequencing</w:t>
      </w:r>
      <w:r w:rsidR="008F002A" w:rsidRPr="00B06331">
        <w:rPr>
          <w:b/>
        </w:rPr>
        <w:t xml:space="preserve"> of</w:t>
      </w:r>
      <w:r w:rsidRPr="00B06331">
        <w:rPr>
          <w:b/>
        </w:rPr>
        <w:t xml:space="preserve"> Actions</w:t>
      </w:r>
    </w:p>
    <w:p w:rsidR="003A5A07" w:rsidRPr="00B06331" w:rsidRDefault="00F04BC0" w:rsidP="003A5A07">
      <w:pPr>
        <w:contextualSpacing/>
        <w:jc w:val="both"/>
        <w:rPr>
          <w:rFonts w:ascii="Avenir Book" w:hAnsi="Avenir Book"/>
        </w:rPr>
      </w:pPr>
      <w:r w:rsidRPr="00B06331">
        <w:rPr>
          <w:rFonts w:ascii="Avenir Book" w:hAnsi="Avenir Book"/>
        </w:rPr>
        <w:t xml:space="preserve">The country is facing </w:t>
      </w:r>
      <w:r w:rsidR="003A5A07" w:rsidRPr="00B06331">
        <w:rPr>
          <w:rFonts w:ascii="Avenir Book" w:hAnsi="Avenir Book"/>
        </w:rPr>
        <w:t>many needs and there are huge expectations from the population because of the change that has happened. However, limited resources and capacities impose a need for strict prioritization of actions. Moreover, given the dire state of government finances the national budget does not have enough fiscal space to fund a</w:t>
      </w:r>
      <w:r w:rsidR="006C6E23" w:rsidRPr="00B06331">
        <w:rPr>
          <w:rFonts w:ascii="Avenir Book" w:hAnsi="Avenir Book"/>
        </w:rPr>
        <w:t xml:space="preserve">n ambitious development agenda. </w:t>
      </w:r>
      <w:r w:rsidR="003A5A07" w:rsidRPr="00B06331">
        <w:rPr>
          <w:rFonts w:ascii="Avenir Book" w:hAnsi="Avenir Book"/>
        </w:rPr>
        <w:t>Plan implementation will therefore be sequenced based on selection of those priorities which are most urgent and which will provide momentum and have immediate impact on the wellbeing of citizens.</w:t>
      </w:r>
    </w:p>
    <w:p w:rsidR="003A5A07" w:rsidRPr="00B06331" w:rsidRDefault="003A5A07" w:rsidP="003A5A07">
      <w:pPr>
        <w:contextualSpacing/>
        <w:jc w:val="both"/>
        <w:rPr>
          <w:rFonts w:ascii="Avenir Book" w:hAnsi="Avenir Book"/>
        </w:rPr>
      </w:pPr>
    </w:p>
    <w:p w:rsidR="003A5A07" w:rsidRPr="00B06331" w:rsidRDefault="003A5A07" w:rsidP="003A5A07">
      <w:pPr>
        <w:contextualSpacing/>
        <w:jc w:val="both"/>
        <w:rPr>
          <w:rFonts w:ascii="Avenir Book" w:hAnsi="Avenir Book"/>
        </w:rPr>
      </w:pPr>
      <w:r w:rsidRPr="00B06331">
        <w:rPr>
          <w:rFonts w:ascii="Avenir Book" w:hAnsi="Avenir Book"/>
        </w:rPr>
        <w:t xml:space="preserve">Government will therefore give priority to the following during the first </w:t>
      </w:r>
      <w:r w:rsidR="00F04BC0" w:rsidRPr="00B06331">
        <w:rPr>
          <w:rFonts w:ascii="Avenir Book" w:hAnsi="Avenir Book"/>
        </w:rPr>
        <w:t xml:space="preserve">two </w:t>
      </w:r>
      <w:r w:rsidRPr="00B06331">
        <w:rPr>
          <w:rFonts w:ascii="Avenir Book" w:hAnsi="Avenir Book"/>
        </w:rPr>
        <w:t>year</w:t>
      </w:r>
      <w:r w:rsidR="006C6E23" w:rsidRPr="00B06331">
        <w:rPr>
          <w:rFonts w:ascii="Avenir Book" w:hAnsi="Avenir Book"/>
        </w:rPr>
        <w:t>s</w:t>
      </w:r>
      <w:r w:rsidRPr="00B06331">
        <w:rPr>
          <w:rFonts w:ascii="Avenir Book" w:hAnsi="Avenir Book"/>
        </w:rPr>
        <w:t xml:space="preserve"> of </w:t>
      </w:r>
      <w:r w:rsidR="006C6E23" w:rsidRPr="00B06331">
        <w:rPr>
          <w:rFonts w:ascii="Avenir Book" w:hAnsi="Avenir Book"/>
        </w:rPr>
        <w:t xml:space="preserve">the </w:t>
      </w:r>
      <w:r w:rsidRPr="00B06331">
        <w:rPr>
          <w:rFonts w:ascii="Avenir Book" w:hAnsi="Avenir Book"/>
        </w:rPr>
        <w:t>plan period:</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 xml:space="preserve">Governance reform which will be underpinned by constitutional, judicial and legal reforms, and Transitional justice </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Security sector reforms and creating a security apparatus fully subordinate to civilian authority, respectful of human rights and attuned to international standards and conventions;</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 xml:space="preserve">Macroeconomic reforms to stabilize the macroeconomic situation to spur growth, </w:t>
      </w:r>
      <w:r w:rsidR="00F04BC0" w:rsidRPr="00B06331">
        <w:rPr>
          <w:rFonts w:ascii="Avenir Book" w:hAnsi="Avenir Book"/>
        </w:rPr>
        <w:t>employment,</w:t>
      </w:r>
      <w:r w:rsidRPr="00B06331">
        <w:rPr>
          <w:rFonts w:ascii="Avenir Book" w:hAnsi="Avenir Book"/>
        </w:rPr>
        <w:t xml:space="preserve"> and economic revitalization;</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 xml:space="preserve">An agriculture-led rural transformation agenda that will address rural poverty, inequitable access to services. </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Addressing the acute crisis related to energy which is not only undermining the wellbeing of Gambians but whose lack is a serious fetter to economic revitalization;</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 xml:space="preserve">Tackling the crisis in youth employment to stem the flow of illegal migration and provide hope to the country’s young people; </w:t>
      </w:r>
    </w:p>
    <w:p w:rsidR="003A5A07" w:rsidRPr="00B06331" w:rsidRDefault="003A5A07" w:rsidP="003715CF">
      <w:pPr>
        <w:pStyle w:val="ListParagraph"/>
        <w:numPr>
          <w:ilvl w:val="0"/>
          <w:numId w:val="1"/>
        </w:numPr>
        <w:jc w:val="both"/>
        <w:rPr>
          <w:rFonts w:ascii="Avenir Book" w:hAnsi="Avenir Book"/>
        </w:rPr>
      </w:pPr>
      <w:r w:rsidRPr="00B06331">
        <w:rPr>
          <w:rFonts w:ascii="Avenir Book" w:hAnsi="Avenir Book"/>
        </w:rPr>
        <w:t xml:space="preserve">Addressing priorities </w:t>
      </w:r>
      <w:r w:rsidR="00AA27A5" w:rsidRPr="00B06331">
        <w:rPr>
          <w:rFonts w:ascii="Avenir Book" w:hAnsi="Avenir Book"/>
        </w:rPr>
        <w:t>related to health and education sectors.</w:t>
      </w:r>
    </w:p>
    <w:p w:rsidR="00732353" w:rsidRPr="00B06331" w:rsidRDefault="00732353" w:rsidP="00732353">
      <w:pPr>
        <w:jc w:val="both"/>
        <w:rPr>
          <w:rFonts w:ascii="Avenir Book" w:hAnsi="Avenir Book"/>
        </w:rPr>
      </w:pPr>
      <w:r w:rsidRPr="00B06331">
        <w:rPr>
          <w:rFonts w:ascii="Avenir Book" w:hAnsi="Avenir Book"/>
        </w:rPr>
        <w:t>Following adoption of the NDP, Government will develop a more detailed implementation and operation plan based on the principle of further prioritization and sequencing of actions.</w:t>
      </w:r>
    </w:p>
    <w:p w:rsidR="006C7374" w:rsidRPr="00B06331" w:rsidRDefault="006C7374" w:rsidP="00732353">
      <w:pPr>
        <w:jc w:val="both"/>
        <w:rPr>
          <w:rFonts w:ascii="Avenir Book" w:hAnsi="Avenir Book"/>
          <w:b/>
        </w:rPr>
      </w:pPr>
      <w:r w:rsidRPr="00B06331">
        <w:rPr>
          <w:rFonts w:ascii="Avenir Book" w:hAnsi="Avenir Book"/>
          <w:b/>
        </w:rPr>
        <w:t>Addressing regional disparities in access to basic services</w:t>
      </w:r>
      <w:r w:rsidR="00AA27A5" w:rsidRPr="00B06331">
        <w:rPr>
          <w:rFonts w:ascii="Avenir Book" w:hAnsi="Avenir Book"/>
          <w:b/>
        </w:rPr>
        <w:t xml:space="preserve"> and strengthening urban planning</w:t>
      </w:r>
    </w:p>
    <w:p w:rsidR="003A5A07" w:rsidRPr="00B06331" w:rsidRDefault="003A5A07" w:rsidP="00031906">
      <w:pPr>
        <w:contextualSpacing/>
        <w:jc w:val="both"/>
        <w:rPr>
          <w:rFonts w:ascii="Avenir Book" w:hAnsi="Avenir Book"/>
        </w:rPr>
      </w:pPr>
      <w:r w:rsidRPr="00B06331">
        <w:rPr>
          <w:rFonts w:ascii="Avenir Book" w:hAnsi="Avenir Book"/>
        </w:rPr>
        <w:t>The situational analysis pres</w:t>
      </w:r>
      <w:r w:rsidR="000354FE" w:rsidRPr="00B06331">
        <w:rPr>
          <w:rFonts w:ascii="Avenir Book" w:hAnsi="Avenir Book"/>
        </w:rPr>
        <w:t>ented in Part I demonstrate</w:t>
      </w:r>
      <w:r w:rsidRPr="00B06331">
        <w:rPr>
          <w:rFonts w:ascii="Avenir Book" w:hAnsi="Avenir Book"/>
        </w:rPr>
        <w:t xml:space="preserve"> the wide gaps in socio-economic indicators between urban and rural Gambia, as well as between its various regions. It is therefore necessary to tailor development interventions to address these differences and more adequately cater for needs of communities. Government will therefore adopt a regionalized approach to development with the </w:t>
      </w:r>
      <w:r w:rsidRPr="00B06331">
        <w:rPr>
          <w:rFonts w:ascii="Avenir Book" w:hAnsi="Avenir Book"/>
        </w:rPr>
        <w:lastRenderedPageBreak/>
        <w:t>principal aim of closing the gap between rural and urban Gambia and between the respective regions, especially between the western and eastern halves of the country. A regionalized approach is all the more important given the fact that a deliberate political strategy of the previous regime was to deny certain parts of the country development outcomes due to their perceived disloyalty.</w:t>
      </w:r>
    </w:p>
    <w:p w:rsidR="00AA27A5" w:rsidRPr="00B06331" w:rsidRDefault="00AA27A5" w:rsidP="00031906">
      <w:pPr>
        <w:contextualSpacing/>
        <w:jc w:val="both"/>
        <w:rPr>
          <w:rFonts w:ascii="Avenir Book" w:hAnsi="Avenir Book"/>
        </w:rPr>
      </w:pPr>
    </w:p>
    <w:p w:rsidR="00AA27A5" w:rsidRPr="00B06331" w:rsidRDefault="00AA27A5" w:rsidP="00031906">
      <w:pPr>
        <w:contextualSpacing/>
        <w:jc w:val="both"/>
        <w:rPr>
          <w:rFonts w:ascii="Avenir Book" w:hAnsi="Avenir Book"/>
        </w:rPr>
      </w:pPr>
      <w:r w:rsidRPr="00B06331">
        <w:rPr>
          <w:rFonts w:ascii="Avenir Book" w:hAnsi="Avenir Book"/>
        </w:rPr>
        <w:t xml:space="preserve">Government’s main strategy will be to revitalize regional development planning which will be used as the main instrument for promoting local development and addressing deepening rural poverty. As part of this process/initiative, government will endeavor to develop rural towns as growth poles with forward and backward linkages to agriculture. Private sector development, light manufacturing and value addition activities will be promoted with the appropriate incentives through tax breaks. The capacities of the LGAs for spatial planning, programme design and management, as well as finance and administration will be significantly strengthened. The needed public infrastructure – roads, electricity – will be enhanced. </w:t>
      </w:r>
    </w:p>
    <w:p w:rsidR="00AA27A5" w:rsidRPr="00B06331" w:rsidRDefault="00AA27A5" w:rsidP="00031906">
      <w:pPr>
        <w:contextualSpacing/>
        <w:jc w:val="both"/>
        <w:rPr>
          <w:rFonts w:ascii="Avenir Book" w:hAnsi="Avenir Book"/>
        </w:rPr>
      </w:pPr>
    </w:p>
    <w:p w:rsidR="00AA27A5" w:rsidRPr="00B06331" w:rsidRDefault="00AA27A5" w:rsidP="00031906">
      <w:pPr>
        <w:contextualSpacing/>
        <w:jc w:val="both"/>
        <w:rPr>
          <w:rFonts w:ascii="Avenir Book" w:hAnsi="Avenir Book"/>
        </w:rPr>
      </w:pPr>
      <w:r w:rsidRPr="00B06331">
        <w:rPr>
          <w:rFonts w:ascii="Avenir Book" w:hAnsi="Avenir Book"/>
        </w:rPr>
        <w:t>At central government level, the functions of the Ministry of Lo</w:t>
      </w:r>
      <w:r w:rsidR="000354FE" w:rsidRPr="00B06331">
        <w:rPr>
          <w:rFonts w:ascii="Avenir Book" w:hAnsi="Avenir Book"/>
        </w:rPr>
        <w:t>cal Government will be</w:t>
      </w:r>
      <w:r w:rsidRPr="00B06331">
        <w:rPr>
          <w:rFonts w:ascii="Avenir Book" w:hAnsi="Avenir Book"/>
        </w:rPr>
        <w:t xml:space="preserve"> reviewed and reoriented to support the regional development approach. Government will launch a vigorous effort to decentralize services to close the poverty gap between rural and urban Gambia. At the sector level, plans will henceforth also factor regional specific issues and differences. Consequently, development of all sector plans will henceforth be required to undertake situational analysis using a regional lens.</w:t>
      </w:r>
    </w:p>
    <w:p w:rsidR="00AA27A5" w:rsidRPr="00B06331" w:rsidRDefault="00AA27A5" w:rsidP="00031906">
      <w:pPr>
        <w:contextualSpacing/>
        <w:jc w:val="both"/>
        <w:rPr>
          <w:rFonts w:ascii="Avenir Book" w:hAnsi="Avenir Book"/>
        </w:rPr>
      </w:pPr>
    </w:p>
    <w:p w:rsidR="00031906" w:rsidRPr="00B06331" w:rsidRDefault="00AA27A5" w:rsidP="00031906">
      <w:pPr>
        <w:jc w:val="both"/>
        <w:rPr>
          <w:rFonts w:ascii="Avenir Book" w:hAnsi="Avenir Book"/>
        </w:rPr>
      </w:pPr>
      <w:r w:rsidRPr="00B06331">
        <w:rPr>
          <w:rFonts w:ascii="Avenir Book" w:hAnsi="Avenir Book"/>
        </w:rPr>
        <w:t xml:space="preserve">Government will </w:t>
      </w:r>
      <w:r w:rsidR="00802358" w:rsidRPr="00B06331">
        <w:rPr>
          <w:rFonts w:ascii="Avenir Book" w:hAnsi="Avenir Book"/>
        </w:rPr>
        <w:t>initiate</w:t>
      </w:r>
      <w:r w:rsidRPr="00B06331">
        <w:rPr>
          <w:rFonts w:ascii="Avenir Book" w:hAnsi="Avenir Book"/>
        </w:rPr>
        <w:t xml:space="preserve"> a new agenda on integrated urban planning and development to address rapid urbanization, fragmentation in service delivery and lack thereof and ensure that urbanization is an asset for economic transformation. With over 50% of her population located in urban centers, The Gambia is rapidly becoming a highly urbanized society but with still a significant population living in rural areas. It would be necessary for the government to adopt innovative approaches to urban and rural development.  An integrated urban planning and development strategy will be developed and implemented with new institutional arrangements and strengthened capabilities to bring together transport and infrastructure, services, environment and waste management and markets for a more comprehensive approach.</w:t>
      </w:r>
    </w:p>
    <w:p w:rsidR="003A5A07" w:rsidRPr="00B06331" w:rsidRDefault="003A5A07" w:rsidP="003A5A07">
      <w:pPr>
        <w:rPr>
          <w:b/>
        </w:rPr>
      </w:pPr>
      <w:r w:rsidRPr="00B06331">
        <w:rPr>
          <w:b/>
        </w:rPr>
        <w:t>Alignment of Sector Plans with the NDP</w:t>
      </w:r>
    </w:p>
    <w:p w:rsidR="003A5A07" w:rsidRPr="00B06331" w:rsidRDefault="003A5A07" w:rsidP="003A5A07">
      <w:pPr>
        <w:contextualSpacing/>
        <w:jc w:val="both"/>
        <w:rPr>
          <w:rFonts w:ascii="Avenir Book" w:hAnsi="Avenir Book"/>
        </w:rPr>
      </w:pPr>
      <w:r w:rsidRPr="00B06331">
        <w:rPr>
          <w:rFonts w:ascii="Avenir Book" w:hAnsi="Avenir Book"/>
        </w:rPr>
        <w:t>A challenge current faced is the multiplicity, lack of coherence and fragmentation in the policy landscape related to development issues. Furthermore, Government will seek to strengthen the links between the NDP and the various sector plans through ensuring a tighter alignment between existing or new sector plans with the NDP, in terms of both substance and orientation and the planning cycle. This will reduce variance between what the NDP aims to achieve and the programmes being implemented at sector level, and thus ensure greater coherence of government action, and more robust and effective plan implementation.</w:t>
      </w:r>
    </w:p>
    <w:p w:rsidR="003A5A07" w:rsidRPr="00B06331" w:rsidRDefault="003A5A07" w:rsidP="003A5A07">
      <w:pPr>
        <w:contextualSpacing/>
        <w:jc w:val="both"/>
        <w:rPr>
          <w:rFonts w:ascii="Avenir Book" w:hAnsi="Avenir Book"/>
        </w:rPr>
      </w:pPr>
    </w:p>
    <w:p w:rsidR="003A5A07" w:rsidRPr="00B06331" w:rsidRDefault="003A5A07" w:rsidP="003A5A07">
      <w:pPr>
        <w:rPr>
          <w:b/>
        </w:rPr>
      </w:pPr>
      <w:r w:rsidRPr="00B06331">
        <w:rPr>
          <w:b/>
        </w:rPr>
        <w:t>Regional Integration &amp; Cross</w:t>
      </w:r>
      <w:r w:rsidR="00AA27A5" w:rsidRPr="00B06331">
        <w:rPr>
          <w:b/>
        </w:rPr>
        <w:t xml:space="preserve"> Border Cooperation </w:t>
      </w:r>
    </w:p>
    <w:p w:rsidR="00F04BC0" w:rsidRPr="00B06331" w:rsidRDefault="00F04BC0" w:rsidP="00F04BC0">
      <w:pPr>
        <w:jc w:val="both"/>
      </w:pPr>
      <w:r w:rsidRPr="00B06331">
        <w:lastRenderedPageBreak/>
        <w:t>By virtue of her geography and history, the Gambia is socially, culturally and economically closely tied to the West African region, particularly Senegal, but also countries such as Guinea (Conakry and Bissau), Mali and other countries in the Sahel and beyond. Because of this and the small size of the country, regional integration and developing good neighbor relations is key to the Gambia’s prosperity and stability. This factor is strongly recognized by the new government and is expressed in the vision outlined in chapter 1 of this document.</w:t>
      </w:r>
    </w:p>
    <w:p w:rsidR="00F04BC0" w:rsidRPr="00B06331" w:rsidRDefault="00C245B1" w:rsidP="00F04BC0">
      <w:pPr>
        <w:jc w:val="both"/>
      </w:pPr>
      <w:r w:rsidRPr="00B06331">
        <w:t>Pragmatic measures will therefore be taken by the new government to promote cooperation with surrounding countries, particularly bearing in mind relations with Senegal. Already there are key areas of collaboration in the areas of transport and energy which are briefly highlighted below. There is scope for considerable expansion into other domains and with other countries.</w:t>
      </w:r>
    </w:p>
    <w:p w:rsidR="003A5A07" w:rsidRPr="00B06331" w:rsidRDefault="003A5A07" w:rsidP="004143E3">
      <w:pPr>
        <w:pStyle w:val="ListParagraph"/>
        <w:numPr>
          <w:ilvl w:val="0"/>
          <w:numId w:val="76"/>
        </w:numPr>
        <w:spacing w:after="0" w:line="240" w:lineRule="auto"/>
        <w:jc w:val="both"/>
        <w:rPr>
          <w:rFonts w:cs="Calibri"/>
          <w:u w:val="single"/>
        </w:rPr>
      </w:pPr>
      <w:r w:rsidRPr="00B06331">
        <w:rPr>
          <w:rFonts w:cs="Calibri"/>
          <w:u w:val="single"/>
        </w:rPr>
        <w:t xml:space="preserve">Transport and Trade </w:t>
      </w:r>
    </w:p>
    <w:p w:rsidR="00C245B1" w:rsidRPr="00B06331" w:rsidRDefault="00C245B1" w:rsidP="003A5A07">
      <w:pPr>
        <w:spacing w:after="0" w:line="240" w:lineRule="auto"/>
        <w:jc w:val="both"/>
        <w:rPr>
          <w:rFonts w:cs="Calibri"/>
        </w:rPr>
      </w:pPr>
    </w:p>
    <w:p w:rsidR="003A5A07" w:rsidRPr="00B06331" w:rsidRDefault="003A5A07" w:rsidP="003A5A07">
      <w:pPr>
        <w:spacing w:after="0" w:line="240" w:lineRule="auto"/>
        <w:jc w:val="both"/>
        <w:rPr>
          <w:rFonts w:cs="Calibri"/>
        </w:rPr>
      </w:pPr>
      <w:r w:rsidRPr="00B06331">
        <w:rPr>
          <w:rFonts w:cs="Calibri"/>
        </w:rPr>
        <w:t>While integration within the region is key for the country’s development, the physical and cultural linkages between The Gambia and Senegal makes their bilateral relationships and a well-functioning trade and transport sector especially important for the future of both countries. In this context, amongst key features are both trade and transport North-South (said “trans-Gambian”) and East-West (Southern bank) corridors.</w:t>
      </w:r>
    </w:p>
    <w:p w:rsidR="003A5A07" w:rsidRPr="00B06331" w:rsidRDefault="003A5A07" w:rsidP="003A5A07">
      <w:pPr>
        <w:contextualSpacing/>
        <w:jc w:val="both"/>
        <w:rPr>
          <w:rFonts w:ascii="Avenir Book" w:hAnsi="Avenir Book"/>
        </w:rPr>
      </w:pPr>
    </w:p>
    <w:p w:rsidR="00C245B1" w:rsidRPr="00B06331" w:rsidRDefault="003A5A07" w:rsidP="003A5A07">
      <w:pPr>
        <w:spacing w:after="0" w:line="240" w:lineRule="auto"/>
        <w:jc w:val="both"/>
        <w:rPr>
          <w:rFonts w:cs="Calibri"/>
        </w:rPr>
      </w:pPr>
      <w:r w:rsidRPr="00B06331">
        <w:rPr>
          <w:rFonts w:cs="Calibri"/>
        </w:rPr>
        <w:t>The normalization of the relationship between The Gambia and Sene</w:t>
      </w:r>
      <w:r w:rsidR="00C245B1" w:rsidRPr="00B06331">
        <w:rPr>
          <w:rFonts w:cs="Calibri"/>
        </w:rPr>
        <w:t>gal constitutes a</w:t>
      </w:r>
      <w:r w:rsidRPr="00B06331">
        <w:rPr>
          <w:rFonts w:cs="Calibri"/>
        </w:rPr>
        <w:t xml:space="preserve"> positive opportunity for both countries. For North-South flows, with the construction of the trans-Gambian bridge near Farafenni(completion expected in 2019/2020), the “trans-Gambian” highway is expected to constitute a major corridor of trade and transport in the region. To be fully operational and a success, however, management of the borders between The Gambia and Senegal will need to be substantially improved with, as the case may be, a full application of the TRIE(Inter-State Road Transit scheme). Moreover, the infrastructure of the +/-25 km access roads will need to be upgraded to handle the expected increased traffic of heavy trucks, as well as management of the maintenance and control of truck weights. APPP approach tooperating the whole corridor could potentially be envisaged for the West-East flows. </w:t>
      </w:r>
    </w:p>
    <w:p w:rsidR="00C245B1" w:rsidRPr="00B06331" w:rsidRDefault="00C245B1" w:rsidP="003A5A07">
      <w:pPr>
        <w:spacing w:after="0" w:line="240" w:lineRule="auto"/>
        <w:jc w:val="both"/>
        <w:rPr>
          <w:rFonts w:cs="Calibri"/>
        </w:rPr>
      </w:pPr>
    </w:p>
    <w:p w:rsidR="003A5A07" w:rsidRPr="00B06331" w:rsidRDefault="003A5A07" w:rsidP="00C245B1">
      <w:pPr>
        <w:spacing w:after="0" w:line="240" w:lineRule="auto"/>
        <w:jc w:val="both"/>
        <w:rPr>
          <w:rFonts w:cs="Calibri"/>
        </w:rPr>
      </w:pPr>
      <w:r w:rsidRPr="00B06331">
        <w:rPr>
          <w:rFonts w:cs="Calibri"/>
        </w:rPr>
        <w:t>The infrastructure of the South Bank highway crossing the country from the Port of Banjul to the Senegalese border on the East is in relatively good condition, the operation of the corridor could be improved by reducing the number of controls within Gambia and a full application of the TRIE (Inter-State Road Transit scheme) by the Senegalese counterparts for goods transiting in Senegal to other countries (Guinea, Mali, Guinea Conakry). In the absence of the full application of the ECOWAS regulation on international transport in the region, a bilateral agreement involving both corridors could be reached to</w:t>
      </w:r>
      <w:r w:rsidR="00C245B1" w:rsidRPr="00B06331">
        <w:rPr>
          <w:rFonts w:cs="Calibri"/>
        </w:rPr>
        <w:t xml:space="preserve"> the benefit of both countries.</w:t>
      </w:r>
    </w:p>
    <w:p w:rsidR="00732353" w:rsidRPr="00B06331" w:rsidRDefault="00732353" w:rsidP="00C245B1">
      <w:pPr>
        <w:spacing w:after="0" w:line="240" w:lineRule="auto"/>
        <w:jc w:val="both"/>
        <w:rPr>
          <w:rFonts w:cs="Calibri"/>
        </w:rPr>
      </w:pPr>
    </w:p>
    <w:p w:rsidR="003A5A07" w:rsidRPr="00B06331" w:rsidRDefault="003A5A07" w:rsidP="004143E3">
      <w:pPr>
        <w:pStyle w:val="ListParagraph"/>
        <w:numPr>
          <w:ilvl w:val="0"/>
          <w:numId w:val="76"/>
        </w:numPr>
        <w:jc w:val="both"/>
        <w:rPr>
          <w:rFonts w:ascii="Avenir Book" w:hAnsi="Avenir Book"/>
          <w:u w:val="single"/>
        </w:rPr>
      </w:pPr>
      <w:r w:rsidRPr="00B06331">
        <w:rPr>
          <w:rFonts w:ascii="Avenir Book" w:hAnsi="Avenir Book"/>
          <w:u w:val="single"/>
        </w:rPr>
        <w:t>Energy</w:t>
      </w:r>
    </w:p>
    <w:p w:rsidR="004143E3" w:rsidRPr="00B06331" w:rsidRDefault="00C245B1" w:rsidP="00C245B1">
      <w:pPr>
        <w:jc w:val="both"/>
        <w:rPr>
          <w:rFonts w:ascii="Avenir Book" w:hAnsi="Avenir Book"/>
        </w:rPr>
      </w:pPr>
      <w:r w:rsidRPr="00B06331">
        <w:rPr>
          <w:rFonts w:ascii="Avenir Book" w:hAnsi="Avenir Book"/>
        </w:rPr>
        <w:t>The Gambia is currently experiencing a severe electricity crisis and among the measures that have been identified and acted upon is agreement between NAWEC and SENELEC to enable the latter to purchase power from Senegal to address acute power shortage. Furthermore, the country stands to benefit tremendously from the cheap and clean source of power from the OMVG when the plants at Samba Gallo and Kalet</w:t>
      </w:r>
      <w:r w:rsidR="004143E3" w:rsidRPr="00B06331">
        <w:rPr>
          <w:rFonts w:ascii="Avenir Book" w:hAnsi="Avenir Book"/>
        </w:rPr>
        <w:t>a come on-stream in the next few years</w:t>
      </w:r>
      <w:r w:rsidRPr="00B06331">
        <w:rPr>
          <w:rFonts w:ascii="Avenir Book" w:hAnsi="Avenir Book"/>
        </w:rPr>
        <w:t>.</w:t>
      </w:r>
    </w:p>
    <w:p w:rsidR="000354FE" w:rsidRPr="00B06331" w:rsidRDefault="000354FE" w:rsidP="00C245B1">
      <w:pPr>
        <w:jc w:val="both"/>
        <w:rPr>
          <w:rFonts w:ascii="Avenir Book" w:hAnsi="Avenir Book"/>
        </w:rPr>
      </w:pPr>
    </w:p>
    <w:p w:rsidR="00C245B1" w:rsidRPr="00B06331" w:rsidRDefault="00C245B1" w:rsidP="004143E3">
      <w:pPr>
        <w:pStyle w:val="ListParagraph"/>
        <w:numPr>
          <w:ilvl w:val="0"/>
          <w:numId w:val="76"/>
        </w:numPr>
        <w:jc w:val="both"/>
        <w:rPr>
          <w:rFonts w:ascii="Avenir Book" w:hAnsi="Avenir Book"/>
          <w:u w:val="single"/>
        </w:rPr>
      </w:pPr>
      <w:r w:rsidRPr="00B06331">
        <w:rPr>
          <w:rFonts w:ascii="Avenir Book" w:hAnsi="Avenir Book"/>
          <w:u w:val="single"/>
        </w:rPr>
        <w:t>Fisheries</w:t>
      </w:r>
    </w:p>
    <w:p w:rsidR="006C7374" w:rsidRPr="00B06331" w:rsidRDefault="00C245B1" w:rsidP="003A5A07">
      <w:pPr>
        <w:contextualSpacing/>
        <w:jc w:val="both"/>
        <w:rPr>
          <w:rFonts w:ascii="Avenir Book" w:hAnsi="Avenir Book"/>
        </w:rPr>
      </w:pPr>
      <w:r w:rsidRPr="00B06331">
        <w:rPr>
          <w:rFonts w:ascii="Avenir Book" w:hAnsi="Avenir Book"/>
        </w:rPr>
        <w:t xml:space="preserve">The new fisheries agreement recently signed </w:t>
      </w:r>
      <w:r w:rsidR="00732353" w:rsidRPr="00B06331">
        <w:rPr>
          <w:rFonts w:ascii="Avenir Book" w:hAnsi="Avenir Book"/>
        </w:rPr>
        <w:t>between Gambia and Senegal indicates the warming relations between the two countries which will allow Gambia to exploit her fisheries resources more productively.</w:t>
      </w:r>
    </w:p>
    <w:p w:rsidR="00732353" w:rsidRPr="00B06331" w:rsidRDefault="00732353" w:rsidP="004143E3">
      <w:pPr>
        <w:pStyle w:val="ListParagraph"/>
        <w:numPr>
          <w:ilvl w:val="0"/>
          <w:numId w:val="76"/>
        </w:numPr>
        <w:jc w:val="both"/>
        <w:rPr>
          <w:rFonts w:ascii="Avenir Book" w:hAnsi="Avenir Book"/>
          <w:u w:val="single"/>
        </w:rPr>
      </w:pPr>
      <w:r w:rsidRPr="00B06331">
        <w:rPr>
          <w:rFonts w:ascii="Avenir Book" w:hAnsi="Avenir Book"/>
          <w:u w:val="single"/>
        </w:rPr>
        <w:t>Security cooperation</w:t>
      </w:r>
    </w:p>
    <w:p w:rsidR="00732353" w:rsidRPr="00B06331" w:rsidRDefault="00732353" w:rsidP="00732353">
      <w:pPr>
        <w:jc w:val="both"/>
        <w:rPr>
          <w:rFonts w:ascii="Avenir Book" w:hAnsi="Avenir Book"/>
        </w:rPr>
      </w:pPr>
      <w:r w:rsidRPr="00B06331">
        <w:rPr>
          <w:rFonts w:ascii="Avenir Book" w:hAnsi="Avenir Book"/>
        </w:rPr>
        <w:t>Similarly, a security cooperation was also recently signed between the two countries which will enhance and promote peace and stability and create a much-needed environment to enable the citizens of both countries to prosper.</w:t>
      </w:r>
    </w:p>
    <w:p w:rsidR="00A16976" w:rsidRPr="00B06331" w:rsidRDefault="00732353" w:rsidP="00732353">
      <w:pPr>
        <w:jc w:val="both"/>
        <w:rPr>
          <w:rFonts w:ascii="Avenir Book" w:hAnsi="Avenir Book"/>
        </w:rPr>
      </w:pPr>
      <w:r w:rsidRPr="00B06331">
        <w:rPr>
          <w:rFonts w:ascii="Avenir Book" w:hAnsi="Avenir Book"/>
        </w:rPr>
        <w:t xml:space="preserve">From the few examples highlighted above, and the experience of the consequences for Gambia’s economy from border closures, </w:t>
      </w:r>
      <w:r w:rsidR="00802358" w:rsidRPr="00B06331">
        <w:rPr>
          <w:rFonts w:ascii="Avenir Book" w:hAnsi="Avenir Book"/>
        </w:rPr>
        <w:t>etc.</w:t>
      </w:r>
      <w:r w:rsidRPr="00B06331">
        <w:rPr>
          <w:rFonts w:ascii="Avenir Book" w:hAnsi="Avenir Book"/>
        </w:rPr>
        <w:t xml:space="preserve">, promoting regional integration and cooperation will be a key strategy in implementing the </w:t>
      </w:r>
      <w:r w:rsidR="00AA27A5" w:rsidRPr="00B06331">
        <w:rPr>
          <w:rFonts w:ascii="Avenir Book" w:hAnsi="Avenir Book"/>
        </w:rPr>
        <w:t xml:space="preserve">new </w:t>
      </w:r>
      <w:r w:rsidRPr="00B06331">
        <w:rPr>
          <w:rFonts w:ascii="Avenir Book" w:hAnsi="Avenir Book"/>
        </w:rPr>
        <w:t>National Development Plan</w:t>
      </w:r>
      <w:r w:rsidR="00A16976" w:rsidRPr="00B06331">
        <w:rPr>
          <w:rFonts w:ascii="Avenir Book" w:hAnsi="Avenir Book"/>
        </w:rPr>
        <w:t>.</w:t>
      </w:r>
    </w:p>
    <w:p w:rsidR="00A16976" w:rsidRPr="00B06331" w:rsidRDefault="00A16976" w:rsidP="00732353">
      <w:pPr>
        <w:jc w:val="both"/>
        <w:rPr>
          <w:rFonts w:ascii="Avenir Book" w:hAnsi="Avenir Book"/>
          <w:b/>
        </w:rPr>
      </w:pPr>
      <w:r w:rsidRPr="00B06331">
        <w:rPr>
          <w:rFonts w:ascii="Avenir Book" w:hAnsi="Avenir Book"/>
          <w:b/>
        </w:rPr>
        <w:t>Capacity Development</w:t>
      </w:r>
    </w:p>
    <w:p w:rsidR="00183B70" w:rsidRPr="00B06331" w:rsidRDefault="00A16976" w:rsidP="00732353">
      <w:pPr>
        <w:jc w:val="both"/>
        <w:rPr>
          <w:rFonts w:ascii="Avenir Book" w:hAnsi="Avenir Book"/>
        </w:rPr>
      </w:pPr>
      <w:r w:rsidRPr="00B06331">
        <w:rPr>
          <w:rFonts w:ascii="Avenir Book" w:hAnsi="Avenir Book"/>
        </w:rPr>
        <w:t xml:space="preserve">Given the capacity deficit in public sector institutions Government is, alongside the formulation of the NDP, conducting a comprehensive capacity needs assessment (CNA) and formulating </w:t>
      </w:r>
      <w:r w:rsidR="00183B70" w:rsidRPr="00B06331">
        <w:rPr>
          <w:rFonts w:ascii="Avenir Book" w:hAnsi="Avenir Book"/>
        </w:rPr>
        <w:t>a capacity development strategy to address the gaps identified. The assessment is targeting:</w:t>
      </w:r>
    </w:p>
    <w:p w:rsidR="00732353" w:rsidRPr="00B06331" w:rsidRDefault="00183B70" w:rsidP="00764ED7">
      <w:pPr>
        <w:pStyle w:val="ListParagraph"/>
        <w:numPr>
          <w:ilvl w:val="0"/>
          <w:numId w:val="154"/>
        </w:numPr>
        <w:jc w:val="both"/>
        <w:rPr>
          <w:rFonts w:ascii="Avenir Book" w:hAnsi="Avenir Book"/>
        </w:rPr>
      </w:pPr>
      <w:r w:rsidRPr="00B06331">
        <w:rPr>
          <w:rFonts w:ascii="Avenir Book" w:hAnsi="Avenir Book"/>
        </w:rPr>
        <w:t>18 Ministries and their satellite institutions;</w:t>
      </w:r>
    </w:p>
    <w:p w:rsidR="00183B70" w:rsidRPr="00B06331" w:rsidRDefault="00183B70" w:rsidP="00764ED7">
      <w:pPr>
        <w:pStyle w:val="ListParagraph"/>
        <w:numPr>
          <w:ilvl w:val="0"/>
          <w:numId w:val="154"/>
        </w:numPr>
        <w:jc w:val="both"/>
        <w:rPr>
          <w:rFonts w:ascii="Avenir Book" w:hAnsi="Avenir Book"/>
        </w:rPr>
      </w:pPr>
      <w:r w:rsidRPr="00B06331">
        <w:rPr>
          <w:rFonts w:ascii="Avenir Book" w:hAnsi="Avenir Book"/>
        </w:rPr>
        <w:t xml:space="preserve">Key capacity providers: UTG, MDI, GTTI, </w:t>
      </w:r>
      <w:r w:rsidR="00802358" w:rsidRPr="00B06331">
        <w:rPr>
          <w:rFonts w:ascii="Avenir Book" w:hAnsi="Avenir Book"/>
        </w:rPr>
        <w:t>etc.</w:t>
      </w:r>
    </w:p>
    <w:p w:rsidR="00183B70" w:rsidRPr="00B06331" w:rsidRDefault="00183B70" w:rsidP="00764ED7">
      <w:pPr>
        <w:pStyle w:val="ListParagraph"/>
        <w:numPr>
          <w:ilvl w:val="0"/>
          <w:numId w:val="154"/>
        </w:numPr>
        <w:jc w:val="both"/>
        <w:rPr>
          <w:rFonts w:ascii="Avenir Book" w:hAnsi="Avenir Book"/>
        </w:rPr>
      </w:pPr>
      <w:r w:rsidRPr="00B06331">
        <w:rPr>
          <w:rFonts w:ascii="Avenir Book" w:hAnsi="Avenir Book"/>
        </w:rPr>
        <w:t>Oversight Institutions: National Assembly, Judiciary, National Audit Office, etc.</w:t>
      </w:r>
    </w:p>
    <w:p w:rsidR="00183B70" w:rsidRPr="00B06331" w:rsidRDefault="00183B70" w:rsidP="00183B70">
      <w:pPr>
        <w:jc w:val="both"/>
        <w:rPr>
          <w:rFonts w:ascii="Avenir Book" w:hAnsi="Avenir Book"/>
        </w:rPr>
      </w:pPr>
      <w:r w:rsidRPr="00B06331">
        <w:rPr>
          <w:rFonts w:ascii="Avenir Book" w:hAnsi="Avenir Book"/>
        </w:rPr>
        <w:t>The assessment and strategy development complements the Civil Service Reform strategy and when completed, will ensure that a major binding constraint to plan implementation, apart from availability of funding, is addressed.</w:t>
      </w:r>
    </w:p>
    <w:p w:rsidR="003A5A07" w:rsidRPr="00B06331" w:rsidRDefault="003A5A07" w:rsidP="003A5A07">
      <w:pPr>
        <w:pStyle w:val="Heading3"/>
        <w:rPr>
          <w:rFonts w:ascii="Calibri" w:hAnsi="Calibri"/>
          <w:b/>
          <w:sz w:val="22"/>
          <w:szCs w:val="22"/>
        </w:rPr>
      </w:pPr>
      <w:bookmarkStart w:id="182" w:name="_Toc488689362"/>
      <w:bookmarkStart w:id="183" w:name="_Toc492364805"/>
      <w:r w:rsidRPr="00B06331">
        <w:rPr>
          <w:rFonts w:ascii="Calibri" w:hAnsi="Calibri"/>
          <w:b/>
          <w:sz w:val="22"/>
          <w:szCs w:val="22"/>
        </w:rPr>
        <w:t>9.2.3 Plan Inception</w:t>
      </w:r>
      <w:bookmarkEnd w:id="182"/>
      <w:bookmarkEnd w:id="183"/>
    </w:p>
    <w:p w:rsidR="003A5A07" w:rsidRPr="00B06331" w:rsidRDefault="003A5A07" w:rsidP="003A5A07">
      <w:pPr>
        <w:spacing w:line="240" w:lineRule="auto"/>
        <w:contextualSpacing/>
        <w:jc w:val="both"/>
        <w:rPr>
          <w:rFonts w:ascii="Avenir Book" w:hAnsi="Avenir Book"/>
          <w:szCs w:val="24"/>
        </w:rPr>
      </w:pPr>
    </w:p>
    <w:p w:rsidR="003A5A07" w:rsidRPr="00B06331" w:rsidRDefault="003A5A07" w:rsidP="003A5A07">
      <w:pPr>
        <w:spacing w:line="240" w:lineRule="auto"/>
        <w:contextualSpacing/>
        <w:jc w:val="both"/>
        <w:rPr>
          <w:rFonts w:ascii="Avenir Book" w:hAnsi="Avenir Book"/>
          <w:szCs w:val="24"/>
        </w:rPr>
      </w:pPr>
      <w:r w:rsidRPr="00B06331">
        <w:rPr>
          <w:rFonts w:ascii="Avenir Book" w:hAnsi="Avenir Book"/>
          <w:szCs w:val="24"/>
        </w:rPr>
        <w:t>Once the plan is officially adopted, and prior to kick-start of implementation scheduled for 2018, Government intends to undertake several critical preparatory activities to make smooth the transition from plan preparation and implementation. This will ensure that all the necessary preconditions are in place on time.</w:t>
      </w:r>
    </w:p>
    <w:p w:rsidR="003A5A07" w:rsidRPr="00B06331" w:rsidRDefault="003A5A07" w:rsidP="003A5A07">
      <w:pPr>
        <w:spacing w:line="240" w:lineRule="auto"/>
        <w:contextualSpacing/>
        <w:rPr>
          <w:rFonts w:ascii="Avenir Book" w:hAnsi="Avenir Book"/>
          <w:szCs w:val="24"/>
        </w:rPr>
      </w:pPr>
    </w:p>
    <w:p w:rsidR="003A5A07" w:rsidRPr="00B06331" w:rsidRDefault="003A5A07" w:rsidP="003A5A07">
      <w:pPr>
        <w:spacing w:line="240" w:lineRule="auto"/>
        <w:contextualSpacing/>
        <w:jc w:val="both"/>
        <w:rPr>
          <w:rFonts w:ascii="Avenir Book" w:hAnsi="Avenir Book"/>
          <w:szCs w:val="24"/>
        </w:rPr>
      </w:pPr>
      <w:r w:rsidRPr="00B06331">
        <w:rPr>
          <w:rFonts w:ascii="Avenir Book" w:hAnsi="Avenir Book"/>
          <w:szCs w:val="24"/>
        </w:rPr>
        <w:t>The main inception activities envisag</w:t>
      </w:r>
      <w:r w:rsidR="00E32BF2" w:rsidRPr="00B06331">
        <w:rPr>
          <w:rFonts w:ascii="Avenir Book" w:hAnsi="Avenir Book"/>
          <w:szCs w:val="24"/>
        </w:rPr>
        <w:t xml:space="preserve">ed in the last quarter of 2017 </w:t>
      </w:r>
      <w:r w:rsidRPr="00B06331">
        <w:rPr>
          <w:rFonts w:ascii="Avenir Book" w:hAnsi="Avenir Book"/>
          <w:szCs w:val="24"/>
        </w:rPr>
        <w:t>and depicted in Figure…</w:t>
      </w:r>
      <w:r w:rsidR="00E32BF2" w:rsidRPr="00B06331">
        <w:rPr>
          <w:rFonts w:ascii="Avenir Book" w:hAnsi="Avenir Book"/>
          <w:szCs w:val="24"/>
        </w:rPr>
        <w:t>below</w:t>
      </w:r>
      <w:r w:rsidRPr="00B06331">
        <w:rPr>
          <w:rFonts w:ascii="Avenir Book" w:hAnsi="Avenir Book"/>
          <w:szCs w:val="24"/>
        </w:rPr>
        <w:t xml:space="preserve"> include the following:</w:t>
      </w:r>
    </w:p>
    <w:p w:rsidR="003A5A07" w:rsidRPr="00B06331" w:rsidRDefault="003A5A07" w:rsidP="003715CF">
      <w:pPr>
        <w:pStyle w:val="ListParagraph"/>
        <w:numPr>
          <w:ilvl w:val="0"/>
          <w:numId w:val="2"/>
        </w:numPr>
        <w:spacing w:line="240" w:lineRule="auto"/>
        <w:jc w:val="both"/>
        <w:rPr>
          <w:rFonts w:ascii="Avenir Book" w:hAnsi="Avenir Book"/>
          <w:szCs w:val="24"/>
        </w:rPr>
      </w:pPr>
      <w:r w:rsidRPr="00B06331">
        <w:rPr>
          <w:rFonts w:ascii="Avenir Book" w:hAnsi="Avenir Book"/>
          <w:szCs w:val="24"/>
        </w:rPr>
        <w:t>Consultations with key development partners leading to holding of a Resource Mobilization Conference;</w:t>
      </w:r>
    </w:p>
    <w:p w:rsidR="003A5A07" w:rsidRPr="00B06331" w:rsidRDefault="003A5A07" w:rsidP="003715CF">
      <w:pPr>
        <w:pStyle w:val="ListParagraph"/>
        <w:numPr>
          <w:ilvl w:val="0"/>
          <w:numId w:val="2"/>
        </w:numPr>
        <w:spacing w:line="240" w:lineRule="auto"/>
        <w:jc w:val="both"/>
        <w:rPr>
          <w:rFonts w:ascii="Avenir Book" w:hAnsi="Avenir Book"/>
          <w:szCs w:val="24"/>
        </w:rPr>
      </w:pPr>
      <w:r w:rsidRPr="00B06331">
        <w:rPr>
          <w:rFonts w:ascii="Avenir Book" w:hAnsi="Avenir Book"/>
          <w:szCs w:val="24"/>
        </w:rPr>
        <w:t>Development of ToRs for the various entities of the institutional framework for implementation and official designation of the various members;</w:t>
      </w:r>
    </w:p>
    <w:p w:rsidR="003A5A07" w:rsidRPr="00B06331" w:rsidRDefault="003A5A07" w:rsidP="003715CF">
      <w:pPr>
        <w:pStyle w:val="ListParagraph"/>
        <w:numPr>
          <w:ilvl w:val="0"/>
          <w:numId w:val="2"/>
        </w:numPr>
        <w:spacing w:line="240" w:lineRule="auto"/>
        <w:jc w:val="both"/>
        <w:rPr>
          <w:rFonts w:ascii="Avenir Book" w:hAnsi="Avenir Book"/>
          <w:szCs w:val="24"/>
        </w:rPr>
      </w:pPr>
      <w:r w:rsidRPr="00B06331">
        <w:rPr>
          <w:rFonts w:ascii="Avenir Book" w:hAnsi="Avenir Book"/>
          <w:szCs w:val="24"/>
        </w:rPr>
        <w:lastRenderedPageBreak/>
        <w:t>Development of first year annual work plans and budgets and making the</w:t>
      </w:r>
      <w:r w:rsidR="00F67563" w:rsidRPr="00B06331">
        <w:rPr>
          <w:rFonts w:ascii="Avenir Book" w:hAnsi="Avenir Book"/>
          <w:szCs w:val="24"/>
        </w:rPr>
        <w:t xml:space="preserve"> necessary budget appropriation </w:t>
      </w:r>
    </w:p>
    <w:p w:rsidR="003A5A07" w:rsidRPr="00B06331" w:rsidRDefault="003A5A07" w:rsidP="003A5A07">
      <w:pPr>
        <w:pStyle w:val="Heading2"/>
        <w:rPr>
          <w:rFonts w:ascii="Calibri" w:hAnsi="Calibri" w:cs="Calibri"/>
          <w:sz w:val="22"/>
          <w:szCs w:val="22"/>
        </w:rPr>
      </w:pPr>
      <w:bookmarkStart w:id="184" w:name="_Toc488689363"/>
      <w:bookmarkStart w:id="185" w:name="_Toc492364806"/>
      <w:r w:rsidRPr="00B06331">
        <w:rPr>
          <w:rFonts w:ascii="Calibri" w:hAnsi="Calibri" w:cs="Calibri"/>
          <w:sz w:val="22"/>
          <w:szCs w:val="22"/>
        </w:rPr>
        <w:t>9.3</w:t>
      </w:r>
      <w:bookmarkStart w:id="186" w:name="_Hlk488671170"/>
      <w:r w:rsidRPr="00B06331">
        <w:rPr>
          <w:rFonts w:ascii="Calibri" w:hAnsi="Calibri" w:cs="Calibri"/>
          <w:sz w:val="22"/>
          <w:szCs w:val="22"/>
        </w:rPr>
        <w:t>Monitoring and Evaluation Processes</w:t>
      </w:r>
      <w:bookmarkEnd w:id="184"/>
      <w:bookmarkEnd w:id="185"/>
    </w:p>
    <w:p w:rsidR="003A5A07" w:rsidRPr="00B06331" w:rsidRDefault="003A5A07" w:rsidP="003A5A07">
      <w:pPr>
        <w:jc w:val="both"/>
        <w:rPr>
          <w:color w:val="000000"/>
          <w:szCs w:val="24"/>
        </w:rPr>
      </w:pPr>
      <w:r w:rsidRPr="00B06331">
        <w:rPr>
          <w:color w:val="000000"/>
          <w:szCs w:val="24"/>
        </w:rPr>
        <w:t xml:space="preserve">The Gambia National Development Plan 2018-2021 was developed in close consultation with stakeholders and with active participation of all the technical working groups resulting in a ‘home grown’ national document that is results oriented and focused on key strategic priorities and critical enablers to attain the new Government’s vision for the people.  </w:t>
      </w:r>
    </w:p>
    <w:p w:rsidR="003A5A07" w:rsidRPr="00B06331" w:rsidRDefault="003A5A07" w:rsidP="003A5A07">
      <w:pPr>
        <w:jc w:val="both"/>
        <w:rPr>
          <w:szCs w:val="24"/>
        </w:rPr>
      </w:pPr>
      <w:r w:rsidRPr="00B06331">
        <w:rPr>
          <w:szCs w:val="24"/>
        </w:rPr>
        <w:t>As an integral part of implementing the NDP, an M&amp;E plan including a results matrix was developed were each strategic priority and critical enabler has accompanying goal(s), a set of outcomes, indicators (disaggregated to an appropriate level) with baselines and targets to facilitate the tracking and reporting progress of Government’s commitment to the people through the implementation of programmes and policies.  A Metadata for each indicator was also developed to provide definitions and to serve as reference.</w:t>
      </w:r>
    </w:p>
    <w:p w:rsidR="003A5A07" w:rsidRPr="00B06331" w:rsidRDefault="003A5A07" w:rsidP="003A5A07">
      <w:pPr>
        <w:jc w:val="both"/>
        <w:rPr>
          <w:szCs w:val="24"/>
        </w:rPr>
      </w:pPr>
      <w:r w:rsidRPr="00B06331">
        <w:rPr>
          <w:szCs w:val="24"/>
        </w:rPr>
        <w:t xml:space="preserve">The setting of the results at the outcome level in the NDP shifts the focus to monitoring and evaluating the transformative change in the lives of the people rather than on the activities and inputs.  However, this new approach will require the sectors to develop their strategic action plans with outputs and indicators corresponding and contributing to the outcomes in the NDP.  There is a strong need to have a robust M&amp;E system to be able to coordinate, monitor and report on the multiple sector plans.  As a provisional measure, the Department of Development and Planning at the Ministry of Finance and Economic Affairs will take up the responsibility to ensure that the ministries/sectors will adopt this approach and have an arrangement as a mechanism to monitor progress towards the implementation of the NDP. </w:t>
      </w:r>
    </w:p>
    <w:p w:rsidR="003A5A07" w:rsidRPr="00B06331" w:rsidRDefault="003A5A07" w:rsidP="003A5A07">
      <w:pPr>
        <w:jc w:val="both"/>
        <w:rPr>
          <w:szCs w:val="24"/>
        </w:rPr>
      </w:pPr>
      <w:r w:rsidRPr="00B06331">
        <w:rPr>
          <w:szCs w:val="24"/>
        </w:rPr>
        <w:t xml:space="preserve">In line with the coordination set-up of the NDP, the M&amp;E system will be having a strong component on dissemination of information and feedback to stakeholders at the right time for corrective measures to be taken.  The M&amp;E information derived from the sectors at events such as the annual reviews will be channeled through to the High Level Multi-Stakeholder Steering Committee, National Technical Committee, as well as other relevant structures such Gambia National Think Tank (GNTT) to influence policies and programmes. </w:t>
      </w:r>
    </w:p>
    <w:p w:rsidR="003A5A07" w:rsidRPr="00B06331" w:rsidRDefault="003A5A07" w:rsidP="003A5A07">
      <w:pPr>
        <w:jc w:val="both"/>
        <w:rPr>
          <w:szCs w:val="24"/>
        </w:rPr>
      </w:pPr>
      <w:r w:rsidRPr="00B06331">
        <w:rPr>
          <w:szCs w:val="24"/>
        </w:rPr>
        <w:t xml:space="preserve">The M&amp;E system to be effectively managed and </w:t>
      </w:r>
      <w:r w:rsidR="00E32BF2" w:rsidRPr="00B06331">
        <w:rPr>
          <w:szCs w:val="24"/>
        </w:rPr>
        <w:t>utilized</w:t>
      </w:r>
      <w:r w:rsidRPr="00B06331">
        <w:rPr>
          <w:szCs w:val="24"/>
        </w:rPr>
        <w:t>must be decentralized to the regional level to create and/or strengthen linkages and synergies between the central level government and the Regions through the Regional Technical Advisory Committees.  Most of the interventions will take place in the regions and key information on performance needs to be shared within government and its partners including the media and civil society organizations. The greater the participation in the M&amp;E process from information collection, analysis to dissemination – the more effective and efficient the M&amp;E system will be.</w:t>
      </w:r>
    </w:p>
    <w:p w:rsidR="003A5A07" w:rsidRPr="00B06331" w:rsidRDefault="003A5A07" w:rsidP="003A5A07">
      <w:pPr>
        <w:spacing w:after="160" w:line="259" w:lineRule="auto"/>
        <w:jc w:val="both"/>
        <w:rPr>
          <w:szCs w:val="24"/>
        </w:rPr>
      </w:pPr>
      <w:r w:rsidRPr="00B06331">
        <w:rPr>
          <w:szCs w:val="24"/>
        </w:rPr>
        <w:t xml:space="preserve">To ease Government’s burden in monitoring and reporting progress of the international and regional agreements the indicators in the NDP were closely matched to those from the SDGs and Agenda 2063.  </w:t>
      </w:r>
      <w:r w:rsidRPr="00B06331">
        <w:rPr>
          <w:szCs w:val="24"/>
        </w:rPr>
        <w:lastRenderedPageBreak/>
        <w:t xml:space="preserve">The aim is to have a national M&amp;E system that is a one stop shop for all information on both national and international plans and agreements. </w:t>
      </w:r>
    </w:p>
    <w:p w:rsidR="003A5A07" w:rsidRPr="00B06331" w:rsidRDefault="003A5A07" w:rsidP="003A5A07">
      <w:pPr>
        <w:spacing w:before="120" w:after="120"/>
        <w:jc w:val="both"/>
        <w:rPr>
          <w:szCs w:val="24"/>
        </w:rPr>
      </w:pPr>
      <w:r w:rsidRPr="00B06331">
        <w:rPr>
          <w:szCs w:val="24"/>
        </w:rPr>
        <w:t>To meet the growing demand for information and can accurately report on the progress of results on a timely basis, the M&amp;E plan have identified the following as key M&amp;E activities to be undertaken:</w:t>
      </w:r>
    </w:p>
    <w:p w:rsidR="003A5A07" w:rsidRPr="00B06331" w:rsidRDefault="003A5A07" w:rsidP="004143E3">
      <w:pPr>
        <w:pStyle w:val="ListParagraph"/>
        <w:numPr>
          <w:ilvl w:val="0"/>
          <w:numId w:val="16"/>
        </w:numPr>
        <w:spacing w:after="0" w:line="240" w:lineRule="auto"/>
        <w:jc w:val="both"/>
        <w:rPr>
          <w:szCs w:val="24"/>
        </w:rPr>
      </w:pPr>
      <w:r w:rsidRPr="00B06331">
        <w:rPr>
          <w:b/>
          <w:i/>
          <w:szCs w:val="24"/>
        </w:rPr>
        <w:t>Annual review of progress</w:t>
      </w:r>
      <w:r w:rsidRPr="00B06331">
        <w:rPr>
          <w:szCs w:val="24"/>
        </w:rPr>
        <w:t>:  this will be conducted with the TWGs on an annual basis preferably before the end of year to inform the annual budget preparation and to enhance transparency and accountability in the management of national resources.  It will involve active participation of the relevant sectors monitoring and reporting on the set of agreed indicators in the NDP.  The indicators for the strategic Priorities are XXand that of the critical enablers are XX for XX outcomes.</w:t>
      </w:r>
    </w:p>
    <w:p w:rsidR="003A5A07" w:rsidRPr="00B06331" w:rsidRDefault="003A5A07" w:rsidP="004143E3">
      <w:pPr>
        <w:pStyle w:val="ListParagraph"/>
        <w:numPr>
          <w:ilvl w:val="0"/>
          <w:numId w:val="16"/>
        </w:numPr>
        <w:spacing w:after="0" w:line="240" w:lineRule="auto"/>
        <w:jc w:val="both"/>
        <w:rPr>
          <w:szCs w:val="24"/>
        </w:rPr>
      </w:pPr>
      <w:r w:rsidRPr="00B06331">
        <w:rPr>
          <w:b/>
          <w:i/>
          <w:szCs w:val="24"/>
        </w:rPr>
        <w:t>Tools:</w:t>
      </w:r>
      <w:r w:rsidRPr="00B06331">
        <w:rPr>
          <w:szCs w:val="24"/>
        </w:rPr>
        <w:t xml:space="preserve"> A formatted template for reporting should be drafted and adopted as key tool for reporting on the progress towards achievement of the results for the NDP.  This will ensure that all the information needed is captured; there is some form of uniformity across the board; and easier to input the information in a web enabled database for easy access and public consumption. </w:t>
      </w:r>
    </w:p>
    <w:p w:rsidR="003A5A07" w:rsidRPr="00B06331" w:rsidRDefault="003A5A07" w:rsidP="004143E3">
      <w:pPr>
        <w:pStyle w:val="ListParagraph"/>
        <w:numPr>
          <w:ilvl w:val="0"/>
          <w:numId w:val="16"/>
        </w:numPr>
        <w:spacing w:after="0" w:line="240" w:lineRule="auto"/>
        <w:jc w:val="both"/>
        <w:rPr>
          <w:szCs w:val="24"/>
        </w:rPr>
      </w:pPr>
      <w:r w:rsidRPr="00B06331">
        <w:rPr>
          <w:b/>
          <w:i/>
          <w:szCs w:val="24"/>
        </w:rPr>
        <w:t>Evaluations</w:t>
      </w:r>
      <w:r w:rsidRPr="00B06331">
        <w:rPr>
          <w:szCs w:val="24"/>
        </w:rPr>
        <w:t xml:space="preserve">:  To take stock of lessons learned and to determine the relevance, efficiency, effectiveness, impact and sustainability of programmes and policies outlined in the NDP, a mid and an end term evaluation will be conducted.  The Mid-term evaluation will be held in late 2019 and the end term will be held in 2021. To stimulate the demand for evaluations and boost the availability and capacity of evaluators to meet the demand, a Gambian Association of Evaluation should be formed and linked to the African Evaluation Association.  This will enhance prominence and provide networks for Gambian evaluators in the continent. </w:t>
      </w:r>
    </w:p>
    <w:p w:rsidR="003A5A07" w:rsidRPr="00B06331" w:rsidRDefault="003A5A07" w:rsidP="004143E3">
      <w:pPr>
        <w:pStyle w:val="ListParagraph"/>
        <w:numPr>
          <w:ilvl w:val="0"/>
          <w:numId w:val="16"/>
        </w:numPr>
        <w:spacing w:after="0" w:line="240" w:lineRule="auto"/>
        <w:jc w:val="both"/>
        <w:rPr>
          <w:szCs w:val="24"/>
        </w:rPr>
      </w:pPr>
      <w:r w:rsidRPr="00B06331">
        <w:rPr>
          <w:b/>
          <w:i/>
          <w:szCs w:val="24"/>
        </w:rPr>
        <w:t>Capacity Building</w:t>
      </w:r>
      <w:r w:rsidRPr="00B06331">
        <w:rPr>
          <w:szCs w:val="24"/>
        </w:rPr>
        <w:t xml:space="preserve">: A capacity needs assessment needs to be undertaken to evaluate the current capacity of Planning and M&amp;E staff at the MDAs in Results Based Management and based on the results of the evaluation, a training package should be provided on the following: (i) M&amp;E applications, methods, tools, and frameworks; (ii) Results Based management; and (iii) National M&amp;E system, including the forms and reporting formats for the NDP.  </w:t>
      </w:r>
    </w:p>
    <w:p w:rsidR="003A5A07" w:rsidRPr="00B06331" w:rsidRDefault="003A5A07" w:rsidP="003A5A07">
      <w:pPr>
        <w:pStyle w:val="ListParagraph"/>
        <w:spacing w:after="0" w:line="240" w:lineRule="auto"/>
        <w:ind w:left="1080"/>
        <w:jc w:val="both"/>
        <w:rPr>
          <w:szCs w:val="24"/>
        </w:rPr>
      </w:pPr>
    </w:p>
    <w:p w:rsidR="003A5A07" w:rsidRPr="00B06331" w:rsidRDefault="003A5A07" w:rsidP="003A5A07">
      <w:pPr>
        <w:jc w:val="both"/>
        <w:rPr>
          <w:szCs w:val="24"/>
        </w:rPr>
      </w:pPr>
      <w:r w:rsidRPr="00B06331">
        <w:rPr>
          <w:szCs w:val="24"/>
        </w:rPr>
        <w:t>For the M&amp;E system to work, efforts are needed to 1) Harmonize and align sector strategic and action plans, 2) improve infrastructure, and 3) build capacity. The Government through the Department of Development Planning at the MoFEA must continuously develop the capacity of M&amp;E staff or personnel tasked to implement M&amp;E plans.  There is a need for staff to upgrade their skills and knowledge on emerging concepts in M&amp;E.   The M&amp;E TWG can develop or compile a complete M&amp;E Guidelines which will have existing M&amp;E-related guidelines, some simple results-based monitoring (RBM) tutorials, and samples of M&amp;E forms and checklists and these should be made available to all the MDAs.</w:t>
      </w:r>
    </w:p>
    <w:p w:rsidR="003A5A07" w:rsidRPr="00B06331" w:rsidRDefault="003A5A07" w:rsidP="003A5A07">
      <w:pPr>
        <w:jc w:val="both"/>
        <w:rPr>
          <w:szCs w:val="24"/>
        </w:rPr>
      </w:pPr>
      <w:r w:rsidRPr="00B06331">
        <w:rPr>
          <w:szCs w:val="24"/>
        </w:rPr>
        <w:t xml:space="preserve">The National Audit Office (NAO) has an important role in the implementation of the National Development Plan by being a key partner in the M&amp;E processes in the NDP.  They have a lead role in monitoring and auditing of Government’s public expenditure management, performance appraisals and sharing findings with the National Assembly as well as the institutions tasked with coordinating the implementation of the NDP. The NAO will be instrumental in pushing forward reforms towards improving budget and as well as the degree of compliance with Government’s rules regarding programme/project management. </w:t>
      </w:r>
    </w:p>
    <w:p w:rsidR="003A5A07" w:rsidRPr="00B06331" w:rsidRDefault="003A5A07" w:rsidP="003A5A07">
      <w:pPr>
        <w:jc w:val="both"/>
        <w:rPr>
          <w:szCs w:val="24"/>
        </w:rPr>
      </w:pPr>
      <w:r w:rsidRPr="00B06331">
        <w:rPr>
          <w:szCs w:val="24"/>
        </w:rPr>
        <w:t xml:space="preserve">The Gambia Bureau of Statistics is the mandated Government body responsible for data collection, analysis, compilation and dissemination of all major surveys, studies and systematic compilation of </w:t>
      </w:r>
      <w:r w:rsidRPr="00B06331">
        <w:rPr>
          <w:szCs w:val="24"/>
        </w:rPr>
        <w:lastRenderedPageBreak/>
        <w:t xml:space="preserve">statistics and indicators from all major sources of data. The bureau therefore chairs the M&amp;E TWG and as such will play a crucial role in ensuring that quality data is produce and available in time to meet the demand for monitoring and reporting of the NDP.  It is imperative for the Bureau to develop and implement a National Strategy which includes a strictly adhered to calendar of major surveys and censuses as part of the M&amp;E system. </w:t>
      </w:r>
    </w:p>
    <w:p w:rsidR="003A5A07" w:rsidRPr="00B06331" w:rsidRDefault="003A5A07" w:rsidP="003A5A07">
      <w:pPr>
        <w:jc w:val="both"/>
        <w:rPr>
          <w:szCs w:val="24"/>
        </w:rPr>
      </w:pPr>
      <w:r w:rsidRPr="00B06331">
        <w:rPr>
          <w:szCs w:val="24"/>
        </w:rPr>
        <w:t xml:space="preserve">The GAMINFO, a web enabled database was launched in 2009, housed at the Gambia Bureau of Statistics and manned by a trained Systems Administrator.  The database provides a common and centrally located database for the storage and easy retrieval of data on key development indicators for the country. The database is updated frequently with the most recent data and is equipped with GIS.  Several government personnel, UN staff and CSOs have been trained on the use of the tool and the database can further be utilized and expanded as a data hub connecting all the existing Government information systems to serve as </w:t>
      </w:r>
      <w:r w:rsidR="00E32BF2" w:rsidRPr="00B06331">
        <w:rPr>
          <w:szCs w:val="24"/>
        </w:rPr>
        <w:t>an</w:t>
      </w:r>
      <w:r w:rsidRPr="00B06331">
        <w:rPr>
          <w:szCs w:val="24"/>
        </w:rPr>
        <w:t xml:space="preserve"> M&amp;E system for the NDP. This M&amp;E system when established should be able to provide disaggregated information at a click of a button which will help in the planning, designing, monitoring and evaluation of Policies and Programmes, budget allocation process for government, development partners and civil society organizations. </w:t>
      </w:r>
    </w:p>
    <w:p w:rsidR="003A5A07" w:rsidRPr="00B06331" w:rsidRDefault="003A5A07" w:rsidP="003A5A07">
      <w:pPr>
        <w:jc w:val="both"/>
        <w:rPr>
          <w:szCs w:val="24"/>
        </w:rPr>
      </w:pPr>
      <w:r w:rsidRPr="00B06331">
        <w:rPr>
          <w:szCs w:val="24"/>
        </w:rPr>
        <w:t xml:space="preserve">The foreseen challenges for the M&amp;E system will be how to meet the demand for information at the right time.  The culture and attitude of most Government MDAs when it comes to M&amp;E is that it is always an addendum and not given the necessary support that is required. M&amp;E should be costed and budgeted for as it has a significant cost implication.  There needs to be an intensive capacity building on Results Based Management for planning units in Government.  An M&amp;E champion should be identified among the top Government executive who will lead the advocacy and emphasizing the importance of M&amp;E as a management tool for good governance, effective development planning, evidence-based policy making and greater public accountability. </w:t>
      </w:r>
    </w:p>
    <w:p w:rsidR="006C7374" w:rsidRPr="00B06331" w:rsidRDefault="006C7374" w:rsidP="003A5A07">
      <w:pPr>
        <w:jc w:val="both"/>
        <w:rPr>
          <w:szCs w:val="24"/>
        </w:rPr>
      </w:pPr>
      <w:r w:rsidRPr="00B06331">
        <w:rPr>
          <w:szCs w:val="24"/>
        </w:rPr>
        <w:t xml:space="preserve">A key innovation to be introduced in the National M&amp;E framework </w:t>
      </w:r>
      <w:r w:rsidR="00630E3A" w:rsidRPr="00B06331">
        <w:rPr>
          <w:szCs w:val="24"/>
        </w:rPr>
        <w:t>for the NDP will be the</w:t>
      </w:r>
      <w:r w:rsidRPr="00B06331">
        <w:rPr>
          <w:szCs w:val="24"/>
        </w:rPr>
        <w:t xml:space="preserve"> setting up of </w:t>
      </w:r>
      <w:r w:rsidRPr="00B06331">
        <w:rPr>
          <w:b/>
          <w:i/>
          <w:szCs w:val="24"/>
        </w:rPr>
        <w:t>a Presidential M&amp;E System</w:t>
      </w:r>
      <w:r w:rsidRPr="00B06331">
        <w:rPr>
          <w:b/>
          <w:szCs w:val="24"/>
        </w:rPr>
        <w:t>/Presidential Dashboard</w:t>
      </w:r>
      <w:r w:rsidRPr="00B06331">
        <w:rPr>
          <w:szCs w:val="24"/>
        </w:rPr>
        <w:t xml:space="preserve"> that will allow for the monitoring and tracking of selected key indicators of the NDP at the highest level of the Executive. The main aim is to provide tools to the Executive to keep a close watch on progress in achieving the political objectives and development agenda the Coalition government has committed itself to delivering.</w:t>
      </w:r>
      <w:r w:rsidR="00630E3A" w:rsidRPr="00B06331">
        <w:rPr>
          <w:szCs w:val="24"/>
        </w:rPr>
        <w:t xml:space="preserve"> F</w:t>
      </w:r>
      <w:r w:rsidRPr="00B06331">
        <w:rPr>
          <w:szCs w:val="24"/>
        </w:rPr>
        <w:t>urther reflec</w:t>
      </w:r>
      <w:r w:rsidR="00AA27A5" w:rsidRPr="00B06331">
        <w:rPr>
          <w:szCs w:val="24"/>
        </w:rPr>
        <w:t>tion and analysis will be undertaken</w:t>
      </w:r>
      <w:r w:rsidRPr="00B06331">
        <w:rPr>
          <w:szCs w:val="24"/>
        </w:rPr>
        <w:t xml:space="preserve"> to deepen </w:t>
      </w:r>
      <w:r w:rsidR="00630E3A" w:rsidRPr="00B06331">
        <w:rPr>
          <w:szCs w:val="24"/>
        </w:rPr>
        <w:t xml:space="preserve">and operationalize </w:t>
      </w:r>
      <w:r w:rsidRPr="00B06331">
        <w:rPr>
          <w:szCs w:val="24"/>
        </w:rPr>
        <w:t>this concept</w:t>
      </w:r>
      <w:r w:rsidR="00AA27A5" w:rsidRPr="00B06331">
        <w:rPr>
          <w:szCs w:val="24"/>
        </w:rPr>
        <w:t xml:space="preserve"> during the inception phase of the plan.</w:t>
      </w:r>
    </w:p>
    <w:p w:rsidR="003A5A07" w:rsidRPr="00B06331" w:rsidRDefault="003A5A07" w:rsidP="003A5A07">
      <w:pPr>
        <w:pStyle w:val="Heading2"/>
        <w:rPr>
          <w:rFonts w:ascii="Calibri" w:hAnsi="Calibri" w:cs="Calibri"/>
          <w:sz w:val="22"/>
          <w:szCs w:val="22"/>
        </w:rPr>
      </w:pPr>
      <w:bookmarkStart w:id="187" w:name="_Toc488689364"/>
      <w:bookmarkStart w:id="188" w:name="_Toc492364807"/>
      <w:r w:rsidRPr="00B06331">
        <w:rPr>
          <w:rFonts w:ascii="Calibri" w:hAnsi="Calibri" w:cs="Calibri"/>
          <w:sz w:val="22"/>
          <w:szCs w:val="22"/>
        </w:rPr>
        <w:t>9.4 Strengthening Government - Citizens’ Engagement</w:t>
      </w:r>
      <w:bookmarkEnd w:id="187"/>
      <w:bookmarkEnd w:id="188"/>
    </w:p>
    <w:p w:rsidR="003A5A07" w:rsidRPr="00B06331" w:rsidRDefault="003A5A07" w:rsidP="003A5A07">
      <w:pPr>
        <w:jc w:val="both"/>
        <w:rPr>
          <w:rFonts w:ascii="Avenir Book" w:hAnsi="Avenir Book"/>
          <w:szCs w:val="24"/>
        </w:rPr>
      </w:pPr>
      <w:r w:rsidRPr="00B06331">
        <w:rPr>
          <w:rFonts w:ascii="Avenir Book" w:hAnsi="Avenir Book"/>
          <w:szCs w:val="24"/>
        </w:rPr>
        <w:t xml:space="preserve">The new government sees itself as an open and transparent one that communicates and engages its citizens. To build trust and strengthen legitimacy, government must engage its citizens in a different way, particularly given the experience of bad governance. </w:t>
      </w:r>
    </w:p>
    <w:p w:rsidR="003A5A07" w:rsidRPr="00B06331" w:rsidRDefault="003A5A07" w:rsidP="003A5A07">
      <w:pPr>
        <w:jc w:val="both"/>
        <w:rPr>
          <w:rFonts w:ascii="Avenir Book" w:hAnsi="Avenir Book"/>
          <w:szCs w:val="24"/>
        </w:rPr>
      </w:pPr>
      <w:r w:rsidRPr="00B06331">
        <w:rPr>
          <w:rFonts w:ascii="Avenir Book" w:hAnsi="Avenir Book"/>
          <w:szCs w:val="24"/>
        </w:rPr>
        <w:t>A government that has a good relationship with the public will formulate better policies, deliver better services, and achieve more sustainable development outcomes for society.</w:t>
      </w:r>
    </w:p>
    <w:p w:rsidR="003A5A07" w:rsidRPr="00B06331" w:rsidRDefault="003A5A07" w:rsidP="003A5A07">
      <w:pPr>
        <w:jc w:val="both"/>
        <w:rPr>
          <w:rFonts w:ascii="Avenir Book" w:hAnsi="Avenir Book"/>
          <w:szCs w:val="24"/>
        </w:rPr>
      </w:pPr>
      <w:r w:rsidRPr="00B06331">
        <w:rPr>
          <w:rFonts w:ascii="Avenir Book" w:hAnsi="Avenir Book"/>
          <w:szCs w:val="24"/>
        </w:rPr>
        <w:lastRenderedPageBreak/>
        <w:t>Gambians are getting more educated, media savvy and more demanding of their government. Similarly there is a concern regarding how can government communicate more effectively with the citizens of the country and how can it more effectively get its key messages across to the population.</w:t>
      </w:r>
    </w:p>
    <w:p w:rsidR="003A5A07" w:rsidRPr="00B06331" w:rsidRDefault="003A5A07" w:rsidP="003A5A07">
      <w:pPr>
        <w:jc w:val="both"/>
        <w:rPr>
          <w:rFonts w:ascii="Avenir Book" w:hAnsi="Avenir Book"/>
          <w:szCs w:val="24"/>
        </w:rPr>
      </w:pPr>
      <w:r w:rsidRPr="00B06331">
        <w:rPr>
          <w:rFonts w:ascii="Avenir Book" w:hAnsi="Avenir Book"/>
          <w:szCs w:val="24"/>
        </w:rPr>
        <w:t>Government will therefore continuously monitor and seek to understand public perceptions when developing policy and improving service delivery. This will result in better policies and service delivery.</w:t>
      </w:r>
    </w:p>
    <w:p w:rsidR="003A5A07" w:rsidRPr="00B06331" w:rsidRDefault="003A5A07" w:rsidP="003A5A07">
      <w:pPr>
        <w:jc w:val="both"/>
        <w:rPr>
          <w:rFonts w:ascii="Avenir Book" w:hAnsi="Avenir Book"/>
          <w:szCs w:val="24"/>
        </w:rPr>
      </w:pPr>
      <w:r w:rsidRPr="00B06331">
        <w:rPr>
          <w:rFonts w:ascii="Avenir Book" w:hAnsi="Avenir Book"/>
          <w:szCs w:val="24"/>
        </w:rPr>
        <w:t xml:space="preserve">In this </w:t>
      </w:r>
      <w:r w:rsidR="00E32BF2" w:rsidRPr="00B06331">
        <w:rPr>
          <w:rFonts w:ascii="Avenir Book" w:hAnsi="Avenir Book"/>
          <w:szCs w:val="24"/>
        </w:rPr>
        <w:t>respect,</w:t>
      </w:r>
      <w:r w:rsidRPr="00B06331">
        <w:rPr>
          <w:rFonts w:ascii="Avenir Book" w:hAnsi="Avenir Book"/>
          <w:szCs w:val="24"/>
        </w:rPr>
        <w:t xml:space="preserve"> government will pursue the following strategies during plan implementation to strengthen accountability and build mutual trust and transparency with citizens:</w:t>
      </w:r>
    </w:p>
    <w:p w:rsidR="003A5A07" w:rsidRPr="00B06331" w:rsidRDefault="003A5A07" w:rsidP="003715CF">
      <w:pPr>
        <w:pStyle w:val="ListParagraph"/>
        <w:numPr>
          <w:ilvl w:val="0"/>
          <w:numId w:val="3"/>
        </w:numPr>
        <w:jc w:val="both"/>
        <w:rPr>
          <w:rFonts w:ascii="Avenir Book" w:hAnsi="Avenir Book"/>
          <w:szCs w:val="24"/>
        </w:rPr>
      </w:pPr>
      <w:r w:rsidRPr="00B06331">
        <w:rPr>
          <w:rFonts w:ascii="Avenir Book" w:hAnsi="Avenir Book"/>
          <w:szCs w:val="24"/>
        </w:rPr>
        <w:t xml:space="preserve">All public institutions will be required to development and publish </w:t>
      </w:r>
      <w:r w:rsidRPr="00B06331">
        <w:rPr>
          <w:rFonts w:ascii="Avenir Book" w:hAnsi="Avenir Book"/>
          <w:szCs w:val="24"/>
          <w:u w:val="single"/>
        </w:rPr>
        <w:t xml:space="preserve">Service </w:t>
      </w:r>
      <w:r w:rsidR="001566A0" w:rsidRPr="00B06331">
        <w:rPr>
          <w:rFonts w:ascii="Avenir Book" w:hAnsi="Avenir Book"/>
          <w:szCs w:val="24"/>
          <w:u w:val="single"/>
        </w:rPr>
        <w:t>Charters</w:t>
      </w:r>
      <w:r w:rsidR="001566A0" w:rsidRPr="00B06331">
        <w:rPr>
          <w:rFonts w:ascii="Avenir Book" w:hAnsi="Avenir Book"/>
          <w:szCs w:val="24"/>
        </w:rPr>
        <w:t>, which</w:t>
      </w:r>
      <w:r w:rsidRPr="00B06331">
        <w:rPr>
          <w:rFonts w:ascii="Avenir Book" w:hAnsi="Avenir Book"/>
          <w:szCs w:val="24"/>
        </w:rPr>
        <w:t xml:space="preserve"> will outline the standards of service deliverycitizens can expect, within the first year of plan implementation. They will be tasked with conducting regular surveys – through citizens’ score cards - to gauge citizens’ perceptions to improve and enhance service delivery</w:t>
      </w:r>
    </w:p>
    <w:p w:rsidR="003A5A07" w:rsidRPr="00B06331" w:rsidRDefault="003A5A07" w:rsidP="003715CF">
      <w:pPr>
        <w:pStyle w:val="ListParagraph"/>
        <w:numPr>
          <w:ilvl w:val="0"/>
          <w:numId w:val="3"/>
        </w:numPr>
        <w:jc w:val="both"/>
        <w:rPr>
          <w:rFonts w:ascii="Avenir Book" w:hAnsi="Avenir Book"/>
          <w:szCs w:val="24"/>
        </w:rPr>
      </w:pPr>
      <w:r w:rsidRPr="00B06331">
        <w:rPr>
          <w:rFonts w:ascii="Avenir Book" w:hAnsi="Avenir Book"/>
          <w:szCs w:val="24"/>
        </w:rPr>
        <w:t xml:space="preserve">Government to better articulate its messages will undertake public campaigns on key policy issues and messages to mobilize public action. This will be done through simple messages using posters, banners, pamphlets, public education talks, radio and TV, </w:t>
      </w:r>
      <w:r w:rsidR="00E32BF2" w:rsidRPr="00B06331">
        <w:rPr>
          <w:rFonts w:ascii="Avenir Book" w:hAnsi="Avenir Book"/>
          <w:szCs w:val="24"/>
        </w:rPr>
        <w:t>etc.</w:t>
      </w:r>
      <w:r w:rsidRPr="00B06331">
        <w:rPr>
          <w:rFonts w:ascii="Avenir Book" w:hAnsi="Avenir Book"/>
          <w:szCs w:val="24"/>
        </w:rPr>
        <w:t>;</w:t>
      </w:r>
    </w:p>
    <w:p w:rsidR="003A5A07" w:rsidRPr="00B06331" w:rsidRDefault="003A5A07" w:rsidP="003715CF">
      <w:pPr>
        <w:pStyle w:val="ListParagraph"/>
        <w:numPr>
          <w:ilvl w:val="0"/>
          <w:numId w:val="3"/>
        </w:numPr>
        <w:jc w:val="both"/>
        <w:rPr>
          <w:rFonts w:ascii="Avenir Book" w:hAnsi="Avenir Book"/>
          <w:szCs w:val="24"/>
        </w:rPr>
      </w:pPr>
      <w:r w:rsidRPr="00B06331">
        <w:rPr>
          <w:rFonts w:ascii="Avenir Book" w:hAnsi="Avenir Book"/>
          <w:szCs w:val="24"/>
        </w:rPr>
        <w:t>Government will set up forums for citizens’ engagements and create opportunities for citizens to interphase with public officials at all levels. This will be done through town and village hall meetings, dialogue forums, panel discussions, focus group discussions and other mechanisms such as meet the people tours;</w:t>
      </w:r>
    </w:p>
    <w:p w:rsidR="003A5A07" w:rsidRPr="00B06331" w:rsidRDefault="003A5A07" w:rsidP="003715CF">
      <w:pPr>
        <w:pStyle w:val="ListParagraph"/>
        <w:numPr>
          <w:ilvl w:val="0"/>
          <w:numId w:val="3"/>
        </w:numPr>
        <w:jc w:val="both"/>
        <w:rPr>
          <w:rFonts w:ascii="Avenir Book" w:hAnsi="Avenir Book"/>
          <w:szCs w:val="24"/>
        </w:rPr>
      </w:pPr>
      <w:r w:rsidRPr="00B06331">
        <w:rPr>
          <w:rFonts w:ascii="Avenir Book" w:hAnsi="Avenir Book"/>
          <w:szCs w:val="24"/>
        </w:rPr>
        <w:t xml:space="preserve">Government will establish digital platforms to strengthen engagement. A growing number of Gambians have access to the Internet and social media/digital platforms (e.g. Facebook, Twitter, Instagram, Youtube, </w:t>
      </w:r>
      <w:r w:rsidR="00E32BF2" w:rsidRPr="00B06331">
        <w:rPr>
          <w:rFonts w:ascii="Avenir Book" w:hAnsi="Avenir Book"/>
          <w:szCs w:val="24"/>
        </w:rPr>
        <w:t>etc.</w:t>
      </w:r>
      <w:r w:rsidRPr="00B06331">
        <w:rPr>
          <w:rFonts w:ascii="Avenir Book" w:hAnsi="Avenir Book"/>
          <w:szCs w:val="24"/>
        </w:rPr>
        <w:t xml:space="preserve">). Social media was a valuable tool in the fight to end years of tyranny and dictatorship and must now be used in this new context to promote development. </w:t>
      </w:r>
    </w:p>
    <w:p w:rsidR="003A5A07" w:rsidRPr="00B06331" w:rsidRDefault="003A5A07" w:rsidP="003715CF">
      <w:pPr>
        <w:pStyle w:val="ListParagraph"/>
        <w:numPr>
          <w:ilvl w:val="0"/>
          <w:numId w:val="3"/>
        </w:numPr>
        <w:jc w:val="both"/>
        <w:rPr>
          <w:rFonts w:ascii="Avenir Book" w:hAnsi="Avenir Book"/>
          <w:szCs w:val="24"/>
        </w:rPr>
      </w:pPr>
      <w:r w:rsidRPr="00B06331">
        <w:rPr>
          <w:rFonts w:ascii="Avenir Book" w:hAnsi="Avenir Book"/>
          <w:szCs w:val="24"/>
        </w:rPr>
        <w:t>To build public interest on policy issues, government will establish a “Feedback Unit” whose purpose would be to build the social media platforms to ensure a more active and engaged public. A robust social media policy will be developed based international best practices and benchmarking.</w:t>
      </w:r>
    </w:p>
    <w:p w:rsidR="003A5A07" w:rsidRPr="00B06331" w:rsidRDefault="003A5A07" w:rsidP="003715CF">
      <w:pPr>
        <w:pStyle w:val="ListParagraph"/>
        <w:numPr>
          <w:ilvl w:val="0"/>
          <w:numId w:val="3"/>
        </w:numPr>
        <w:jc w:val="both"/>
        <w:rPr>
          <w:rFonts w:ascii="Avenir Book" w:hAnsi="Avenir Book"/>
          <w:szCs w:val="24"/>
        </w:rPr>
      </w:pPr>
      <w:r w:rsidRPr="00B06331">
        <w:rPr>
          <w:rFonts w:ascii="Avenir Book" w:hAnsi="Avenir Book"/>
          <w:szCs w:val="24"/>
        </w:rPr>
        <w:t>Government will endeavor to create a new mindset among public officials such that they have citizen-centric mindset and are ready and willing to respond positively to public concerns.</w:t>
      </w:r>
    </w:p>
    <w:bookmarkEnd w:id="186"/>
    <w:p w:rsidR="003A5A07" w:rsidRPr="00B06331" w:rsidRDefault="003A5A07" w:rsidP="003A5A07">
      <w:pPr>
        <w:jc w:val="both"/>
        <w:rPr>
          <w:rFonts w:ascii="Avenir Book" w:hAnsi="Avenir Book"/>
          <w:szCs w:val="24"/>
        </w:rPr>
      </w:pPr>
      <w:r w:rsidRPr="00B06331">
        <w:rPr>
          <w:rFonts w:ascii="Avenir Book" w:hAnsi="Avenir Book"/>
          <w:szCs w:val="24"/>
        </w:rPr>
        <w:t>The Ministry of Communication and Information will play a crucial central role in this and it will be appropriately retooled to ensure that it has the right capacities and capabilities. All sector ministries and government and public-sector institutions will be required to establish citizen-government engagement platforms.</w:t>
      </w:r>
    </w:p>
    <w:p w:rsidR="003A5A07" w:rsidRPr="00B06331" w:rsidRDefault="003A5A07" w:rsidP="003A5A07">
      <w:pPr>
        <w:rPr>
          <w:rFonts w:ascii="Avenir Book" w:hAnsi="Avenir Book"/>
          <w:sz w:val="24"/>
          <w:szCs w:val="24"/>
        </w:rPr>
      </w:pPr>
    </w:p>
    <w:p w:rsidR="003A5A07" w:rsidRPr="00B06331" w:rsidRDefault="003A5A07" w:rsidP="003A5A07">
      <w:pPr>
        <w:rPr>
          <w:rFonts w:ascii="Avenir Book" w:hAnsi="Avenir Book"/>
          <w:i/>
          <w:sz w:val="24"/>
          <w:szCs w:val="24"/>
        </w:rPr>
        <w:sectPr w:rsidR="003A5A07" w:rsidRPr="00B06331" w:rsidSect="003604CF">
          <w:pgSz w:w="12240" w:h="15840"/>
          <w:pgMar w:top="1440" w:right="1440" w:bottom="1440" w:left="1440" w:header="720" w:footer="720" w:gutter="0"/>
          <w:cols w:space="720"/>
          <w:docGrid w:linePitch="360"/>
        </w:sectPr>
      </w:pPr>
    </w:p>
    <w:p w:rsidR="003A5A07" w:rsidRPr="00B06331" w:rsidRDefault="003A5A07" w:rsidP="00F67563">
      <w:pPr>
        <w:pStyle w:val="Heading1"/>
        <w:jc w:val="center"/>
        <w:rPr>
          <w:rFonts w:ascii="Calibri" w:hAnsi="Calibri" w:cs="Calibri"/>
          <w:b/>
          <w:sz w:val="24"/>
          <w:szCs w:val="24"/>
        </w:rPr>
      </w:pPr>
      <w:bookmarkStart w:id="189" w:name="_Toc488689365"/>
      <w:bookmarkStart w:id="190" w:name="_Toc492364808"/>
      <w:r w:rsidRPr="00B06331">
        <w:rPr>
          <w:rFonts w:ascii="Calibri" w:hAnsi="Calibri" w:cs="Calibri"/>
          <w:b/>
          <w:sz w:val="24"/>
          <w:szCs w:val="24"/>
        </w:rPr>
        <w:lastRenderedPageBreak/>
        <w:t>Chapter 10: Resourcing the Plan</w:t>
      </w:r>
      <w:bookmarkEnd w:id="189"/>
      <w:bookmarkEnd w:id="190"/>
    </w:p>
    <w:p w:rsidR="003A5A07" w:rsidRPr="00B06331" w:rsidRDefault="003A5A07" w:rsidP="003A5A07">
      <w:pPr>
        <w:pStyle w:val="Heading2"/>
        <w:rPr>
          <w:rFonts w:ascii="Calibri" w:hAnsi="Calibri"/>
          <w:sz w:val="22"/>
          <w:szCs w:val="22"/>
        </w:rPr>
      </w:pPr>
      <w:bookmarkStart w:id="191" w:name="_Toc488689366"/>
      <w:bookmarkStart w:id="192" w:name="_Toc492364809"/>
      <w:r w:rsidRPr="00B06331">
        <w:rPr>
          <w:rFonts w:ascii="Calibri" w:hAnsi="Calibri"/>
          <w:sz w:val="22"/>
          <w:szCs w:val="22"/>
        </w:rPr>
        <w:t>10.1 Introduction</w:t>
      </w:r>
      <w:bookmarkEnd w:id="191"/>
      <w:bookmarkEnd w:id="192"/>
    </w:p>
    <w:p w:rsidR="003A5A07" w:rsidRPr="00B06331" w:rsidRDefault="003A5A07" w:rsidP="003A5A07">
      <w:pPr>
        <w:jc w:val="both"/>
      </w:pPr>
      <w:r w:rsidRPr="00B06331">
        <w:t>The Gambia’s eco</w:t>
      </w:r>
      <w:r w:rsidR="000354FE" w:rsidRPr="00B06331">
        <w:t xml:space="preserve">nomy is passing through a </w:t>
      </w:r>
      <w:r w:rsidRPr="00B06331">
        <w:t>challenging period with limited fiscal space to directly fund k</w:t>
      </w:r>
      <w:r w:rsidR="000354FE" w:rsidRPr="00B06331">
        <w:t>ey societal priorities by government</w:t>
      </w:r>
      <w:r w:rsidRPr="00B06331">
        <w:t>. It therefore expects the NDP to be initially largely funded by external assistance, with Government contribution increasing gradually as the net impacts of reforms kick in and the economy picks up and regains steam.</w:t>
      </w:r>
    </w:p>
    <w:p w:rsidR="003A5A07" w:rsidRPr="00B06331" w:rsidRDefault="0098194C" w:rsidP="003A5A07">
      <w:pPr>
        <w:jc w:val="both"/>
      </w:pPr>
      <w:r w:rsidRPr="00B06331">
        <w:t>Chapter 10</w:t>
      </w:r>
      <w:r w:rsidR="003A5A07" w:rsidRPr="00B06331">
        <w:t xml:space="preserve"> presents the domestic economic outlook, revenue projections and the cost of implementing the NDP. Based on </w:t>
      </w:r>
      <w:r w:rsidR="00E32BF2" w:rsidRPr="00B06331">
        <w:t>this,</w:t>
      </w:r>
      <w:r w:rsidR="003A5A07" w:rsidRPr="00B06331">
        <w:t xml:space="preserve"> the gaps in funding are identified and strategies mapped to close the gaps to ensure a fully funded plan.</w:t>
      </w:r>
    </w:p>
    <w:p w:rsidR="003A5A07" w:rsidRPr="00B06331" w:rsidRDefault="003A5A07" w:rsidP="003A5A07">
      <w:pPr>
        <w:pStyle w:val="Heading2"/>
        <w:rPr>
          <w:rFonts w:ascii="Calibri" w:hAnsi="Calibri" w:cs="Calibri"/>
          <w:sz w:val="22"/>
          <w:szCs w:val="22"/>
        </w:rPr>
      </w:pPr>
      <w:bookmarkStart w:id="193" w:name="_Toc487749574"/>
      <w:bookmarkStart w:id="194" w:name="_Toc487751304"/>
      <w:bookmarkStart w:id="195" w:name="_Toc488689367"/>
      <w:bookmarkStart w:id="196" w:name="_Toc492364810"/>
      <w:r w:rsidRPr="00B06331">
        <w:rPr>
          <w:rFonts w:ascii="Calibri" w:hAnsi="Calibri" w:cs="Calibri"/>
          <w:sz w:val="22"/>
          <w:szCs w:val="22"/>
        </w:rPr>
        <w:t>10.2 Domestic Economic Developments and Outlook</w:t>
      </w:r>
      <w:bookmarkEnd w:id="193"/>
      <w:bookmarkEnd w:id="194"/>
      <w:bookmarkEnd w:id="195"/>
      <w:bookmarkEnd w:id="196"/>
    </w:p>
    <w:p w:rsidR="003A5A07" w:rsidRPr="00B06331" w:rsidRDefault="003A5A07" w:rsidP="003A5A07">
      <w:pPr>
        <w:pStyle w:val="Default"/>
        <w:spacing w:line="276" w:lineRule="auto"/>
        <w:jc w:val="both"/>
        <w:rPr>
          <w:rFonts w:ascii="Calibri" w:eastAsia="Arial Unicode MS" w:hAnsi="Calibri" w:cs="Calibri"/>
          <w:sz w:val="22"/>
          <w:szCs w:val="22"/>
        </w:rPr>
      </w:pPr>
      <w:r w:rsidRPr="00B06331">
        <w:rPr>
          <w:rFonts w:ascii="Calibri" w:eastAsia="Arial Unicode MS" w:hAnsi="Calibri" w:cs="Calibri"/>
          <w:sz w:val="22"/>
          <w:szCs w:val="22"/>
        </w:rPr>
        <w:t xml:space="preserve">The Economy recovered in 2015 from the shocks of the Ebola outbreak in the sub-region and the late and poorly distributed rainfall in 2014. Consequently, Real GDP growth rebounded to 4.3 per cent in 2015 from 0.9 per cent in 2014.  Improved economic activities continued in 2016 with growth expected to be within the long-term trend of 4-6 per cent. However, recent events after the Presidential elections have dampened economic activities. Almost two months of tourism revenues were lost in an industry that typically lasts for six (6) months. Furthermore, limited availability of foreign exchange and weak agricultural output impacted economic growth. </w:t>
      </w:r>
    </w:p>
    <w:p w:rsidR="003A5A07" w:rsidRPr="00B06331" w:rsidRDefault="003A5A07" w:rsidP="003A5A07">
      <w:pPr>
        <w:pStyle w:val="Default"/>
        <w:spacing w:line="276" w:lineRule="auto"/>
        <w:jc w:val="both"/>
        <w:rPr>
          <w:rFonts w:ascii="Cambria" w:eastAsia="Arial Unicode MS" w:hAnsi="Cambria" w:cs="Cambria"/>
          <w:sz w:val="22"/>
          <w:szCs w:val="22"/>
        </w:rPr>
      </w:pPr>
    </w:p>
    <w:p w:rsidR="003A5A07" w:rsidRPr="00B06331" w:rsidRDefault="00F67563" w:rsidP="003A5A07">
      <w:pPr>
        <w:jc w:val="center"/>
        <w:rPr>
          <w:rFonts w:cs="Calibri"/>
          <w:b/>
          <w:i/>
          <w:sz w:val="20"/>
        </w:rPr>
      </w:pPr>
      <w:r w:rsidRPr="00B06331">
        <w:rPr>
          <w:rFonts w:cs="Calibri"/>
          <w:b/>
          <w:sz w:val="20"/>
        </w:rPr>
        <w:t>Table 10</w:t>
      </w:r>
      <w:r w:rsidR="003A5A07" w:rsidRPr="00B06331">
        <w:rPr>
          <w:rFonts w:cs="Calibri"/>
          <w:b/>
          <w:sz w:val="20"/>
        </w:rPr>
        <w:t>.1: Key Macroeconomic Projections</w:t>
      </w:r>
    </w:p>
    <w:p w:rsidR="003A5A07" w:rsidRPr="00B06331" w:rsidRDefault="003A5A07" w:rsidP="003A5A07">
      <w:pPr>
        <w:jc w:val="center"/>
        <w:rPr>
          <w:noProof/>
        </w:rPr>
      </w:pPr>
      <w:r w:rsidRPr="00B06331">
        <w:rPr>
          <w:noProof/>
        </w:rPr>
        <w:drawing>
          <wp:inline distT="0" distB="0" distL="0" distR="0">
            <wp:extent cx="4970780" cy="258572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04" b="68587"/>
                    <a:stretch>
                      <a:fillRect/>
                    </a:stretch>
                  </pic:blipFill>
                  <pic:spPr bwMode="auto">
                    <a:xfrm>
                      <a:off x="0" y="0"/>
                      <a:ext cx="4970780" cy="2585720"/>
                    </a:xfrm>
                    <a:prstGeom prst="rect">
                      <a:avLst/>
                    </a:prstGeom>
                    <a:noFill/>
                    <a:ln>
                      <a:noFill/>
                    </a:ln>
                  </pic:spPr>
                </pic:pic>
              </a:graphicData>
            </a:graphic>
          </wp:inline>
        </w:drawing>
      </w:r>
    </w:p>
    <w:p w:rsidR="003A5A07" w:rsidRPr="00B06331" w:rsidRDefault="003A5A07" w:rsidP="003A5A07">
      <w:pPr>
        <w:jc w:val="both"/>
        <w:rPr>
          <w:b/>
          <w:i/>
          <w:noProof/>
          <w:sz w:val="20"/>
        </w:rPr>
      </w:pPr>
      <w:r w:rsidRPr="00B06331">
        <w:rPr>
          <w:b/>
          <w:i/>
          <w:noProof/>
          <w:sz w:val="20"/>
        </w:rPr>
        <w:t>Source: GBOS, IMF</w:t>
      </w:r>
    </w:p>
    <w:p w:rsidR="003A5A07" w:rsidRPr="00B06331" w:rsidRDefault="003A5A07" w:rsidP="003A5A07">
      <w:pPr>
        <w:pStyle w:val="Heading2"/>
        <w:rPr>
          <w:rFonts w:ascii="Calibri" w:hAnsi="Calibri" w:cs="Calibri"/>
          <w:sz w:val="22"/>
          <w:szCs w:val="22"/>
        </w:rPr>
      </w:pPr>
      <w:bookmarkStart w:id="197" w:name="_Toc487751312"/>
    </w:p>
    <w:p w:rsidR="003A5A07" w:rsidRPr="00B06331" w:rsidRDefault="003A5A07" w:rsidP="003A5A07">
      <w:pPr>
        <w:pStyle w:val="Heading2"/>
        <w:rPr>
          <w:rFonts w:ascii="Calibri" w:hAnsi="Calibri" w:cs="Calibri"/>
          <w:sz w:val="22"/>
          <w:szCs w:val="22"/>
        </w:rPr>
      </w:pPr>
      <w:bookmarkStart w:id="198" w:name="_Toc488689368"/>
      <w:bookmarkStart w:id="199" w:name="_Toc492364811"/>
      <w:r w:rsidRPr="00B06331">
        <w:rPr>
          <w:rFonts w:ascii="Calibri" w:hAnsi="Calibri" w:cs="Calibri"/>
          <w:sz w:val="22"/>
          <w:szCs w:val="22"/>
        </w:rPr>
        <w:lastRenderedPageBreak/>
        <w:t>10.3 Forecasted Revenue for 2018-2020</w:t>
      </w:r>
      <w:bookmarkEnd w:id="197"/>
      <w:bookmarkEnd w:id="198"/>
      <w:bookmarkEnd w:id="199"/>
    </w:p>
    <w:p w:rsidR="003A5A07" w:rsidRPr="00B06331" w:rsidRDefault="003A5A07" w:rsidP="003A5A07">
      <w:pPr>
        <w:jc w:val="both"/>
        <w:rPr>
          <w:rFonts w:cs="Calibri"/>
        </w:rPr>
      </w:pPr>
      <w:r w:rsidRPr="00B06331">
        <w:rPr>
          <w:rFonts w:cs="Calibri"/>
        </w:rPr>
        <w:t>The medium-term forecasting for the 2017-2020 assumes no major policy change with regards to new tax measures. It relies mainly on the buoyancy of the economy as confidence is restored back. Furthermore, some businesses closed in the previous years are expected to resume business. An example is the betting and entertainment industry.</w:t>
      </w:r>
    </w:p>
    <w:p w:rsidR="003A5A07" w:rsidRPr="00B06331" w:rsidRDefault="003A5A07" w:rsidP="003A5A07">
      <w:pPr>
        <w:jc w:val="center"/>
        <w:rPr>
          <w:rFonts w:cs="Calibri"/>
          <w:b/>
        </w:rPr>
      </w:pPr>
      <w:r w:rsidRPr="00B06331">
        <w:rPr>
          <w:rFonts w:cs="Calibri"/>
          <w:b/>
        </w:rPr>
        <w:t xml:space="preserve">Table </w:t>
      </w:r>
      <w:r w:rsidR="00F67563" w:rsidRPr="00B06331">
        <w:rPr>
          <w:rFonts w:cs="Calibri"/>
          <w:b/>
        </w:rPr>
        <w:t>10</w:t>
      </w:r>
      <w:r w:rsidRPr="00B06331">
        <w:rPr>
          <w:rFonts w:cs="Calibri"/>
          <w:b/>
        </w:rPr>
        <w:t>.2: Medium Term Revenue Projections</w:t>
      </w:r>
    </w:p>
    <w:tbl>
      <w:tblPr>
        <w:tblStyle w:val="GridTable4-Accent11"/>
        <w:tblW w:w="7335" w:type="dxa"/>
        <w:tblLook w:val="04A0"/>
      </w:tblPr>
      <w:tblGrid>
        <w:gridCol w:w="3480"/>
        <w:gridCol w:w="960"/>
        <w:gridCol w:w="965"/>
        <w:gridCol w:w="965"/>
        <w:gridCol w:w="965"/>
      </w:tblGrid>
      <w:tr w:rsidR="003A5A07" w:rsidRPr="00B06331" w:rsidTr="004143E3">
        <w:trPr>
          <w:cnfStyle w:val="100000000000"/>
          <w:trHeight w:val="300"/>
        </w:trPr>
        <w:tc>
          <w:tcPr>
            <w:cnfStyle w:val="001000000000"/>
            <w:tcW w:w="3480" w:type="dxa"/>
            <w:noWrap/>
            <w:hideMark/>
          </w:tcPr>
          <w:p w:rsidR="003A5A07" w:rsidRPr="00B06331" w:rsidRDefault="003A5A07" w:rsidP="003604CF">
            <w:pPr>
              <w:spacing w:after="0" w:line="240" w:lineRule="auto"/>
              <w:rPr>
                <w:rFonts w:eastAsia="Times New Roman" w:cs="Calibri"/>
                <w:b w:val="0"/>
                <w:bCs w:val="0"/>
                <w:color w:val="000000"/>
              </w:rPr>
            </w:pPr>
          </w:p>
        </w:tc>
        <w:tc>
          <w:tcPr>
            <w:tcW w:w="960" w:type="dxa"/>
            <w:noWrap/>
            <w:hideMark/>
          </w:tcPr>
          <w:p w:rsidR="003A5A07" w:rsidRPr="00B06331" w:rsidRDefault="003A5A07" w:rsidP="003604CF">
            <w:pPr>
              <w:spacing w:after="0" w:line="240" w:lineRule="auto"/>
              <w:jc w:val="right"/>
              <w:cnfStyle w:val="100000000000"/>
              <w:rPr>
                <w:rFonts w:eastAsia="Times New Roman" w:cs="Calibri"/>
                <w:b w:val="0"/>
                <w:bCs w:val="0"/>
                <w:color w:val="000000"/>
              </w:rPr>
            </w:pPr>
            <w:r w:rsidRPr="00B06331">
              <w:rPr>
                <w:rFonts w:eastAsia="Times New Roman" w:cs="Calibri"/>
                <w:b w:val="0"/>
                <w:bCs w:val="0"/>
                <w:color w:val="000000"/>
              </w:rPr>
              <w:t>2017</w:t>
            </w:r>
          </w:p>
        </w:tc>
        <w:tc>
          <w:tcPr>
            <w:tcW w:w="965" w:type="dxa"/>
            <w:noWrap/>
            <w:hideMark/>
          </w:tcPr>
          <w:p w:rsidR="003A5A07" w:rsidRPr="00B06331" w:rsidRDefault="003A5A07" w:rsidP="003604CF">
            <w:pPr>
              <w:spacing w:after="0" w:line="240" w:lineRule="auto"/>
              <w:jc w:val="right"/>
              <w:cnfStyle w:val="100000000000"/>
              <w:rPr>
                <w:rFonts w:eastAsia="Times New Roman" w:cs="Calibri"/>
                <w:b w:val="0"/>
                <w:bCs w:val="0"/>
                <w:color w:val="000000"/>
              </w:rPr>
            </w:pPr>
            <w:r w:rsidRPr="00B06331">
              <w:rPr>
                <w:rFonts w:eastAsia="Times New Roman" w:cs="Calibri"/>
                <w:b w:val="0"/>
                <w:bCs w:val="0"/>
                <w:color w:val="000000"/>
              </w:rPr>
              <w:t>2018</w:t>
            </w:r>
          </w:p>
        </w:tc>
        <w:tc>
          <w:tcPr>
            <w:tcW w:w="965" w:type="dxa"/>
            <w:noWrap/>
            <w:hideMark/>
          </w:tcPr>
          <w:p w:rsidR="003A5A07" w:rsidRPr="00B06331" w:rsidRDefault="003A5A07" w:rsidP="003604CF">
            <w:pPr>
              <w:spacing w:after="0" w:line="240" w:lineRule="auto"/>
              <w:jc w:val="right"/>
              <w:cnfStyle w:val="100000000000"/>
              <w:rPr>
                <w:rFonts w:eastAsia="Times New Roman" w:cs="Calibri"/>
                <w:b w:val="0"/>
                <w:bCs w:val="0"/>
                <w:color w:val="000000"/>
              </w:rPr>
            </w:pPr>
            <w:r w:rsidRPr="00B06331">
              <w:rPr>
                <w:rFonts w:eastAsia="Times New Roman" w:cs="Calibri"/>
                <w:b w:val="0"/>
                <w:bCs w:val="0"/>
                <w:color w:val="000000"/>
              </w:rPr>
              <w:t>2019</w:t>
            </w:r>
          </w:p>
        </w:tc>
        <w:tc>
          <w:tcPr>
            <w:tcW w:w="965" w:type="dxa"/>
            <w:noWrap/>
            <w:hideMark/>
          </w:tcPr>
          <w:p w:rsidR="003A5A07" w:rsidRPr="00B06331" w:rsidRDefault="003A5A07" w:rsidP="003604CF">
            <w:pPr>
              <w:spacing w:after="0" w:line="240" w:lineRule="auto"/>
              <w:jc w:val="right"/>
              <w:cnfStyle w:val="100000000000"/>
              <w:rPr>
                <w:rFonts w:eastAsia="Times New Roman" w:cs="Calibri"/>
                <w:b w:val="0"/>
                <w:bCs w:val="0"/>
                <w:color w:val="000000"/>
              </w:rPr>
            </w:pPr>
            <w:r w:rsidRPr="00B06331">
              <w:rPr>
                <w:rFonts w:eastAsia="Times New Roman" w:cs="Calibri"/>
                <w:b w:val="0"/>
                <w:bCs w:val="0"/>
                <w:color w:val="000000"/>
              </w:rPr>
              <w:t>2020</w:t>
            </w:r>
          </w:p>
        </w:tc>
      </w:tr>
      <w:tr w:rsidR="003A5A07" w:rsidRPr="00B06331" w:rsidTr="004143E3">
        <w:trPr>
          <w:cnfStyle w:val="000000100000"/>
          <w:trHeight w:val="300"/>
        </w:trPr>
        <w:tc>
          <w:tcPr>
            <w:cnfStyle w:val="001000000000"/>
            <w:tcW w:w="3480" w:type="dxa"/>
            <w:noWrap/>
            <w:hideMark/>
          </w:tcPr>
          <w:p w:rsidR="003A5A07" w:rsidRPr="00B06331" w:rsidRDefault="003A5A07" w:rsidP="003604CF">
            <w:pPr>
              <w:spacing w:after="0" w:line="240" w:lineRule="auto"/>
              <w:rPr>
                <w:rFonts w:eastAsia="Times New Roman" w:cs="Calibri"/>
                <w:b w:val="0"/>
                <w:bCs w:val="0"/>
                <w:color w:val="000000"/>
              </w:rPr>
            </w:pPr>
            <w:r w:rsidRPr="00B06331">
              <w:rPr>
                <w:rFonts w:eastAsia="Times New Roman" w:cs="Calibri"/>
                <w:b w:val="0"/>
                <w:bCs w:val="0"/>
                <w:color w:val="000000"/>
              </w:rPr>
              <w:t xml:space="preserve">Revenue </w:t>
            </w:r>
          </w:p>
        </w:tc>
        <w:tc>
          <w:tcPr>
            <w:tcW w:w="960"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12,243</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12,937</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14,054</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14,974</w:t>
            </w:r>
          </w:p>
        </w:tc>
      </w:tr>
      <w:tr w:rsidR="003A5A07" w:rsidRPr="00B06331" w:rsidTr="004143E3">
        <w:trPr>
          <w:trHeight w:val="300"/>
        </w:trPr>
        <w:tc>
          <w:tcPr>
            <w:cnfStyle w:val="001000000000"/>
            <w:tcW w:w="3480" w:type="dxa"/>
            <w:noWrap/>
            <w:hideMark/>
          </w:tcPr>
          <w:p w:rsidR="003A5A07" w:rsidRPr="00B06331" w:rsidRDefault="003A5A07" w:rsidP="00D921C6">
            <w:pPr>
              <w:spacing w:after="0" w:line="240" w:lineRule="auto"/>
              <w:ind w:firstLineChars="100" w:firstLine="200"/>
              <w:rPr>
                <w:rFonts w:eastAsia="Times New Roman" w:cs="Calibri"/>
                <w:b w:val="0"/>
                <w:bCs w:val="0"/>
                <w:color w:val="000000"/>
              </w:rPr>
            </w:pPr>
            <w:r w:rsidRPr="00B06331">
              <w:rPr>
                <w:rFonts w:eastAsia="Times New Roman" w:cs="Calibri"/>
                <w:b w:val="0"/>
                <w:bCs w:val="0"/>
                <w:color w:val="000000"/>
              </w:rPr>
              <w:t xml:space="preserve">Tax Revenue </w:t>
            </w:r>
          </w:p>
        </w:tc>
        <w:tc>
          <w:tcPr>
            <w:tcW w:w="960"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8,103</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9,177</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10,397</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11,540</w:t>
            </w:r>
          </w:p>
        </w:tc>
      </w:tr>
      <w:tr w:rsidR="003A5A07" w:rsidRPr="00B06331" w:rsidTr="004143E3">
        <w:trPr>
          <w:cnfStyle w:val="000000100000"/>
          <w:trHeight w:val="300"/>
        </w:trPr>
        <w:tc>
          <w:tcPr>
            <w:cnfStyle w:val="001000000000"/>
            <w:tcW w:w="3480" w:type="dxa"/>
            <w:noWrap/>
            <w:hideMark/>
          </w:tcPr>
          <w:p w:rsidR="003A5A07" w:rsidRPr="00B06331" w:rsidRDefault="003A5A07" w:rsidP="003604CF">
            <w:pPr>
              <w:spacing w:after="0" w:line="240" w:lineRule="auto"/>
              <w:ind w:firstLineChars="300" w:firstLine="602"/>
              <w:rPr>
                <w:rFonts w:eastAsia="Times New Roman" w:cs="Calibri"/>
                <w:color w:val="000000"/>
              </w:rPr>
            </w:pPr>
            <w:r w:rsidRPr="00B06331">
              <w:rPr>
                <w:rFonts w:eastAsia="Times New Roman" w:cs="Calibri"/>
                <w:color w:val="000000"/>
              </w:rPr>
              <w:t>Direct Taxes</w:t>
            </w:r>
          </w:p>
        </w:tc>
        <w:tc>
          <w:tcPr>
            <w:tcW w:w="960"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1,876</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2,202</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2,586</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2,791</w:t>
            </w:r>
          </w:p>
        </w:tc>
      </w:tr>
      <w:tr w:rsidR="003A5A07" w:rsidRPr="00B06331" w:rsidTr="004143E3">
        <w:trPr>
          <w:trHeight w:val="300"/>
        </w:trPr>
        <w:tc>
          <w:tcPr>
            <w:cnfStyle w:val="001000000000"/>
            <w:tcW w:w="3480" w:type="dxa"/>
            <w:noWrap/>
            <w:hideMark/>
          </w:tcPr>
          <w:p w:rsidR="003A5A07" w:rsidRPr="00B06331" w:rsidRDefault="003A5A07" w:rsidP="003604CF">
            <w:pPr>
              <w:spacing w:after="0" w:line="240" w:lineRule="auto"/>
              <w:ind w:firstLineChars="300" w:firstLine="602"/>
              <w:rPr>
                <w:rFonts w:eastAsia="Times New Roman" w:cs="Calibri"/>
                <w:color w:val="000000"/>
              </w:rPr>
            </w:pPr>
            <w:r w:rsidRPr="00B06331">
              <w:rPr>
                <w:rFonts w:eastAsia="Times New Roman" w:cs="Calibri"/>
                <w:color w:val="000000"/>
              </w:rPr>
              <w:t>Indirect Taxes</w:t>
            </w:r>
          </w:p>
        </w:tc>
        <w:tc>
          <w:tcPr>
            <w:tcW w:w="960"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6,227</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6,974</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7,811</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8,748</w:t>
            </w:r>
          </w:p>
        </w:tc>
      </w:tr>
      <w:tr w:rsidR="003A5A07" w:rsidRPr="00B06331" w:rsidTr="004143E3">
        <w:trPr>
          <w:cnfStyle w:val="000000100000"/>
          <w:trHeight w:val="300"/>
        </w:trPr>
        <w:tc>
          <w:tcPr>
            <w:cnfStyle w:val="001000000000"/>
            <w:tcW w:w="3480" w:type="dxa"/>
            <w:noWrap/>
            <w:hideMark/>
          </w:tcPr>
          <w:p w:rsidR="003A5A07" w:rsidRPr="00B06331" w:rsidRDefault="003A5A07" w:rsidP="003604CF">
            <w:pPr>
              <w:spacing w:after="0" w:line="240" w:lineRule="auto"/>
              <w:ind w:firstLineChars="400" w:firstLine="803"/>
              <w:rPr>
                <w:rFonts w:eastAsia="Times New Roman" w:cs="Calibri"/>
                <w:color w:val="000000"/>
              </w:rPr>
            </w:pPr>
            <w:r w:rsidRPr="00B06331">
              <w:rPr>
                <w:rFonts w:eastAsia="Times New Roman" w:cs="Calibri"/>
                <w:color w:val="000000"/>
              </w:rPr>
              <w:t>Tax on International trade</w:t>
            </w:r>
          </w:p>
        </w:tc>
        <w:tc>
          <w:tcPr>
            <w:tcW w:w="960"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4,312</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4,829</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5,409</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6,058</w:t>
            </w:r>
          </w:p>
        </w:tc>
      </w:tr>
      <w:tr w:rsidR="003A5A07" w:rsidRPr="00B06331" w:rsidTr="004143E3">
        <w:trPr>
          <w:trHeight w:val="300"/>
        </w:trPr>
        <w:tc>
          <w:tcPr>
            <w:cnfStyle w:val="001000000000"/>
            <w:tcW w:w="3480" w:type="dxa"/>
            <w:noWrap/>
            <w:hideMark/>
          </w:tcPr>
          <w:p w:rsidR="003A5A07" w:rsidRPr="00B06331" w:rsidRDefault="003A5A07" w:rsidP="003604CF">
            <w:pPr>
              <w:spacing w:after="0" w:line="240" w:lineRule="auto"/>
              <w:ind w:firstLineChars="400" w:firstLine="803"/>
              <w:rPr>
                <w:rFonts w:eastAsia="Times New Roman" w:cs="Calibri"/>
                <w:color w:val="000000"/>
              </w:rPr>
            </w:pPr>
            <w:r w:rsidRPr="00B06331">
              <w:rPr>
                <w:rFonts w:eastAsia="Times New Roman" w:cs="Calibri"/>
                <w:color w:val="000000"/>
              </w:rPr>
              <w:t xml:space="preserve">Tax on goods and services </w:t>
            </w:r>
          </w:p>
        </w:tc>
        <w:tc>
          <w:tcPr>
            <w:tcW w:w="960"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1,915</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2,145</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2,402</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2,690</w:t>
            </w:r>
          </w:p>
        </w:tc>
      </w:tr>
      <w:tr w:rsidR="003A5A07" w:rsidRPr="00B06331" w:rsidTr="004143E3">
        <w:trPr>
          <w:cnfStyle w:val="000000100000"/>
          <w:trHeight w:val="300"/>
        </w:trPr>
        <w:tc>
          <w:tcPr>
            <w:cnfStyle w:val="001000000000"/>
            <w:tcW w:w="3480" w:type="dxa"/>
            <w:noWrap/>
            <w:hideMark/>
          </w:tcPr>
          <w:p w:rsidR="003A5A07" w:rsidRPr="00B06331" w:rsidRDefault="003A5A07" w:rsidP="00D921C6">
            <w:pPr>
              <w:spacing w:after="0" w:line="240" w:lineRule="auto"/>
              <w:ind w:firstLineChars="100" w:firstLine="200"/>
              <w:rPr>
                <w:rFonts w:eastAsia="Times New Roman" w:cs="Calibri"/>
                <w:b w:val="0"/>
                <w:bCs w:val="0"/>
                <w:color w:val="000000"/>
              </w:rPr>
            </w:pPr>
            <w:r w:rsidRPr="00B06331">
              <w:rPr>
                <w:rFonts w:eastAsia="Times New Roman" w:cs="Calibri"/>
                <w:b w:val="0"/>
                <w:bCs w:val="0"/>
                <w:color w:val="000000"/>
              </w:rPr>
              <w:t>Nontax Revenue</w:t>
            </w:r>
          </w:p>
        </w:tc>
        <w:tc>
          <w:tcPr>
            <w:tcW w:w="960"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957</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606</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669</w:t>
            </w:r>
          </w:p>
        </w:tc>
        <w:tc>
          <w:tcPr>
            <w:tcW w:w="965" w:type="dxa"/>
            <w:noWrap/>
            <w:hideMark/>
          </w:tcPr>
          <w:p w:rsidR="003A5A07" w:rsidRPr="00B06331" w:rsidRDefault="003A5A07" w:rsidP="003604CF">
            <w:pPr>
              <w:spacing w:after="0" w:line="240" w:lineRule="auto"/>
              <w:jc w:val="center"/>
              <w:cnfStyle w:val="000000100000"/>
              <w:rPr>
                <w:rFonts w:eastAsia="Times New Roman" w:cs="Calibri"/>
                <w:color w:val="000000"/>
              </w:rPr>
            </w:pPr>
            <w:r w:rsidRPr="00B06331">
              <w:rPr>
                <w:rFonts w:eastAsia="Times New Roman" w:cs="Calibri"/>
                <w:color w:val="000000"/>
              </w:rPr>
              <w:t>735</w:t>
            </w:r>
          </w:p>
        </w:tc>
      </w:tr>
      <w:tr w:rsidR="003A5A07" w:rsidRPr="00B06331" w:rsidTr="004143E3">
        <w:trPr>
          <w:trHeight w:val="300"/>
        </w:trPr>
        <w:tc>
          <w:tcPr>
            <w:cnfStyle w:val="001000000000"/>
            <w:tcW w:w="3480" w:type="dxa"/>
            <w:noWrap/>
            <w:hideMark/>
          </w:tcPr>
          <w:p w:rsidR="003A5A07" w:rsidRPr="00B06331" w:rsidRDefault="003A5A07" w:rsidP="003604CF">
            <w:pPr>
              <w:spacing w:after="0" w:line="240" w:lineRule="auto"/>
              <w:rPr>
                <w:rFonts w:eastAsia="Times New Roman" w:cs="Calibri"/>
                <w:b w:val="0"/>
                <w:bCs w:val="0"/>
                <w:color w:val="000000"/>
              </w:rPr>
            </w:pPr>
            <w:r w:rsidRPr="00B06331">
              <w:rPr>
                <w:rFonts w:eastAsia="Times New Roman" w:cs="Calibri"/>
                <w:b w:val="0"/>
                <w:bCs w:val="0"/>
                <w:color w:val="000000"/>
              </w:rPr>
              <w:t xml:space="preserve">Grants </w:t>
            </w:r>
          </w:p>
        </w:tc>
        <w:tc>
          <w:tcPr>
            <w:tcW w:w="960"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3,183</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3,154</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2,988</w:t>
            </w:r>
          </w:p>
        </w:tc>
        <w:tc>
          <w:tcPr>
            <w:tcW w:w="965" w:type="dxa"/>
            <w:noWrap/>
            <w:hideMark/>
          </w:tcPr>
          <w:p w:rsidR="003A5A07" w:rsidRPr="00B06331" w:rsidRDefault="003A5A07" w:rsidP="003604CF">
            <w:pPr>
              <w:spacing w:after="0" w:line="240" w:lineRule="auto"/>
              <w:jc w:val="center"/>
              <w:cnfStyle w:val="000000000000"/>
              <w:rPr>
                <w:rFonts w:eastAsia="Times New Roman" w:cs="Calibri"/>
                <w:color w:val="000000"/>
              </w:rPr>
            </w:pPr>
            <w:r w:rsidRPr="00B06331">
              <w:rPr>
                <w:rFonts w:eastAsia="Times New Roman" w:cs="Calibri"/>
                <w:color w:val="000000"/>
              </w:rPr>
              <w:t>2,699</w:t>
            </w:r>
          </w:p>
        </w:tc>
      </w:tr>
    </w:tbl>
    <w:p w:rsidR="003A5A07" w:rsidRPr="00B06331" w:rsidRDefault="003A5A07" w:rsidP="003A5A07">
      <w:pPr>
        <w:rPr>
          <w:rFonts w:ascii="Cambria" w:hAnsi="Cambria" w:cs="Cambria"/>
        </w:rPr>
      </w:pPr>
    </w:p>
    <w:p w:rsidR="003A5A07" w:rsidRPr="00B06331" w:rsidRDefault="003A5A07" w:rsidP="003A5A07">
      <w:pPr>
        <w:rPr>
          <w:rFonts w:cs="Cambria"/>
        </w:rPr>
      </w:pPr>
      <w:r w:rsidRPr="00B06331">
        <w:rPr>
          <w:rFonts w:cs="Cambria"/>
        </w:rPr>
        <w:t xml:space="preserve">Revenue projections in table 7.2 show revenues increasing from 12 Billion Dalasi in 2017 to 15 Billion in 2020, which represents a growth of between 25 - 30% over the plan period. </w:t>
      </w:r>
    </w:p>
    <w:p w:rsidR="000354FE" w:rsidRPr="00B06331" w:rsidRDefault="003A5A07" w:rsidP="003A5A07">
      <w:pPr>
        <w:pStyle w:val="Heading2"/>
        <w:rPr>
          <w:rFonts w:ascii="Calibri" w:hAnsi="Calibri" w:cs="Calibri"/>
          <w:sz w:val="22"/>
          <w:szCs w:val="22"/>
        </w:rPr>
      </w:pPr>
      <w:bookmarkStart w:id="200" w:name="_Toc488689369"/>
      <w:bookmarkStart w:id="201" w:name="_Toc492364812"/>
      <w:r w:rsidRPr="00B06331">
        <w:rPr>
          <w:rFonts w:ascii="Calibri" w:hAnsi="Calibri" w:cs="Calibri"/>
          <w:sz w:val="22"/>
          <w:szCs w:val="22"/>
        </w:rPr>
        <w:t>10.4 Costing the Plan and the Funding Gap</w:t>
      </w:r>
      <w:bookmarkEnd w:id="200"/>
      <w:bookmarkEnd w:id="201"/>
    </w:p>
    <w:p w:rsidR="000354FE" w:rsidRPr="00B06331" w:rsidRDefault="000354FE" w:rsidP="000354FE">
      <w:pPr>
        <w:rPr>
          <w:b/>
        </w:rPr>
      </w:pPr>
      <w:r w:rsidRPr="00B06331">
        <w:rPr>
          <w:b/>
        </w:rPr>
        <w:t>Table 10.2: Global and disaggregated cost of the NDP</w:t>
      </w:r>
    </w:p>
    <w:p w:rsidR="003A5A07" w:rsidRPr="00B06331" w:rsidRDefault="007C2D92" w:rsidP="007C2D92">
      <w:pPr>
        <w:pStyle w:val="ListParagraph"/>
        <w:ind w:left="360"/>
        <w:rPr>
          <w:rFonts w:ascii="Avenir Book" w:hAnsi="Avenir Book"/>
          <w:sz w:val="24"/>
          <w:szCs w:val="24"/>
        </w:rPr>
      </w:pPr>
      <w:r w:rsidRPr="00B06331">
        <w:rPr>
          <w:noProof/>
        </w:rPr>
        <w:drawing>
          <wp:inline distT="0" distB="0" distL="0" distR="0">
            <wp:extent cx="6323512" cy="2846070"/>
            <wp:effectExtent l="0" t="0" r="127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70" cy="2846591"/>
                    </a:xfrm>
                    <a:prstGeom prst="rect">
                      <a:avLst/>
                    </a:prstGeom>
                    <a:noFill/>
                    <a:ln>
                      <a:noFill/>
                    </a:ln>
                  </pic:spPr>
                </pic:pic>
              </a:graphicData>
            </a:graphic>
          </wp:inline>
        </w:drawing>
      </w:r>
    </w:p>
    <w:p w:rsidR="004143E3" w:rsidRPr="00B06331" w:rsidRDefault="004143E3" w:rsidP="003A5A07">
      <w:pPr>
        <w:pStyle w:val="ListParagraph"/>
        <w:ind w:left="0"/>
        <w:rPr>
          <w:rFonts w:ascii="Avenir Book" w:hAnsi="Avenir Book"/>
          <w:sz w:val="24"/>
          <w:szCs w:val="24"/>
        </w:rPr>
      </w:pPr>
    </w:p>
    <w:p w:rsidR="004143E3" w:rsidRPr="00B06331" w:rsidRDefault="004143E3" w:rsidP="003A5A07">
      <w:pPr>
        <w:pStyle w:val="ListParagraph"/>
        <w:ind w:left="0"/>
        <w:rPr>
          <w:rFonts w:ascii="Avenir Book" w:hAnsi="Avenir Book"/>
          <w:sz w:val="24"/>
          <w:szCs w:val="24"/>
        </w:rPr>
      </w:pPr>
    </w:p>
    <w:p w:rsidR="00F67563" w:rsidRPr="00B06331" w:rsidRDefault="003A5A07" w:rsidP="000354FE">
      <w:pPr>
        <w:rPr>
          <w:rFonts w:ascii="Avenir Book" w:hAnsi="Avenir Book"/>
        </w:rPr>
      </w:pPr>
      <w:r w:rsidRPr="00B06331">
        <w:rPr>
          <w:rFonts w:ascii="Avenir Book" w:hAnsi="Avenir Book"/>
        </w:rPr>
        <w:t>The total gross budget without accounting for ava</w:t>
      </w:r>
      <w:r w:rsidR="00F67563" w:rsidRPr="00B06331">
        <w:rPr>
          <w:rFonts w:ascii="Avenir Book" w:hAnsi="Avenir Book"/>
        </w:rPr>
        <w:t>ilable resources stands at USD 2.4</w:t>
      </w:r>
      <w:r w:rsidRPr="00B06331">
        <w:rPr>
          <w:rFonts w:ascii="Avenir Book" w:hAnsi="Avenir Book"/>
        </w:rPr>
        <w:t xml:space="preserve"> Billion. The funding need is therefore expected to be less. </w:t>
      </w:r>
      <w:r w:rsidR="00E921E6" w:rsidRPr="00B06331">
        <w:rPr>
          <w:rFonts w:ascii="Avenir Book" w:hAnsi="Avenir Book"/>
        </w:rPr>
        <w:t>The main cost drivers are e</w:t>
      </w:r>
      <w:r w:rsidR="00F67563" w:rsidRPr="00B06331">
        <w:rPr>
          <w:rFonts w:ascii="Avenir Book" w:hAnsi="Avenir Book"/>
        </w:rPr>
        <w:t>nergy and infrastruct</w:t>
      </w:r>
      <w:r w:rsidR="00E921E6" w:rsidRPr="00B06331">
        <w:rPr>
          <w:rFonts w:ascii="Avenir Book" w:hAnsi="Avenir Book"/>
        </w:rPr>
        <w:t>ure (</w:t>
      </w:r>
      <w:r w:rsidR="00F67563" w:rsidRPr="00B06331">
        <w:rPr>
          <w:rFonts w:ascii="Avenir Book" w:hAnsi="Avenir Book"/>
        </w:rPr>
        <w:t>41</w:t>
      </w:r>
      <w:r w:rsidR="00E921E6" w:rsidRPr="00B06331">
        <w:rPr>
          <w:rFonts w:ascii="Avenir Book" w:hAnsi="Avenir Book"/>
        </w:rPr>
        <w:t xml:space="preserve">.2%), is agriculture (19.6%) and human capital (16.8%). </w:t>
      </w:r>
      <w:r w:rsidR="00EB7E8A" w:rsidRPr="00B06331">
        <w:rPr>
          <w:rFonts w:ascii="Avenir Book" w:hAnsi="Avenir Book"/>
        </w:rPr>
        <w:t>Combined the three strategic priorities account for</w:t>
      </w:r>
      <w:r w:rsidR="00E921E6" w:rsidRPr="00B06331">
        <w:rPr>
          <w:rFonts w:ascii="Avenir Book" w:hAnsi="Avenir Book"/>
        </w:rPr>
        <w:t xml:space="preserve"> 77% of the budget. </w:t>
      </w:r>
    </w:p>
    <w:p w:rsidR="00D7018B" w:rsidRPr="00B06331" w:rsidRDefault="00D7018B" w:rsidP="00DB18A5">
      <w:pPr>
        <w:rPr>
          <w:rFonts w:ascii="Avenir Book" w:hAnsi="Avenir Book"/>
        </w:rPr>
      </w:pPr>
      <w:r w:rsidRPr="00B06331">
        <w:rPr>
          <w:rFonts w:ascii="Avenir Book" w:hAnsi="Avenir Book"/>
        </w:rPr>
        <w:t>With respect to the highest cost driver which is infrastructure and energy, most of the financing is envisaged to be acquired through PPP and other innovative financing models.</w:t>
      </w:r>
    </w:p>
    <w:p w:rsidR="00DB18A5" w:rsidRPr="00B06331" w:rsidRDefault="00DB18A5" w:rsidP="00DB18A5">
      <w:pPr>
        <w:rPr>
          <w:rFonts w:ascii="Avenir Book" w:hAnsi="Avenir Book"/>
        </w:rPr>
      </w:pPr>
      <w:r w:rsidRPr="00B06331">
        <w:rPr>
          <w:rFonts w:ascii="Avenir Book" w:hAnsi="Avenir Book"/>
        </w:rPr>
        <w:t xml:space="preserve">The figures below </w:t>
      </w:r>
      <w:r w:rsidR="00031906" w:rsidRPr="00B06331">
        <w:rPr>
          <w:rFonts w:ascii="Avenir Book" w:hAnsi="Avenir Book"/>
        </w:rPr>
        <w:t>present</w:t>
      </w:r>
      <w:r w:rsidRPr="00B06331">
        <w:rPr>
          <w:rFonts w:ascii="Avenir Book" w:hAnsi="Avenir Book"/>
        </w:rPr>
        <w:t xml:space="preserve"> the annualized budget needs for the different priority areas. </w:t>
      </w:r>
    </w:p>
    <w:p w:rsidR="00DB18A5" w:rsidRPr="00B06331" w:rsidRDefault="00DB18A5" w:rsidP="00DB18A5">
      <w:pPr>
        <w:pStyle w:val="Heading2"/>
        <w:rPr>
          <w:rFonts w:asciiTheme="minorHAnsi" w:hAnsiTheme="minorHAnsi" w:cstheme="minorHAnsi"/>
          <w:sz w:val="22"/>
          <w:szCs w:val="22"/>
        </w:rPr>
      </w:pPr>
      <w:bookmarkStart w:id="202" w:name="_Toc492364813"/>
      <w:r w:rsidRPr="00B06331">
        <w:rPr>
          <w:rFonts w:asciiTheme="minorHAnsi" w:hAnsiTheme="minorHAnsi" w:cstheme="minorHAnsi"/>
          <w:sz w:val="22"/>
          <w:szCs w:val="22"/>
        </w:rPr>
        <w:t>10.5 Strategies to Mobilize Resources</w:t>
      </w:r>
      <w:bookmarkEnd w:id="202"/>
    </w:p>
    <w:p w:rsidR="00DB18A5" w:rsidRPr="00B06331" w:rsidRDefault="00C97931" w:rsidP="009931CE">
      <w:pPr>
        <w:rPr>
          <w:b/>
        </w:rPr>
      </w:pPr>
      <w:r w:rsidRPr="00B06331">
        <w:t>To meet the financing needs of the NDP, government will pursue three interlinked strategies:</w:t>
      </w:r>
    </w:p>
    <w:p w:rsidR="00C97931" w:rsidRPr="00B06331" w:rsidRDefault="00C97931" w:rsidP="004E1A57">
      <w:pPr>
        <w:pStyle w:val="ListParagraph"/>
        <w:numPr>
          <w:ilvl w:val="0"/>
          <w:numId w:val="128"/>
        </w:numPr>
        <w:rPr>
          <w:b/>
        </w:rPr>
      </w:pPr>
      <w:r w:rsidRPr="00B06331">
        <w:t xml:space="preserve">Domestic resources mobilization </w:t>
      </w:r>
    </w:p>
    <w:p w:rsidR="00C97931" w:rsidRPr="00B06331" w:rsidRDefault="00C97931" w:rsidP="004E1A57">
      <w:pPr>
        <w:pStyle w:val="ListParagraph"/>
        <w:numPr>
          <w:ilvl w:val="0"/>
          <w:numId w:val="128"/>
        </w:numPr>
        <w:rPr>
          <w:b/>
        </w:rPr>
      </w:pPr>
      <w:r w:rsidRPr="00B06331">
        <w:t>Innovative financing instruments</w:t>
      </w:r>
    </w:p>
    <w:p w:rsidR="00C97931" w:rsidRPr="00B06331" w:rsidRDefault="00C97931" w:rsidP="004E1A57">
      <w:pPr>
        <w:pStyle w:val="ListParagraph"/>
        <w:numPr>
          <w:ilvl w:val="0"/>
          <w:numId w:val="128"/>
        </w:numPr>
        <w:rPr>
          <w:b/>
        </w:rPr>
      </w:pPr>
      <w:r w:rsidRPr="00B06331">
        <w:t xml:space="preserve">Concessionary financing </w:t>
      </w:r>
    </w:p>
    <w:p w:rsidR="00DB18A5" w:rsidRPr="00B06331" w:rsidRDefault="00DB18A5" w:rsidP="00DB18A5">
      <w:pPr>
        <w:pStyle w:val="Heading3"/>
        <w:rPr>
          <w:rFonts w:asciiTheme="minorHAnsi" w:hAnsiTheme="minorHAnsi" w:cstheme="minorHAnsi"/>
          <w:b/>
          <w:sz w:val="22"/>
          <w:szCs w:val="22"/>
        </w:rPr>
      </w:pPr>
      <w:bookmarkStart w:id="203" w:name="_Toc492364814"/>
      <w:r w:rsidRPr="00B06331">
        <w:rPr>
          <w:rFonts w:asciiTheme="minorHAnsi" w:hAnsiTheme="minorHAnsi" w:cstheme="minorHAnsi"/>
          <w:b/>
          <w:sz w:val="22"/>
          <w:szCs w:val="22"/>
        </w:rPr>
        <w:t>10.5.1 Domestic Resource Mobilization</w:t>
      </w:r>
      <w:bookmarkEnd w:id="203"/>
    </w:p>
    <w:p w:rsidR="00EB7E8A" w:rsidRPr="00B06331" w:rsidRDefault="00EB7E8A" w:rsidP="009931CE"/>
    <w:p w:rsidR="00613316" w:rsidRPr="00B06331" w:rsidRDefault="008F002A" w:rsidP="009931CE">
      <w:pPr>
        <w:rPr>
          <w:b/>
        </w:rPr>
      </w:pPr>
      <w:r w:rsidRPr="00B06331">
        <w:t>R</w:t>
      </w:r>
      <w:r w:rsidR="00613316" w:rsidRPr="00B06331">
        <w:t xml:space="preserve">eliance on domestic resourcing is becoming increasingly important for meeting the financing needs of developing countries. At the third international conference for financing development, mobilizing domestic resources </w:t>
      </w:r>
      <w:r w:rsidR="00031906" w:rsidRPr="00B06331">
        <w:t>was</w:t>
      </w:r>
      <w:r w:rsidR="00613316" w:rsidRPr="00B06331">
        <w:t xml:space="preserve"> a major strategy to fund development including the SDGs. Similarly, it is a ma</w:t>
      </w:r>
      <w:r w:rsidR="00FB267C" w:rsidRPr="00B06331">
        <w:t>jor strategy for financing the F</w:t>
      </w:r>
      <w:r w:rsidR="00613316" w:rsidRPr="00B06331">
        <w:t xml:space="preserve">irst </w:t>
      </w:r>
      <w:r w:rsidR="00031906" w:rsidRPr="00B06331">
        <w:t>10-year</w:t>
      </w:r>
      <w:r w:rsidR="00613316" w:rsidRPr="00B06331">
        <w:t xml:space="preserve"> implementation plan of Agenda 2063. </w:t>
      </w:r>
    </w:p>
    <w:p w:rsidR="00613316" w:rsidRPr="00B06331" w:rsidRDefault="000732BC" w:rsidP="009931CE">
      <w:pPr>
        <w:rPr>
          <w:b/>
        </w:rPr>
      </w:pPr>
      <w:r w:rsidRPr="00B06331">
        <w:t>Already t</w:t>
      </w:r>
      <w:r w:rsidR="00613316" w:rsidRPr="00B06331">
        <w:t>he Gambia relies heavily on taxation to finance government expenditure. But because of the debt servicing obligat</w:t>
      </w:r>
      <w:r w:rsidR="00E31721" w:rsidRPr="00B06331">
        <w:t>i</w:t>
      </w:r>
      <w:r w:rsidR="00613316" w:rsidRPr="00B06331">
        <w:t>ons, government has been unable to allocate significant resources to finance development. In the context of the NDP, three measures will be adopted to increase government contribution to implement its development agenda:</w:t>
      </w:r>
    </w:p>
    <w:p w:rsidR="00DB18A5" w:rsidRPr="00B06331" w:rsidRDefault="00FB267C" w:rsidP="004E1A57">
      <w:pPr>
        <w:pStyle w:val="ListParagraph"/>
        <w:numPr>
          <w:ilvl w:val="0"/>
          <w:numId w:val="129"/>
        </w:numPr>
        <w:rPr>
          <w:b/>
        </w:rPr>
      </w:pPr>
      <w:r w:rsidRPr="00B06331">
        <w:t>Continue</w:t>
      </w:r>
      <w:r w:rsidR="00613316" w:rsidRPr="00B06331">
        <w:t xml:space="preserve"> the path of prudent fiscal management, sound monetary policy and structural reforms which is expected to rationalize the budget</w:t>
      </w:r>
      <w:r w:rsidR="000732BC" w:rsidRPr="00B06331">
        <w:t>;</w:t>
      </w:r>
    </w:p>
    <w:p w:rsidR="00613316" w:rsidRPr="00B06331" w:rsidRDefault="00736B39" w:rsidP="004E1A57">
      <w:pPr>
        <w:pStyle w:val="ListParagraph"/>
        <w:numPr>
          <w:ilvl w:val="0"/>
          <w:numId w:val="129"/>
        </w:numPr>
        <w:rPr>
          <w:b/>
        </w:rPr>
      </w:pPr>
      <w:r w:rsidRPr="00B06331">
        <w:t>Prudent debt management, especially domestic borrowing which will lead to increased fiscal space</w:t>
      </w:r>
      <w:r w:rsidR="000732BC" w:rsidRPr="00B06331">
        <w:t>; and</w:t>
      </w:r>
    </w:p>
    <w:p w:rsidR="00736B39" w:rsidRPr="00B06331" w:rsidRDefault="00736B39" w:rsidP="004E1A57">
      <w:pPr>
        <w:pStyle w:val="ListParagraph"/>
        <w:numPr>
          <w:ilvl w:val="0"/>
          <w:numId w:val="129"/>
        </w:numPr>
        <w:rPr>
          <w:b/>
        </w:rPr>
      </w:pPr>
      <w:r w:rsidRPr="00B06331">
        <w:t>More efficient revenue collections mechanisms and simplifying and expanding the tax base</w:t>
      </w:r>
      <w:r w:rsidR="000732BC" w:rsidRPr="00B06331">
        <w:t>.</w:t>
      </w:r>
    </w:p>
    <w:p w:rsidR="00DB18A5" w:rsidRPr="00B06331" w:rsidRDefault="00DB18A5" w:rsidP="00DB18A5">
      <w:pPr>
        <w:pStyle w:val="Heading3"/>
        <w:rPr>
          <w:rFonts w:asciiTheme="minorHAnsi" w:hAnsiTheme="minorHAnsi" w:cstheme="minorHAnsi"/>
          <w:b/>
          <w:sz w:val="22"/>
          <w:szCs w:val="22"/>
        </w:rPr>
      </w:pPr>
      <w:bookmarkStart w:id="204" w:name="_Toc492364815"/>
      <w:r w:rsidRPr="00B06331">
        <w:rPr>
          <w:rFonts w:asciiTheme="minorHAnsi" w:hAnsiTheme="minorHAnsi" w:cstheme="minorHAnsi"/>
          <w:b/>
          <w:sz w:val="22"/>
          <w:szCs w:val="22"/>
        </w:rPr>
        <w:t>10.5.2 Innovative Financing</w:t>
      </w:r>
      <w:bookmarkEnd w:id="204"/>
    </w:p>
    <w:p w:rsidR="00100F6E" w:rsidRPr="00B06331" w:rsidRDefault="00C97970" w:rsidP="00C76C70">
      <w:pPr>
        <w:tabs>
          <w:tab w:val="left" w:pos="720"/>
        </w:tabs>
        <w:spacing w:before="120" w:after="120" w:line="240" w:lineRule="auto"/>
        <w:jc w:val="both"/>
        <w:rPr>
          <w:rFonts w:asciiTheme="minorHAnsi" w:hAnsiTheme="minorHAnsi" w:cstheme="minorHAnsi"/>
        </w:rPr>
      </w:pPr>
      <w:r w:rsidRPr="00B06331">
        <w:rPr>
          <w:rFonts w:asciiTheme="minorHAnsi" w:hAnsiTheme="minorHAnsi" w:cstheme="minorHAnsi"/>
        </w:rPr>
        <w:t xml:space="preserve">To ensure a successful implementation of the National Development Plan (NDP), critical focused must be anchored on alternative and more innovative ways of financing for development. Public Private Partnerships, Capital Markets, Blended Finance amongst others must be explored as priority to ensure sustainability and efficiency especially </w:t>
      </w:r>
      <w:r w:rsidR="00100F6E" w:rsidRPr="00B06331">
        <w:rPr>
          <w:rFonts w:asciiTheme="minorHAnsi" w:hAnsiTheme="minorHAnsi" w:cstheme="minorHAnsi"/>
        </w:rPr>
        <w:t>considering</w:t>
      </w:r>
      <w:r w:rsidRPr="00B06331">
        <w:rPr>
          <w:rFonts w:asciiTheme="minorHAnsi" w:hAnsiTheme="minorHAnsi" w:cstheme="minorHAnsi"/>
        </w:rPr>
        <w:t xml:space="preserve"> the modern economy and the global financing agenda moving away from aid over dependency. </w:t>
      </w:r>
    </w:p>
    <w:p w:rsidR="000732BC" w:rsidRPr="00B06331" w:rsidRDefault="000732BC" w:rsidP="00C76C70">
      <w:pPr>
        <w:tabs>
          <w:tab w:val="left" w:pos="720"/>
        </w:tabs>
        <w:spacing w:before="120" w:after="120" w:line="240" w:lineRule="auto"/>
        <w:jc w:val="both"/>
        <w:rPr>
          <w:rFonts w:asciiTheme="minorHAnsi" w:hAnsiTheme="minorHAnsi" w:cstheme="minorHAnsi"/>
        </w:rPr>
      </w:pPr>
    </w:p>
    <w:p w:rsidR="000732BC" w:rsidRPr="00B06331" w:rsidRDefault="000732BC" w:rsidP="00C76C70">
      <w:pPr>
        <w:tabs>
          <w:tab w:val="left" w:pos="720"/>
        </w:tabs>
        <w:spacing w:before="120" w:after="120" w:line="240" w:lineRule="auto"/>
        <w:jc w:val="both"/>
        <w:rPr>
          <w:rFonts w:asciiTheme="minorHAnsi" w:hAnsiTheme="minorHAnsi" w:cstheme="minorHAnsi"/>
        </w:rPr>
      </w:pPr>
    </w:p>
    <w:p w:rsidR="000732BC" w:rsidRPr="00B06331" w:rsidRDefault="000732BC" w:rsidP="00C76C70">
      <w:pPr>
        <w:tabs>
          <w:tab w:val="left" w:pos="720"/>
        </w:tabs>
        <w:spacing w:before="120" w:after="120" w:line="240" w:lineRule="auto"/>
        <w:jc w:val="both"/>
        <w:rPr>
          <w:rFonts w:asciiTheme="minorHAnsi" w:hAnsiTheme="minorHAnsi" w:cstheme="minorHAnsi"/>
        </w:rPr>
      </w:pPr>
    </w:p>
    <w:p w:rsidR="00100F6E" w:rsidRPr="00B06331" w:rsidRDefault="00100F6E" w:rsidP="00C76C70">
      <w:pPr>
        <w:tabs>
          <w:tab w:val="left" w:pos="720"/>
        </w:tabs>
        <w:spacing w:before="120" w:after="120" w:line="240" w:lineRule="auto"/>
        <w:jc w:val="both"/>
        <w:rPr>
          <w:rFonts w:asciiTheme="minorHAnsi" w:hAnsiTheme="minorHAnsi" w:cstheme="minorHAnsi"/>
          <w:b/>
        </w:rPr>
      </w:pPr>
      <w:r w:rsidRPr="00B06331">
        <w:rPr>
          <w:rFonts w:asciiTheme="minorHAnsi" w:hAnsiTheme="minorHAnsi" w:cstheme="minorHAnsi"/>
          <w:b/>
        </w:rPr>
        <w:t>Public-Private Partnerships</w:t>
      </w:r>
    </w:p>
    <w:p w:rsidR="000732BC" w:rsidRPr="00B06331" w:rsidRDefault="00C76C70" w:rsidP="000732BC">
      <w:pPr>
        <w:tabs>
          <w:tab w:val="left" w:pos="720"/>
        </w:tabs>
        <w:spacing w:before="120" w:after="120" w:line="240" w:lineRule="auto"/>
        <w:jc w:val="both"/>
        <w:rPr>
          <w:rFonts w:asciiTheme="minorHAnsi" w:hAnsiTheme="minorHAnsi" w:cstheme="minorHAnsi"/>
        </w:rPr>
      </w:pPr>
      <w:r w:rsidRPr="00B06331">
        <w:rPr>
          <w:rFonts w:asciiTheme="minorHAnsi" w:hAnsiTheme="minorHAnsi" w:cstheme="minorHAnsi"/>
        </w:rPr>
        <w:t>PPP as a model has</w:t>
      </w:r>
      <w:r w:rsidR="00C97970" w:rsidRPr="00B06331">
        <w:rPr>
          <w:rFonts w:asciiTheme="minorHAnsi" w:hAnsiTheme="minorHAnsi" w:cstheme="minorHAnsi"/>
        </w:rPr>
        <w:t xml:space="preserve"> proven successful in upgrading existing and financing new infrastructu</w:t>
      </w:r>
      <w:r w:rsidR="000732BC" w:rsidRPr="00B06331">
        <w:rPr>
          <w:rFonts w:asciiTheme="minorHAnsi" w:hAnsiTheme="minorHAnsi" w:cstheme="minorHAnsi"/>
        </w:rPr>
        <w:t>ral projects. In-order to facilitate and promote PPPs, Go</w:t>
      </w:r>
      <w:r w:rsidR="00E32BF2" w:rsidRPr="00B06331">
        <w:rPr>
          <w:rFonts w:asciiTheme="minorHAnsi" w:hAnsiTheme="minorHAnsi" w:cstheme="minorHAnsi"/>
        </w:rPr>
        <w:t>T</w:t>
      </w:r>
      <w:r w:rsidR="000732BC" w:rsidRPr="00B06331">
        <w:rPr>
          <w:rFonts w:asciiTheme="minorHAnsi" w:hAnsiTheme="minorHAnsi" w:cstheme="minorHAnsi"/>
        </w:rPr>
        <w:t>G has laid down an explicit and comprehensive PPP policy framework aimed at creating new infrastructure assets as well as for the management and upgrading of existing ones. The comprehensive PPP Policy has put in place a broad framework for implementation of PPPs in the Gambia in infrastructure and services while being sensitive to public needs and national priorities. The Go</w:t>
      </w:r>
      <w:r w:rsidR="00E32BF2" w:rsidRPr="00B06331">
        <w:rPr>
          <w:rFonts w:asciiTheme="minorHAnsi" w:hAnsiTheme="minorHAnsi" w:cstheme="minorHAnsi"/>
        </w:rPr>
        <w:t>T</w:t>
      </w:r>
      <w:r w:rsidR="000732BC" w:rsidRPr="00B06331">
        <w:rPr>
          <w:rFonts w:asciiTheme="minorHAnsi" w:hAnsiTheme="minorHAnsi" w:cstheme="minorHAnsi"/>
        </w:rPr>
        <w:t xml:space="preserve">G through its Ministry of Finance established Directorate of Public Private Partnership (PPP) to promote and support Public Private </w:t>
      </w:r>
      <w:r w:rsidR="00E32BF2" w:rsidRPr="00B06331">
        <w:rPr>
          <w:rFonts w:asciiTheme="minorHAnsi" w:hAnsiTheme="minorHAnsi" w:cstheme="minorHAnsi"/>
        </w:rPr>
        <w:t>Partnerships</w:t>
      </w:r>
      <w:r w:rsidR="000732BC" w:rsidRPr="00B06331">
        <w:rPr>
          <w:rFonts w:asciiTheme="minorHAnsi" w:hAnsiTheme="minorHAnsi" w:cstheme="minorHAnsi"/>
        </w:rPr>
        <w:t xml:space="preserve"> to attracting high quality private investments to bridge the funding infrastructure gaps to achieve a more sustainable growth and development.</w:t>
      </w:r>
    </w:p>
    <w:p w:rsidR="000732BC" w:rsidRPr="00B06331" w:rsidRDefault="000732BC" w:rsidP="000732BC">
      <w:pPr>
        <w:autoSpaceDE w:val="0"/>
        <w:autoSpaceDN w:val="0"/>
        <w:adjustRightInd w:val="0"/>
        <w:spacing w:line="240" w:lineRule="auto"/>
        <w:jc w:val="both"/>
        <w:rPr>
          <w:rFonts w:asciiTheme="minorHAnsi" w:hAnsiTheme="minorHAnsi" w:cstheme="minorHAnsi"/>
        </w:rPr>
      </w:pPr>
      <w:r w:rsidRPr="00B06331">
        <w:rPr>
          <w:rFonts w:asciiTheme="minorHAnsi" w:hAnsiTheme="minorHAnsi" w:cstheme="minorHAnsi"/>
        </w:rPr>
        <w:t xml:space="preserve">The main objective of the PPP policy </w:t>
      </w:r>
      <w:r w:rsidR="00E32BF2" w:rsidRPr="00B06331">
        <w:rPr>
          <w:rFonts w:asciiTheme="minorHAnsi" w:hAnsiTheme="minorHAnsi" w:cstheme="minorHAnsi"/>
        </w:rPr>
        <w:t>framework</w:t>
      </w:r>
      <w:r w:rsidRPr="00B06331">
        <w:rPr>
          <w:rFonts w:asciiTheme="minorHAnsi" w:hAnsiTheme="minorHAnsi" w:cstheme="minorHAnsi"/>
        </w:rPr>
        <w:t xml:space="preserve"> is to create an enabling environment and to facilitate private sector participation in upgrading, developing, and expanding the infrastructure and services in the Gambia. </w:t>
      </w:r>
      <w:r w:rsidR="00E32BF2" w:rsidRPr="00B06331">
        <w:rPr>
          <w:rFonts w:asciiTheme="minorHAnsi" w:hAnsiTheme="minorHAnsi" w:cstheme="minorHAnsi"/>
        </w:rPr>
        <w:t xml:space="preserve">Key to these priorities include: </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To provide a broad framework and a conducive environment so that the strength of private sector in terms of their efficiencies, flexibility and innovativeness are utilized to provide better infrastructure and services at an optimal cost and for better ‘Value for Money’ to the users;</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To put in position a transparent, consistent, efficient administrative mechanism, to create a level playing field for all stakeholders;</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To prepare a Pipeline of projects to be offered for PPP and take them forward in coordination with owner MDAs through a transparent selection process;</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To provide project development funding and/or seek available assistance from donors for funding essential infrastructure projects;</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To make assessment of the Value for Money (VfM) especially for major projects with exception for projects with requirements, which prime facie, may not be financially viable on PPP;</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Create a robust dispute resolution mechanism/regulatory framework for PPP Projects;</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To provide the required Viability Gap Funding (VGF) where the essential projects are intrinsically unviable;</w:t>
      </w:r>
    </w:p>
    <w:p w:rsidR="000732BC" w:rsidRPr="00B06331" w:rsidRDefault="000732BC" w:rsidP="004E1A57">
      <w:pPr>
        <w:pStyle w:val="ListParagraph"/>
        <w:numPr>
          <w:ilvl w:val="0"/>
          <w:numId w:val="130"/>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 xml:space="preserve">The relevant provisions stipulated in documents such as the PPP Act and GPPA Act </w:t>
      </w:r>
      <w:r w:rsidR="00E32BF2" w:rsidRPr="00B06331">
        <w:rPr>
          <w:rFonts w:asciiTheme="minorHAnsi" w:hAnsiTheme="minorHAnsi" w:cstheme="minorHAnsi"/>
        </w:rPr>
        <w:t>would</w:t>
      </w:r>
      <w:r w:rsidRPr="00B06331">
        <w:rPr>
          <w:rFonts w:asciiTheme="minorHAnsi" w:hAnsiTheme="minorHAnsi" w:cstheme="minorHAnsi"/>
        </w:rPr>
        <w:t xml:space="preserve"> be kept into considerations for PPP projects.</w:t>
      </w:r>
    </w:p>
    <w:p w:rsidR="00C97970" w:rsidRPr="00B06331" w:rsidRDefault="00C97970" w:rsidP="00C76C70">
      <w:pPr>
        <w:tabs>
          <w:tab w:val="left" w:pos="720"/>
        </w:tabs>
        <w:spacing w:before="120" w:after="120" w:line="240" w:lineRule="auto"/>
        <w:jc w:val="both"/>
        <w:rPr>
          <w:rFonts w:asciiTheme="minorHAnsi" w:hAnsiTheme="minorHAnsi" w:cstheme="minorHAnsi"/>
        </w:rPr>
      </w:pPr>
      <w:r w:rsidRPr="00B06331">
        <w:rPr>
          <w:rFonts w:asciiTheme="minorHAnsi" w:hAnsiTheme="minorHAnsi" w:cstheme="minorHAnsi"/>
        </w:rPr>
        <w:t xml:space="preserve">Presently, PPP priorities are in the infrastructure area in recognition of the importance of prime infrastructure as an enabler of economic growth. To this end, Government will work with the private sector including the diaspora, within a PPP framework to establish priority infrastructure and overcome the challenges caused by dwindling resources, a growing population and aging infrastructure. Priority PPPs for National Infrastructure relate to fixed assets, networks, and facilities needed for the operation of the society and the economy. </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Exploring PPPs as a way of introducing private sector technology and innovation in providing better public services through improved operational efficiency</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Incentivizing the private sector to deliver projects on time and within budget</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Imposing budgetary certainty by setting present and the future costs of infrastructure projects over time</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lastRenderedPageBreak/>
        <w:t>Utilizing PPPs as a way of developing local private sector capabilities through joint ventures with large international firms, as well as sub-contracting opportunities for local firms in areas such as civil works, electrical works, facilities management, security services, cleaning services, maintenance services</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Using PPPs as a way of gradually exposing state owned enterprises and government to increasing levels of private sector participation (especially foreign) and structuring PPPs in a way as to ensure transfer of skills, creation of local content leading to national champions that can run their own operations professionally and eventually export their competencies by bidding for projects/ joint ventures</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Cr</w:t>
      </w:r>
      <w:r w:rsidR="00E32BF2" w:rsidRPr="00B06331">
        <w:rPr>
          <w:rFonts w:asciiTheme="minorHAnsi" w:eastAsia="Times New Roman" w:hAnsiTheme="minorHAnsi" w:cstheme="minorHAnsi"/>
          <w:color w:val="333333"/>
        </w:rPr>
        <w:t>eating div</w:t>
      </w:r>
      <w:r w:rsidRPr="00B06331">
        <w:rPr>
          <w:rFonts w:asciiTheme="minorHAnsi" w:eastAsia="Times New Roman" w:hAnsiTheme="minorHAnsi" w:cstheme="minorHAnsi"/>
          <w:color w:val="333333"/>
        </w:rPr>
        <w:t>ersification in the economy by making the country more competitive in terms of its facilitating infrastructure base as well</w:t>
      </w:r>
      <w:bookmarkStart w:id="205" w:name="_GoBack"/>
      <w:bookmarkEnd w:id="205"/>
      <w:r w:rsidRPr="00B06331">
        <w:rPr>
          <w:rFonts w:asciiTheme="minorHAnsi" w:eastAsia="Times New Roman" w:hAnsiTheme="minorHAnsi" w:cstheme="minorHAnsi"/>
          <w:color w:val="333333"/>
        </w:rPr>
        <w:t xml:space="preserve"> as giving a boost to its business and industry associated with infrastructure development (such as construction, equipment, support services)</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 xml:space="preserve">Supplementing limited </w:t>
      </w:r>
      <w:r w:rsidR="000732BC" w:rsidRPr="00B06331">
        <w:rPr>
          <w:rFonts w:asciiTheme="minorHAnsi" w:eastAsia="Times New Roman" w:hAnsiTheme="minorHAnsi" w:cstheme="minorHAnsi"/>
          <w:color w:val="333333"/>
        </w:rPr>
        <w:t>public-sector</w:t>
      </w:r>
      <w:r w:rsidRPr="00B06331">
        <w:rPr>
          <w:rFonts w:asciiTheme="minorHAnsi" w:eastAsia="Times New Roman" w:hAnsiTheme="minorHAnsi" w:cstheme="minorHAnsi"/>
          <w:color w:val="333333"/>
        </w:rPr>
        <w:t xml:space="preserve"> capacities to meet the growing demand for infrastructure development</w:t>
      </w:r>
    </w:p>
    <w:p w:rsidR="00C97970" w:rsidRPr="00B06331" w:rsidRDefault="00C97970" w:rsidP="00991700">
      <w:pPr>
        <w:numPr>
          <w:ilvl w:val="0"/>
          <w:numId w:val="112"/>
        </w:numPr>
        <w:shd w:val="clear" w:color="auto" w:fill="FFFFFF"/>
        <w:spacing w:before="100" w:beforeAutospacing="1" w:after="100" w:afterAutospacing="1" w:line="240" w:lineRule="auto"/>
        <w:jc w:val="both"/>
        <w:rPr>
          <w:rFonts w:asciiTheme="minorHAnsi" w:eastAsia="Times New Roman" w:hAnsiTheme="minorHAnsi" w:cstheme="minorHAnsi"/>
          <w:color w:val="333333"/>
        </w:rPr>
      </w:pPr>
      <w:r w:rsidRPr="00B06331">
        <w:rPr>
          <w:rFonts w:asciiTheme="minorHAnsi" w:eastAsia="Times New Roman" w:hAnsiTheme="minorHAnsi" w:cstheme="minorHAnsi"/>
          <w:color w:val="333333"/>
        </w:rPr>
        <w:t>Extracting long-term value-for-money through appropriate risk transfer to the private sector over the life of the project – from design/ construction to operations/ maintenance</w:t>
      </w:r>
    </w:p>
    <w:p w:rsidR="00C97970" w:rsidRPr="00B06331" w:rsidRDefault="000732BC" w:rsidP="004F205B">
      <w:pPr>
        <w:rPr>
          <w:b/>
        </w:rPr>
      </w:pPr>
      <w:bookmarkStart w:id="206" w:name="_Toc384118610"/>
      <w:r w:rsidRPr="00B06331">
        <w:rPr>
          <w:b/>
        </w:rPr>
        <w:t>Priority Sectors</w:t>
      </w:r>
      <w:bookmarkEnd w:id="206"/>
    </w:p>
    <w:p w:rsidR="00C97970" w:rsidRPr="00B06331" w:rsidRDefault="00C97970" w:rsidP="00C76C70">
      <w:pPr>
        <w:autoSpaceDE w:val="0"/>
        <w:autoSpaceDN w:val="0"/>
        <w:adjustRightInd w:val="0"/>
        <w:spacing w:line="240" w:lineRule="auto"/>
        <w:jc w:val="both"/>
        <w:rPr>
          <w:rFonts w:asciiTheme="minorHAnsi" w:hAnsiTheme="minorHAnsi" w:cstheme="minorHAnsi"/>
        </w:rPr>
      </w:pPr>
      <w:r w:rsidRPr="00B06331">
        <w:rPr>
          <w:rFonts w:asciiTheme="minorHAnsi" w:hAnsiTheme="minorHAnsi" w:cstheme="minorHAnsi"/>
        </w:rPr>
        <w:t>The government intends to use PPPs to meet priority infrastructure and service needs. This includes the following sectors</w:t>
      </w:r>
      <w:r w:rsidR="00C76C70" w:rsidRPr="00B06331">
        <w:rPr>
          <w:rFonts w:asciiTheme="minorHAnsi" w:hAnsiTheme="minorHAnsi" w:cstheme="minorHAnsi"/>
        </w:rPr>
        <w:t xml:space="preserve"> – </w:t>
      </w:r>
      <w:r w:rsidRPr="00B06331">
        <w:rPr>
          <w:rFonts w:asciiTheme="minorHAnsi" w:hAnsiTheme="minorHAnsi" w:cstheme="minorHAnsi"/>
          <w:b/>
          <w:bCs/>
        </w:rPr>
        <w:t>National Infrastructure</w:t>
      </w:r>
      <w:r w:rsidRPr="00B06331">
        <w:rPr>
          <w:rFonts w:asciiTheme="minorHAnsi" w:hAnsiTheme="minorHAnsi" w:cstheme="minorHAnsi"/>
        </w:rPr>
        <w:t>—the fixed assets, networks, and facilities needed for the operation of the society and economy</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 xml:space="preserve">Electricity sector: Power generation, </w:t>
      </w:r>
      <w:r w:rsidR="000732BC" w:rsidRPr="00B06331">
        <w:rPr>
          <w:rFonts w:asciiTheme="minorHAnsi" w:hAnsiTheme="minorHAnsi" w:cstheme="minorHAnsi"/>
        </w:rPr>
        <w:t>transmission,</w:t>
      </w:r>
      <w:r w:rsidRPr="00B06331">
        <w:rPr>
          <w:rFonts w:asciiTheme="minorHAnsi" w:hAnsiTheme="minorHAnsi" w:cstheme="minorHAnsi"/>
        </w:rPr>
        <w:t xml:space="preserve"> and distribution,</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 xml:space="preserve">Ferry services: acquisition, </w:t>
      </w:r>
      <w:r w:rsidR="000732BC" w:rsidRPr="00B06331">
        <w:rPr>
          <w:rFonts w:asciiTheme="minorHAnsi" w:hAnsiTheme="minorHAnsi" w:cstheme="minorHAnsi"/>
        </w:rPr>
        <w:t>maintenance,</w:t>
      </w:r>
      <w:r w:rsidRPr="00B06331">
        <w:rPr>
          <w:rFonts w:asciiTheme="minorHAnsi" w:hAnsiTheme="minorHAnsi" w:cstheme="minorHAnsi"/>
        </w:rPr>
        <w:t xml:space="preserve"> and operation</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Water supply, solid waste management, se</w:t>
      </w:r>
      <w:r w:rsidR="000732BC" w:rsidRPr="00B06331">
        <w:rPr>
          <w:rFonts w:asciiTheme="minorHAnsi" w:hAnsiTheme="minorHAnsi" w:cstheme="minorHAnsi"/>
        </w:rPr>
        <w:t>werage, sanitation;</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Road sector: construction and/or maintenance of expressways. missing links, bypasses, ring roads, bridges, road over bridges and improvement of roads</w:t>
      </w:r>
      <w:r w:rsidR="000732BC" w:rsidRPr="00B06331">
        <w:rPr>
          <w:rFonts w:asciiTheme="minorHAnsi" w:hAnsiTheme="minorHAnsi" w:cstheme="minorHAnsi"/>
        </w:rPr>
        <w:t>;</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Ports- Airports, Seaports</w:t>
      </w:r>
      <w:r w:rsidR="000732BC" w:rsidRPr="00B06331">
        <w:rPr>
          <w:rFonts w:asciiTheme="minorHAnsi" w:hAnsiTheme="minorHAnsi" w:cstheme="minorHAnsi"/>
        </w:rPr>
        <w:t>;</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Telecommunication sector: networks—local loop, exchanges, and backbone</w:t>
      </w:r>
      <w:r w:rsidR="000732BC" w:rsidRPr="00B06331">
        <w:rPr>
          <w:rFonts w:asciiTheme="minorHAnsi" w:hAnsiTheme="minorHAnsi" w:cstheme="minorHAnsi"/>
        </w:rPr>
        <w:t>;</w:t>
      </w:r>
    </w:p>
    <w:p w:rsidR="00C97970" w:rsidRPr="00B06331" w:rsidRDefault="00C97970" w:rsidP="00991700">
      <w:pPr>
        <w:pStyle w:val="Default"/>
        <w:numPr>
          <w:ilvl w:val="0"/>
          <w:numId w:val="113"/>
        </w:numPr>
        <w:jc w:val="both"/>
        <w:rPr>
          <w:rFonts w:asciiTheme="minorHAnsi" w:hAnsiTheme="minorHAnsi" w:cstheme="minorHAnsi"/>
          <w:color w:val="auto"/>
          <w:sz w:val="22"/>
          <w:szCs w:val="22"/>
        </w:rPr>
      </w:pPr>
      <w:r w:rsidRPr="00B06331">
        <w:rPr>
          <w:rFonts w:asciiTheme="minorHAnsi" w:hAnsiTheme="minorHAnsi" w:cstheme="minorHAnsi"/>
          <w:color w:val="auto"/>
          <w:sz w:val="22"/>
          <w:szCs w:val="22"/>
        </w:rPr>
        <w:t>Health Sector: building projects (teaching hospital, headquarter offices, staff living quarters) as well as for technical support functions (laboratory services, ra</w:t>
      </w:r>
      <w:r w:rsidR="000732BC" w:rsidRPr="00B06331">
        <w:rPr>
          <w:rFonts w:asciiTheme="minorHAnsi" w:hAnsiTheme="minorHAnsi" w:cstheme="minorHAnsi"/>
          <w:color w:val="auto"/>
          <w:sz w:val="22"/>
          <w:szCs w:val="22"/>
        </w:rPr>
        <w:t>diology services, blood bank</w:t>
      </w:r>
      <w:r w:rsidRPr="00B06331">
        <w:rPr>
          <w:rFonts w:asciiTheme="minorHAnsi" w:hAnsiTheme="minorHAnsi" w:cstheme="minorHAnsi"/>
          <w:color w:val="auto"/>
          <w:sz w:val="22"/>
          <w:szCs w:val="22"/>
        </w:rPr>
        <w:t>)</w:t>
      </w:r>
      <w:r w:rsidR="000732BC" w:rsidRPr="00B06331">
        <w:rPr>
          <w:rFonts w:asciiTheme="minorHAnsi" w:hAnsiTheme="minorHAnsi" w:cstheme="minorHAnsi"/>
          <w:color w:val="auto"/>
          <w:sz w:val="22"/>
          <w:szCs w:val="22"/>
        </w:rPr>
        <w:t>;</w:t>
      </w:r>
    </w:p>
    <w:p w:rsidR="00C97970" w:rsidRPr="00B06331" w:rsidRDefault="00C97970" w:rsidP="00991700">
      <w:pPr>
        <w:pStyle w:val="Default"/>
        <w:numPr>
          <w:ilvl w:val="0"/>
          <w:numId w:val="113"/>
        </w:numPr>
        <w:jc w:val="both"/>
        <w:rPr>
          <w:rFonts w:asciiTheme="minorHAnsi" w:hAnsiTheme="minorHAnsi" w:cstheme="minorHAnsi"/>
          <w:color w:val="auto"/>
          <w:sz w:val="22"/>
          <w:szCs w:val="22"/>
        </w:rPr>
      </w:pPr>
      <w:r w:rsidRPr="00B06331">
        <w:rPr>
          <w:rFonts w:asciiTheme="minorHAnsi" w:hAnsiTheme="minorHAnsi" w:cstheme="minorHAnsi"/>
          <w:color w:val="auto"/>
          <w:sz w:val="22"/>
          <w:szCs w:val="22"/>
        </w:rPr>
        <w:t>Agriculture related projects: irrigation projects, training, qualit</w:t>
      </w:r>
      <w:r w:rsidR="000732BC" w:rsidRPr="00B06331">
        <w:rPr>
          <w:rFonts w:asciiTheme="minorHAnsi" w:hAnsiTheme="minorHAnsi" w:cstheme="minorHAnsi"/>
          <w:color w:val="auto"/>
          <w:sz w:val="22"/>
          <w:szCs w:val="22"/>
        </w:rPr>
        <w:t>y testing of inputs and outputs;</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 xml:space="preserve">Urban services such as </w:t>
      </w:r>
      <w:r w:rsidR="000732BC" w:rsidRPr="00B06331">
        <w:rPr>
          <w:rFonts w:asciiTheme="minorHAnsi" w:hAnsiTheme="minorHAnsi" w:cstheme="minorHAnsi"/>
        </w:rPr>
        <w:t>street lighting and urban roads;</w:t>
      </w:r>
    </w:p>
    <w:p w:rsidR="00C97970" w:rsidRPr="00B06331" w:rsidRDefault="00C97970" w:rsidP="00991700">
      <w:pPr>
        <w:pStyle w:val="ListParagraph"/>
        <w:numPr>
          <w:ilvl w:val="0"/>
          <w:numId w:val="113"/>
        </w:numPr>
        <w:autoSpaceDE w:val="0"/>
        <w:autoSpaceDN w:val="0"/>
        <w:adjustRightInd w:val="0"/>
        <w:spacing w:after="0" w:line="240" w:lineRule="auto"/>
        <w:jc w:val="both"/>
        <w:rPr>
          <w:rFonts w:asciiTheme="minorHAnsi" w:hAnsiTheme="minorHAnsi" w:cstheme="minorHAnsi"/>
        </w:rPr>
      </w:pPr>
      <w:r w:rsidRPr="00B06331">
        <w:rPr>
          <w:rFonts w:asciiTheme="minorHAnsi" w:hAnsiTheme="minorHAnsi" w:cstheme="minorHAnsi"/>
        </w:rPr>
        <w:t>Sports- Stadia, facilities.</w:t>
      </w:r>
    </w:p>
    <w:p w:rsidR="00FB267C" w:rsidRPr="00B06331" w:rsidRDefault="00FB267C" w:rsidP="002E171C">
      <w:pPr>
        <w:autoSpaceDE w:val="0"/>
        <w:autoSpaceDN w:val="0"/>
        <w:adjustRightInd w:val="0"/>
        <w:spacing w:after="0" w:line="240" w:lineRule="auto"/>
        <w:jc w:val="both"/>
        <w:rPr>
          <w:rFonts w:asciiTheme="minorHAnsi" w:hAnsiTheme="minorHAnsi" w:cstheme="minorHAnsi"/>
        </w:rPr>
      </w:pPr>
    </w:p>
    <w:p w:rsidR="00C76C70" w:rsidRPr="00B06331" w:rsidRDefault="00C76C70" w:rsidP="00C76C70">
      <w:pPr>
        <w:tabs>
          <w:tab w:val="left" w:pos="720"/>
        </w:tabs>
        <w:spacing w:before="120" w:after="120" w:line="360" w:lineRule="auto"/>
        <w:jc w:val="both"/>
        <w:rPr>
          <w:rFonts w:asciiTheme="minorHAnsi" w:hAnsiTheme="minorHAnsi" w:cstheme="minorHAnsi"/>
          <w:b/>
        </w:rPr>
      </w:pPr>
      <w:r w:rsidRPr="00B06331">
        <w:rPr>
          <w:rFonts w:asciiTheme="minorHAnsi" w:hAnsiTheme="minorHAnsi" w:cstheme="minorHAnsi"/>
          <w:b/>
        </w:rPr>
        <w:t>Table 10.2: Priority areas for PPP</w:t>
      </w:r>
    </w:p>
    <w:tbl>
      <w:tblPr>
        <w:tblStyle w:val="GridTable4-Accent12"/>
        <w:tblW w:w="9270" w:type="dxa"/>
        <w:tblLook w:val="04A0"/>
      </w:tblPr>
      <w:tblGrid>
        <w:gridCol w:w="3127"/>
        <w:gridCol w:w="6143"/>
      </w:tblGrid>
      <w:tr w:rsidR="00C97970" w:rsidRPr="00B06331" w:rsidTr="00FB267C">
        <w:trPr>
          <w:cnfStyle w:val="100000000000"/>
        </w:trPr>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Sector</w:t>
            </w:r>
          </w:p>
        </w:tc>
        <w:tc>
          <w:tcPr>
            <w:tcW w:w="6143" w:type="dxa"/>
          </w:tcPr>
          <w:p w:rsidR="00C97970" w:rsidRPr="00B06331" w:rsidRDefault="00C97970" w:rsidP="00F9175F">
            <w:pPr>
              <w:autoSpaceDE w:val="0"/>
              <w:autoSpaceDN w:val="0"/>
              <w:adjustRightInd w:val="0"/>
              <w:spacing w:line="240" w:lineRule="auto"/>
              <w:contextualSpacing/>
              <w:jc w:val="both"/>
              <w:cnfStyle w:val="100000000000"/>
              <w:rPr>
                <w:rFonts w:asciiTheme="majorHAnsi" w:hAnsiTheme="majorHAnsi" w:cstheme="minorHAnsi"/>
              </w:rPr>
            </w:pPr>
            <w:r w:rsidRPr="00B06331">
              <w:rPr>
                <w:rFonts w:asciiTheme="majorHAnsi" w:hAnsiTheme="majorHAnsi" w:cstheme="minorHAnsi"/>
              </w:rPr>
              <w:t>Possible areas for PPP</w:t>
            </w:r>
          </w:p>
        </w:tc>
      </w:tr>
      <w:tr w:rsidR="00C97970" w:rsidRPr="00B06331" w:rsidTr="00FB267C">
        <w:trPr>
          <w:cnfStyle w:val="000000100000"/>
        </w:trPr>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Electricity</w:t>
            </w:r>
          </w:p>
        </w:tc>
        <w:tc>
          <w:tcPr>
            <w:tcW w:w="6143" w:type="dxa"/>
          </w:tcPr>
          <w:p w:rsidR="00C97970" w:rsidRPr="00B06331" w:rsidRDefault="00C97970" w:rsidP="00F9175F">
            <w:pPr>
              <w:autoSpaceDE w:val="0"/>
              <w:autoSpaceDN w:val="0"/>
              <w:adjustRightInd w:val="0"/>
              <w:spacing w:line="240" w:lineRule="auto"/>
              <w:contextualSpacing/>
              <w:jc w:val="both"/>
              <w:cnfStyle w:val="000000100000"/>
              <w:rPr>
                <w:rFonts w:asciiTheme="majorHAnsi" w:hAnsiTheme="majorHAnsi" w:cstheme="minorHAnsi"/>
              </w:rPr>
            </w:pPr>
            <w:r w:rsidRPr="00B06331">
              <w:rPr>
                <w:rFonts w:asciiTheme="majorHAnsi" w:hAnsiTheme="majorHAnsi" w:cstheme="minorHAnsi"/>
              </w:rPr>
              <w:t>Power generation, transmission and distribution</w:t>
            </w:r>
          </w:p>
        </w:tc>
      </w:tr>
      <w:tr w:rsidR="00C97970" w:rsidRPr="00B06331" w:rsidTr="00FB267C">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Ferry services</w:t>
            </w:r>
          </w:p>
        </w:tc>
        <w:tc>
          <w:tcPr>
            <w:tcW w:w="6143" w:type="dxa"/>
          </w:tcPr>
          <w:p w:rsidR="00C97970" w:rsidRPr="00B06331" w:rsidRDefault="00C97970" w:rsidP="00F9175F">
            <w:pPr>
              <w:autoSpaceDE w:val="0"/>
              <w:autoSpaceDN w:val="0"/>
              <w:adjustRightInd w:val="0"/>
              <w:spacing w:line="240" w:lineRule="auto"/>
              <w:contextualSpacing/>
              <w:jc w:val="both"/>
              <w:cnfStyle w:val="000000000000"/>
              <w:rPr>
                <w:rFonts w:asciiTheme="majorHAnsi" w:hAnsiTheme="majorHAnsi" w:cstheme="minorHAnsi"/>
              </w:rPr>
            </w:pPr>
            <w:r w:rsidRPr="00B06331">
              <w:rPr>
                <w:rFonts w:asciiTheme="majorHAnsi" w:hAnsiTheme="majorHAnsi" w:cstheme="minorHAnsi"/>
              </w:rPr>
              <w:t>Acquisition, maintenance and operation</w:t>
            </w:r>
          </w:p>
        </w:tc>
      </w:tr>
      <w:tr w:rsidR="00C97970" w:rsidRPr="00B06331" w:rsidTr="00FB267C">
        <w:trPr>
          <w:cnfStyle w:val="000000100000"/>
        </w:trPr>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Water supply</w:t>
            </w:r>
          </w:p>
        </w:tc>
        <w:tc>
          <w:tcPr>
            <w:tcW w:w="6143" w:type="dxa"/>
          </w:tcPr>
          <w:p w:rsidR="00C97970" w:rsidRPr="00B06331" w:rsidRDefault="00C97970" w:rsidP="00F9175F">
            <w:pPr>
              <w:autoSpaceDE w:val="0"/>
              <w:autoSpaceDN w:val="0"/>
              <w:adjustRightInd w:val="0"/>
              <w:spacing w:line="240" w:lineRule="auto"/>
              <w:contextualSpacing/>
              <w:jc w:val="both"/>
              <w:cnfStyle w:val="000000100000"/>
              <w:rPr>
                <w:rFonts w:asciiTheme="majorHAnsi" w:hAnsiTheme="majorHAnsi" w:cstheme="minorHAnsi"/>
              </w:rPr>
            </w:pPr>
            <w:r w:rsidRPr="00B06331">
              <w:rPr>
                <w:rFonts w:asciiTheme="majorHAnsi" w:hAnsiTheme="majorHAnsi" w:cstheme="minorHAnsi"/>
              </w:rPr>
              <w:t>Solid waste management, sewerage, sanitation, etc.</w:t>
            </w:r>
          </w:p>
        </w:tc>
      </w:tr>
      <w:tr w:rsidR="00C97970" w:rsidRPr="00B06331" w:rsidTr="00FB267C">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Road sector</w:t>
            </w:r>
          </w:p>
        </w:tc>
        <w:tc>
          <w:tcPr>
            <w:tcW w:w="6143" w:type="dxa"/>
          </w:tcPr>
          <w:p w:rsidR="00C97970" w:rsidRPr="00B06331" w:rsidRDefault="00C97970" w:rsidP="00F9175F">
            <w:pPr>
              <w:autoSpaceDE w:val="0"/>
              <w:autoSpaceDN w:val="0"/>
              <w:adjustRightInd w:val="0"/>
              <w:spacing w:line="240" w:lineRule="auto"/>
              <w:contextualSpacing/>
              <w:jc w:val="both"/>
              <w:cnfStyle w:val="000000000000"/>
              <w:rPr>
                <w:rFonts w:asciiTheme="majorHAnsi" w:hAnsiTheme="majorHAnsi" w:cstheme="minorHAnsi"/>
              </w:rPr>
            </w:pPr>
            <w:r w:rsidRPr="00B06331">
              <w:rPr>
                <w:rFonts w:asciiTheme="majorHAnsi" w:hAnsiTheme="majorHAnsi" w:cstheme="minorHAnsi"/>
              </w:rPr>
              <w:t>Construction and/or maintenance of expressways. missing links, bypasses, ring roads, bridges, road over bridges and improvement of roads</w:t>
            </w:r>
          </w:p>
        </w:tc>
      </w:tr>
      <w:tr w:rsidR="00C97970" w:rsidRPr="00B06331" w:rsidTr="00FB267C">
        <w:trPr>
          <w:cnfStyle w:val="000000100000"/>
        </w:trPr>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Ports, Airports, sea ports, etc.</w:t>
            </w:r>
          </w:p>
        </w:tc>
        <w:tc>
          <w:tcPr>
            <w:tcW w:w="6143" w:type="dxa"/>
          </w:tcPr>
          <w:p w:rsidR="00C97970" w:rsidRPr="00B06331" w:rsidRDefault="00C97970" w:rsidP="00F9175F">
            <w:pPr>
              <w:autoSpaceDE w:val="0"/>
              <w:autoSpaceDN w:val="0"/>
              <w:adjustRightInd w:val="0"/>
              <w:spacing w:line="240" w:lineRule="auto"/>
              <w:contextualSpacing/>
              <w:jc w:val="both"/>
              <w:cnfStyle w:val="000000100000"/>
              <w:rPr>
                <w:rFonts w:asciiTheme="majorHAnsi" w:hAnsiTheme="majorHAnsi" w:cstheme="minorHAnsi"/>
              </w:rPr>
            </w:pPr>
            <w:r w:rsidRPr="00B06331">
              <w:rPr>
                <w:rFonts w:asciiTheme="majorHAnsi" w:hAnsiTheme="majorHAnsi" w:cstheme="minorHAnsi"/>
              </w:rPr>
              <w:t>Port, Banjul Airport, River Barges, and Wharfs</w:t>
            </w:r>
          </w:p>
        </w:tc>
      </w:tr>
      <w:tr w:rsidR="00C97970" w:rsidRPr="00B06331" w:rsidTr="00FB267C">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Telecommunications</w:t>
            </w:r>
          </w:p>
        </w:tc>
        <w:tc>
          <w:tcPr>
            <w:tcW w:w="6143" w:type="dxa"/>
          </w:tcPr>
          <w:p w:rsidR="00C97970" w:rsidRPr="00B06331" w:rsidRDefault="00C97970" w:rsidP="00F9175F">
            <w:pPr>
              <w:autoSpaceDE w:val="0"/>
              <w:autoSpaceDN w:val="0"/>
              <w:adjustRightInd w:val="0"/>
              <w:spacing w:line="240" w:lineRule="auto"/>
              <w:contextualSpacing/>
              <w:jc w:val="both"/>
              <w:cnfStyle w:val="000000000000"/>
              <w:rPr>
                <w:rFonts w:asciiTheme="majorHAnsi" w:hAnsiTheme="majorHAnsi" w:cstheme="minorHAnsi"/>
              </w:rPr>
            </w:pPr>
            <w:r w:rsidRPr="00B06331">
              <w:rPr>
                <w:rFonts w:asciiTheme="majorHAnsi" w:hAnsiTheme="majorHAnsi" w:cstheme="minorHAnsi"/>
              </w:rPr>
              <w:t>networks—local loop, exchanges, and backbone</w:t>
            </w:r>
          </w:p>
        </w:tc>
      </w:tr>
      <w:tr w:rsidR="00C97970" w:rsidRPr="00B06331" w:rsidTr="00FB267C">
        <w:trPr>
          <w:cnfStyle w:val="000000100000"/>
        </w:trPr>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lastRenderedPageBreak/>
              <w:t>Health sector</w:t>
            </w:r>
          </w:p>
        </w:tc>
        <w:tc>
          <w:tcPr>
            <w:tcW w:w="6143" w:type="dxa"/>
          </w:tcPr>
          <w:p w:rsidR="00C97970" w:rsidRPr="00B06331" w:rsidRDefault="00C97970" w:rsidP="00F9175F">
            <w:pPr>
              <w:autoSpaceDE w:val="0"/>
              <w:autoSpaceDN w:val="0"/>
              <w:adjustRightInd w:val="0"/>
              <w:spacing w:line="240" w:lineRule="auto"/>
              <w:contextualSpacing/>
              <w:jc w:val="both"/>
              <w:cnfStyle w:val="000000100000"/>
              <w:rPr>
                <w:rFonts w:asciiTheme="majorHAnsi" w:hAnsiTheme="majorHAnsi" w:cstheme="minorHAnsi"/>
              </w:rPr>
            </w:pPr>
            <w:r w:rsidRPr="00B06331">
              <w:rPr>
                <w:rFonts w:asciiTheme="majorHAnsi" w:hAnsiTheme="majorHAnsi" w:cstheme="minorHAnsi"/>
                <w:lang w:eastAsia="en-GB"/>
              </w:rPr>
              <w:t>Building projects (teaching hospital, headquarter offices, staff living quarters) as well as for technical support functions (laboratory services, radiology services, blood bank)</w:t>
            </w:r>
          </w:p>
        </w:tc>
      </w:tr>
      <w:tr w:rsidR="00C97970" w:rsidRPr="00B06331" w:rsidTr="00FB267C">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Agriculture</w:t>
            </w:r>
          </w:p>
        </w:tc>
        <w:tc>
          <w:tcPr>
            <w:tcW w:w="6143" w:type="dxa"/>
          </w:tcPr>
          <w:p w:rsidR="00C97970" w:rsidRPr="00B06331" w:rsidRDefault="00C97970" w:rsidP="00F9175F">
            <w:pPr>
              <w:autoSpaceDE w:val="0"/>
              <w:autoSpaceDN w:val="0"/>
              <w:adjustRightInd w:val="0"/>
              <w:spacing w:line="240" w:lineRule="auto"/>
              <w:contextualSpacing/>
              <w:jc w:val="both"/>
              <w:cnfStyle w:val="000000000000"/>
              <w:rPr>
                <w:rFonts w:asciiTheme="majorHAnsi" w:hAnsiTheme="majorHAnsi" w:cstheme="minorHAnsi"/>
              </w:rPr>
            </w:pPr>
            <w:r w:rsidRPr="00B06331">
              <w:rPr>
                <w:rFonts w:asciiTheme="majorHAnsi" w:hAnsiTheme="majorHAnsi" w:cstheme="minorHAnsi"/>
                <w:lang w:eastAsia="en-GB"/>
              </w:rPr>
              <w:t>Irrigation projects, training, quality testing of inputs and outputs</w:t>
            </w:r>
          </w:p>
        </w:tc>
      </w:tr>
      <w:tr w:rsidR="00C97970" w:rsidRPr="00B06331" w:rsidTr="00FB267C">
        <w:trPr>
          <w:cnfStyle w:val="000000100000"/>
        </w:trPr>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Urban services</w:t>
            </w:r>
          </w:p>
        </w:tc>
        <w:tc>
          <w:tcPr>
            <w:tcW w:w="6143" w:type="dxa"/>
          </w:tcPr>
          <w:p w:rsidR="00C97970" w:rsidRPr="00B06331" w:rsidRDefault="00C97970" w:rsidP="00F9175F">
            <w:pPr>
              <w:autoSpaceDE w:val="0"/>
              <w:autoSpaceDN w:val="0"/>
              <w:adjustRightInd w:val="0"/>
              <w:spacing w:line="240" w:lineRule="auto"/>
              <w:contextualSpacing/>
              <w:jc w:val="both"/>
              <w:cnfStyle w:val="000000100000"/>
              <w:rPr>
                <w:rFonts w:asciiTheme="majorHAnsi" w:hAnsiTheme="majorHAnsi" w:cstheme="minorHAnsi"/>
              </w:rPr>
            </w:pPr>
            <w:r w:rsidRPr="00B06331">
              <w:rPr>
                <w:rFonts w:asciiTheme="majorHAnsi" w:hAnsiTheme="majorHAnsi" w:cstheme="minorHAnsi"/>
              </w:rPr>
              <w:t>street lighting, and urban roads, etc.</w:t>
            </w:r>
          </w:p>
        </w:tc>
      </w:tr>
      <w:tr w:rsidR="00C97970" w:rsidRPr="00B06331" w:rsidTr="00FB267C">
        <w:tc>
          <w:tcPr>
            <w:cnfStyle w:val="001000000000"/>
            <w:tcW w:w="3127" w:type="dxa"/>
          </w:tcPr>
          <w:p w:rsidR="00C97970" w:rsidRPr="00B06331" w:rsidRDefault="00C97970" w:rsidP="00F9175F">
            <w:pPr>
              <w:autoSpaceDE w:val="0"/>
              <w:autoSpaceDN w:val="0"/>
              <w:adjustRightInd w:val="0"/>
              <w:spacing w:line="240" w:lineRule="auto"/>
              <w:contextualSpacing/>
              <w:rPr>
                <w:rFonts w:asciiTheme="majorHAnsi" w:hAnsiTheme="majorHAnsi" w:cstheme="minorHAnsi"/>
              </w:rPr>
            </w:pPr>
            <w:r w:rsidRPr="00B06331">
              <w:rPr>
                <w:rFonts w:asciiTheme="majorHAnsi" w:hAnsiTheme="majorHAnsi" w:cstheme="minorHAnsi"/>
              </w:rPr>
              <w:t>Infrastructure for Government</w:t>
            </w:r>
          </w:p>
        </w:tc>
        <w:tc>
          <w:tcPr>
            <w:tcW w:w="6143" w:type="dxa"/>
          </w:tcPr>
          <w:p w:rsidR="00C97970" w:rsidRPr="00B06331" w:rsidRDefault="00C97970" w:rsidP="000C4FD1">
            <w:pPr>
              <w:autoSpaceDE w:val="0"/>
              <w:autoSpaceDN w:val="0"/>
              <w:adjustRightInd w:val="0"/>
              <w:spacing w:after="0" w:line="240" w:lineRule="auto"/>
              <w:jc w:val="both"/>
              <w:cnfStyle w:val="000000000000"/>
              <w:rPr>
                <w:rFonts w:asciiTheme="majorHAnsi" w:hAnsiTheme="majorHAnsi"/>
              </w:rPr>
            </w:pPr>
            <w:r w:rsidRPr="00B06331">
              <w:rPr>
                <w:rFonts w:asciiTheme="majorHAnsi" w:hAnsiTheme="majorHAnsi"/>
                <w:b/>
                <w:bCs/>
              </w:rPr>
              <w:t>Government Infrastructure</w:t>
            </w:r>
            <w:r w:rsidRPr="00B06331">
              <w:rPr>
                <w:rFonts w:asciiTheme="majorHAnsi" w:hAnsiTheme="majorHAnsi"/>
              </w:rPr>
              <w:t>—the fixed assets, networks, and facilities needed for the operation of government</w:t>
            </w:r>
          </w:p>
          <w:p w:rsidR="00C97970" w:rsidRPr="00B06331" w:rsidRDefault="00C97970" w:rsidP="00991700">
            <w:pPr>
              <w:pStyle w:val="ListParagraph"/>
              <w:numPr>
                <w:ilvl w:val="0"/>
                <w:numId w:val="114"/>
              </w:numPr>
              <w:autoSpaceDE w:val="0"/>
              <w:autoSpaceDN w:val="0"/>
              <w:adjustRightInd w:val="0"/>
              <w:spacing w:after="0" w:line="240" w:lineRule="auto"/>
              <w:jc w:val="both"/>
              <w:cnfStyle w:val="000000000000"/>
              <w:rPr>
                <w:rFonts w:asciiTheme="majorHAnsi" w:hAnsiTheme="majorHAnsi"/>
              </w:rPr>
            </w:pPr>
            <w:r w:rsidRPr="00B06331">
              <w:rPr>
                <w:rFonts w:asciiTheme="majorHAnsi" w:hAnsiTheme="majorHAnsi"/>
              </w:rPr>
              <w:t>Government accommodation—physical buildings from which government services are provided such as offices, prison buildings, hospital buildings, and school buildings</w:t>
            </w:r>
            <w:r w:rsidRPr="00B06331">
              <w:rPr>
                <w:rFonts w:asciiTheme="majorHAnsi" w:hAnsiTheme="majorHAnsi" w:cstheme="minorHAnsi"/>
              </w:rPr>
              <w:t>, prison buildings</w:t>
            </w:r>
          </w:p>
          <w:p w:rsidR="00C97970" w:rsidRPr="00B06331" w:rsidRDefault="00C97970" w:rsidP="00991700">
            <w:pPr>
              <w:pStyle w:val="ListParagraph"/>
              <w:numPr>
                <w:ilvl w:val="0"/>
                <w:numId w:val="114"/>
              </w:numPr>
              <w:autoSpaceDE w:val="0"/>
              <w:autoSpaceDN w:val="0"/>
              <w:adjustRightInd w:val="0"/>
              <w:spacing w:after="0" w:line="240" w:lineRule="auto"/>
              <w:jc w:val="both"/>
              <w:cnfStyle w:val="000000000000"/>
              <w:rPr>
                <w:rFonts w:asciiTheme="majorHAnsi" w:hAnsiTheme="majorHAnsi"/>
              </w:rPr>
            </w:pPr>
            <w:r w:rsidRPr="00B06331">
              <w:rPr>
                <w:rFonts w:asciiTheme="majorHAnsi" w:hAnsiTheme="majorHAnsi"/>
              </w:rPr>
              <w:t>Government networks such as telephone or IT hardware—where these systems are not subject to rapid technological change.</w:t>
            </w:r>
          </w:p>
        </w:tc>
      </w:tr>
    </w:tbl>
    <w:p w:rsidR="00AC4360" w:rsidRPr="00B06331" w:rsidRDefault="00AC4360" w:rsidP="00AC4360">
      <w:pPr>
        <w:pStyle w:val="Heading3"/>
        <w:rPr>
          <w:rFonts w:asciiTheme="minorHAnsi" w:eastAsia="Calibri" w:hAnsiTheme="minorHAnsi" w:cstheme="minorHAnsi"/>
          <w:b/>
          <w:bCs/>
          <w:color w:val="auto"/>
          <w:sz w:val="22"/>
          <w:szCs w:val="22"/>
          <w:lang w:val="en-GB"/>
        </w:rPr>
      </w:pPr>
    </w:p>
    <w:p w:rsidR="00C97931" w:rsidRPr="00B06331" w:rsidRDefault="00DB18A5" w:rsidP="00AC4360">
      <w:pPr>
        <w:pStyle w:val="Heading3"/>
        <w:rPr>
          <w:rFonts w:asciiTheme="minorHAnsi" w:hAnsiTheme="minorHAnsi" w:cstheme="minorHAnsi"/>
          <w:b/>
          <w:sz w:val="22"/>
          <w:szCs w:val="22"/>
        </w:rPr>
      </w:pPr>
      <w:bookmarkStart w:id="207" w:name="_Toc492364816"/>
      <w:r w:rsidRPr="00B06331">
        <w:rPr>
          <w:rFonts w:asciiTheme="minorHAnsi" w:hAnsiTheme="minorHAnsi" w:cstheme="minorHAnsi"/>
          <w:b/>
          <w:sz w:val="22"/>
          <w:szCs w:val="22"/>
        </w:rPr>
        <w:t>10.5.3 Concessionary Financing</w:t>
      </w:r>
      <w:bookmarkEnd w:id="207"/>
    </w:p>
    <w:p w:rsidR="00FB267C" w:rsidRPr="00B06331" w:rsidRDefault="00FB267C" w:rsidP="00C97931">
      <w:pPr>
        <w:shd w:val="clear" w:color="auto" w:fill="FFFFFF"/>
        <w:jc w:val="both"/>
        <w:rPr>
          <w:rFonts w:ascii="Avenir Book" w:hAnsi="Avenir Book"/>
          <w:szCs w:val="24"/>
        </w:rPr>
      </w:pPr>
    </w:p>
    <w:p w:rsidR="00C97931" w:rsidRPr="00B06331" w:rsidRDefault="00C97931" w:rsidP="00C97931">
      <w:pPr>
        <w:shd w:val="clear" w:color="auto" w:fill="FFFFFF"/>
        <w:jc w:val="both"/>
        <w:rPr>
          <w:rFonts w:ascii="Avenir Book" w:hAnsi="Avenir Book"/>
          <w:szCs w:val="24"/>
        </w:rPr>
      </w:pPr>
      <w:r w:rsidRPr="00B06331">
        <w:rPr>
          <w:rFonts w:ascii="Avenir Book" w:hAnsi="Avenir Book"/>
          <w:szCs w:val="24"/>
        </w:rPr>
        <w:t xml:space="preserve">Because of the state of the economy, external support will be vital to enable The Gambia </w:t>
      </w:r>
      <w:r w:rsidR="000732BC" w:rsidRPr="00B06331">
        <w:rPr>
          <w:rFonts w:ascii="Avenir Book" w:hAnsi="Avenir Book"/>
          <w:szCs w:val="24"/>
        </w:rPr>
        <w:t>to meet</w:t>
      </w:r>
      <w:r w:rsidRPr="00B06331">
        <w:rPr>
          <w:rFonts w:ascii="Avenir Book" w:hAnsi="Avenir Book"/>
          <w:szCs w:val="24"/>
        </w:rPr>
        <w:t xml:space="preserve"> the financial needs of its National Development Plan</w:t>
      </w:r>
      <w:r w:rsidR="00AC4360" w:rsidRPr="00B06331">
        <w:rPr>
          <w:rFonts w:ascii="Avenir Book" w:hAnsi="Avenir Book"/>
          <w:szCs w:val="24"/>
        </w:rPr>
        <w:t xml:space="preserve">. </w:t>
      </w:r>
      <w:r w:rsidRPr="00B06331">
        <w:rPr>
          <w:rFonts w:ascii="Avenir Book" w:hAnsi="Avenir Book"/>
          <w:szCs w:val="24"/>
        </w:rPr>
        <w:t>A combination of grants and foreign investment will be needed</w:t>
      </w:r>
      <w:r w:rsidR="00AC4360" w:rsidRPr="00B06331">
        <w:rPr>
          <w:rFonts w:ascii="Avenir Book" w:hAnsi="Avenir Book"/>
          <w:szCs w:val="24"/>
        </w:rPr>
        <w:t xml:space="preserve"> for this purpose.Government would therefore work with both traditional and non-traditional partners to secure the necessary financing. </w:t>
      </w:r>
    </w:p>
    <w:p w:rsidR="00C97931" w:rsidRPr="00B06331" w:rsidRDefault="00C97931" w:rsidP="00DB18A5">
      <w:pPr>
        <w:sectPr w:rsidR="00C97931" w:rsidRPr="00B06331">
          <w:pgSz w:w="12240" w:h="15840"/>
          <w:pgMar w:top="1440" w:right="1440" w:bottom="1440" w:left="1440" w:header="720" w:footer="720" w:gutter="0"/>
          <w:cols w:space="720"/>
          <w:docGrid w:linePitch="360"/>
        </w:sectPr>
      </w:pPr>
    </w:p>
    <w:p w:rsidR="004D06EB" w:rsidRPr="00B06331" w:rsidRDefault="004D06EB" w:rsidP="003A5A07">
      <w:pPr>
        <w:pStyle w:val="ListParagraph"/>
        <w:ind w:left="360"/>
        <w:rPr>
          <w:rFonts w:ascii="Avenir Book" w:hAnsi="Avenir Book"/>
          <w:sz w:val="24"/>
          <w:szCs w:val="24"/>
        </w:rPr>
      </w:pPr>
    </w:p>
    <w:p w:rsidR="004D06EB" w:rsidRPr="00B06331" w:rsidRDefault="004D06EB" w:rsidP="003A5A07">
      <w:pPr>
        <w:pStyle w:val="ListParagraph"/>
        <w:ind w:left="360"/>
        <w:rPr>
          <w:rFonts w:ascii="Avenir Book" w:hAnsi="Avenir Book"/>
          <w:sz w:val="24"/>
          <w:szCs w:val="24"/>
        </w:rPr>
      </w:pPr>
      <w:r w:rsidRPr="00B06331">
        <w:rPr>
          <w:noProof/>
        </w:rPr>
        <w:drawing>
          <wp:inline distT="0" distB="0" distL="0" distR="0">
            <wp:extent cx="8229600" cy="544302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443029"/>
                    </a:xfrm>
                    <a:prstGeom prst="rect">
                      <a:avLst/>
                    </a:prstGeom>
                    <a:noFill/>
                    <a:ln>
                      <a:noFill/>
                    </a:ln>
                  </pic:spPr>
                </pic:pic>
              </a:graphicData>
            </a:graphic>
          </wp:inline>
        </w:drawing>
      </w:r>
    </w:p>
    <w:p w:rsidR="00945D53" w:rsidRPr="00B06331" w:rsidRDefault="003A5A07" w:rsidP="003A5A07">
      <w:pPr>
        <w:rPr>
          <w:b/>
        </w:rPr>
        <w:sectPr w:rsidR="00945D53" w:rsidRPr="00B06331" w:rsidSect="004D06EB">
          <w:pgSz w:w="15840" w:h="12240" w:orient="landscape"/>
          <w:pgMar w:top="1440" w:right="1440" w:bottom="1440" w:left="1440" w:header="720" w:footer="720" w:gutter="0"/>
          <w:cols w:space="720"/>
          <w:docGrid w:linePitch="360"/>
        </w:sectPr>
      </w:pPr>
      <w:r w:rsidRPr="00B06331">
        <w:rPr>
          <w:b/>
        </w:rPr>
        <w:br w:type="page"/>
      </w:r>
      <w:r w:rsidR="00945D53" w:rsidRPr="00B06331">
        <w:rPr>
          <w:noProof/>
        </w:rPr>
        <w:lastRenderedPageBreak/>
        <w:drawing>
          <wp:inline distT="0" distB="0" distL="0" distR="0">
            <wp:extent cx="8229600" cy="5836024"/>
            <wp:effectExtent l="0" t="0" r="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836024"/>
                    </a:xfrm>
                    <a:prstGeom prst="rect">
                      <a:avLst/>
                    </a:prstGeom>
                    <a:noFill/>
                    <a:ln>
                      <a:noFill/>
                    </a:ln>
                  </pic:spPr>
                </pic:pic>
              </a:graphicData>
            </a:graphic>
          </wp:inline>
        </w:drawing>
      </w:r>
    </w:p>
    <w:p w:rsidR="004E1A57" w:rsidRPr="00B06331" w:rsidRDefault="004E1A57" w:rsidP="004E1A57">
      <w:pPr>
        <w:jc w:val="center"/>
        <w:rPr>
          <w:rFonts w:asciiTheme="minorHAnsi" w:eastAsiaTheme="minorEastAsia" w:hAnsiTheme="minorHAnsi" w:cstheme="minorHAnsi"/>
          <w:b/>
        </w:rPr>
      </w:pPr>
      <w:r w:rsidRPr="00B06331">
        <w:rPr>
          <w:rFonts w:asciiTheme="minorHAnsi" w:hAnsiTheme="minorHAnsi" w:cstheme="minorHAnsi"/>
          <w:b/>
        </w:rPr>
        <w:lastRenderedPageBreak/>
        <w:t>ANNEX 1: COMPACT ON DELIVERING GOOD GOVERNANCE, ACCOUNTABLE AND EXEMPLARY LEADERSHIP TO THE PEOPLE OF THE GAMBIA</w:t>
      </w:r>
    </w:p>
    <w:p w:rsidR="004E1A57" w:rsidRPr="00B06331" w:rsidRDefault="004E1A57" w:rsidP="004E1A57">
      <w:pPr>
        <w:numPr>
          <w:ilvl w:val="0"/>
          <w:numId w:val="131"/>
        </w:numPr>
        <w:spacing w:after="0" w:line="240" w:lineRule="auto"/>
        <w:contextualSpacing/>
        <w:jc w:val="both"/>
        <w:rPr>
          <w:rFonts w:ascii="Avenir Book" w:hAnsi="Avenir Book" w:cstheme="minorBidi"/>
          <w:sz w:val="24"/>
        </w:rPr>
      </w:pPr>
      <w:r w:rsidRPr="00B06331">
        <w:rPr>
          <w:rFonts w:ascii="Avenir Book" w:hAnsi="Avenir Book"/>
        </w:rPr>
        <w:t>We the Cabinet Ministers of The Republic of The Gambia held a retreat at the Coral Beach Hotel, Banjul, The Gambia from 5-7 May 2017. The objectives of the retreat were:</w:t>
      </w:r>
    </w:p>
    <w:p w:rsidR="004E1A57" w:rsidRPr="00B06331" w:rsidRDefault="004E1A57" w:rsidP="004E1A57">
      <w:pPr>
        <w:numPr>
          <w:ilvl w:val="0"/>
          <w:numId w:val="132"/>
        </w:numPr>
        <w:jc w:val="both"/>
        <w:rPr>
          <w:rFonts w:ascii="Avenir Book" w:hAnsi="Avenir Book" w:cs="Cambria"/>
        </w:rPr>
      </w:pPr>
      <w:r w:rsidRPr="00B06331">
        <w:rPr>
          <w:rFonts w:ascii="Avenir Book" w:hAnsi="Avenir Book" w:cs="Cambria"/>
        </w:rPr>
        <w:t>To position Collaborative Leadership and Dialogue as a core value among Gambian Leaders;</w:t>
      </w:r>
    </w:p>
    <w:p w:rsidR="004E1A57" w:rsidRPr="00B06331" w:rsidRDefault="004E1A57" w:rsidP="004E1A57">
      <w:pPr>
        <w:numPr>
          <w:ilvl w:val="0"/>
          <w:numId w:val="132"/>
        </w:numPr>
        <w:jc w:val="both"/>
        <w:rPr>
          <w:rFonts w:ascii="Avenir Book" w:hAnsi="Avenir Book" w:cs="Cambria"/>
        </w:rPr>
      </w:pPr>
      <w:r w:rsidRPr="00B06331">
        <w:rPr>
          <w:rFonts w:ascii="Avenir Book" w:hAnsi="Avenir Book" w:cs="Cambria"/>
        </w:rPr>
        <w:t>To create a platform where relationships of trust and communication between key leadership is strengthened to help restore social harmony;</w:t>
      </w:r>
    </w:p>
    <w:p w:rsidR="004E1A57" w:rsidRPr="00B06331" w:rsidRDefault="004E1A57" w:rsidP="004E1A57">
      <w:pPr>
        <w:numPr>
          <w:ilvl w:val="0"/>
          <w:numId w:val="132"/>
        </w:numPr>
        <w:jc w:val="both"/>
        <w:rPr>
          <w:rFonts w:ascii="Avenir Book" w:hAnsi="Avenir Book" w:cs="Cambria"/>
        </w:rPr>
      </w:pPr>
      <w:r w:rsidRPr="00B06331">
        <w:rPr>
          <w:rFonts w:ascii="Avenir Book" w:hAnsi="Avenir Book" w:cs="Cambria"/>
        </w:rPr>
        <w:t>To stimulate discussion and analysis of ways to achieve more effective and holistic strategies for inclusive processes that advance governance in the country;</w:t>
      </w:r>
    </w:p>
    <w:p w:rsidR="004E1A57" w:rsidRPr="00B06331" w:rsidRDefault="004E1A57" w:rsidP="004E1A57">
      <w:pPr>
        <w:numPr>
          <w:ilvl w:val="0"/>
          <w:numId w:val="132"/>
        </w:numPr>
        <w:jc w:val="both"/>
        <w:rPr>
          <w:rFonts w:ascii="Avenir Book" w:hAnsi="Avenir Book" w:cs="Cambria"/>
        </w:rPr>
      </w:pPr>
      <w:r w:rsidRPr="00B06331">
        <w:rPr>
          <w:rFonts w:ascii="Avenir Book" w:hAnsi="Avenir Book" w:cs="Cambria"/>
        </w:rPr>
        <w:t>To provide opportunity for participants to build a joint commitment to concrete actions that will enhance collaboration;</w:t>
      </w:r>
    </w:p>
    <w:p w:rsidR="004E1A57" w:rsidRPr="00B06331" w:rsidRDefault="004E1A57" w:rsidP="004E1A57">
      <w:pPr>
        <w:numPr>
          <w:ilvl w:val="0"/>
          <w:numId w:val="132"/>
        </w:numPr>
        <w:jc w:val="both"/>
        <w:rPr>
          <w:rFonts w:ascii="Avenir Book" w:hAnsi="Avenir Book" w:cs="Cambria"/>
        </w:rPr>
      </w:pPr>
      <w:r w:rsidRPr="00B06331">
        <w:rPr>
          <w:rFonts w:ascii="Avenir Book" w:hAnsi="Avenir Book" w:cs="Cambria"/>
        </w:rPr>
        <w:t>To lay the foundation for an Infrastructure for Peace and Social Cohesion; and</w:t>
      </w:r>
    </w:p>
    <w:p w:rsidR="004E1A57" w:rsidRPr="00B06331" w:rsidRDefault="004E1A57" w:rsidP="004E1A57">
      <w:pPr>
        <w:numPr>
          <w:ilvl w:val="0"/>
          <w:numId w:val="132"/>
        </w:numPr>
        <w:jc w:val="both"/>
        <w:rPr>
          <w:rFonts w:ascii="Avenir Book" w:hAnsi="Avenir Book" w:cs="Cambria"/>
        </w:rPr>
      </w:pPr>
      <w:r w:rsidRPr="00B06331">
        <w:rPr>
          <w:rFonts w:ascii="Avenir Book" w:hAnsi="Avenir Book" w:cs="Cambria"/>
        </w:rPr>
        <w:t xml:space="preserve">To collectively agree on key priorities of the government and refocus on ways forward. </w:t>
      </w:r>
    </w:p>
    <w:p w:rsidR="004E1A57" w:rsidRPr="00B06331" w:rsidRDefault="004E1A57" w:rsidP="004E1A57">
      <w:pPr>
        <w:numPr>
          <w:ilvl w:val="0"/>
          <w:numId w:val="131"/>
        </w:numPr>
        <w:spacing w:after="0" w:line="240" w:lineRule="auto"/>
        <w:contextualSpacing/>
        <w:jc w:val="both"/>
        <w:rPr>
          <w:rFonts w:ascii="Avenir Book" w:hAnsi="Avenir Book"/>
        </w:rPr>
      </w:pPr>
      <w:r w:rsidRPr="00B06331">
        <w:rPr>
          <w:rFonts w:ascii="Avenir Book" w:hAnsi="Avenir Book"/>
        </w:rPr>
        <w:t xml:space="preserve">We were addressed by His Excellency President Adama Barrow who commended the meeting for recognizing the importance of peace and reconciliation as an essential requirement for democratic stability and economic development. He urged us to strengthen the capacities of the Ministries we lead; create policies to ensure transparency and accountability of public officials; enhance youth employment; promote women’s equality and empowerment; ensure judicious use of state resources; and to demonstrate high standards of integrity. </w:t>
      </w:r>
    </w:p>
    <w:p w:rsidR="004E1A57" w:rsidRPr="00B06331" w:rsidRDefault="004E1A57" w:rsidP="004E1A57">
      <w:pPr>
        <w:numPr>
          <w:ilvl w:val="0"/>
          <w:numId w:val="131"/>
        </w:numPr>
        <w:spacing w:after="0" w:line="240" w:lineRule="auto"/>
        <w:contextualSpacing/>
        <w:jc w:val="both"/>
        <w:rPr>
          <w:rFonts w:ascii="Avenir Book" w:hAnsi="Avenir Book" w:cstheme="minorBidi"/>
        </w:rPr>
      </w:pPr>
      <w:r w:rsidRPr="00B06331">
        <w:rPr>
          <w:rFonts w:ascii="Avenir Book" w:hAnsi="Avenir Book"/>
        </w:rPr>
        <w:t>We were also addressed by H.E. Fatoumata Jallow Tambajang, the Minister for Women’s Affairs and responsible for the Office of Vice-President; Dr. Ibrahim Assane Mayaki, former Prime Minister of Niger and currently CEO of NEPAD Agency; H.E. Dr. Mohamed Ibn Chambas, SRSG, UNOWAS; Dr. Abdoulaye Mar Dieye, Assistant Secretary-General and Director of the African Bureau of UNDP; and Dr. Fatima Denton, Director of the Special Initiative Division, UNECA.</w:t>
      </w:r>
    </w:p>
    <w:p w:rsidR="004E1A57" w:rsidRPr="00B06331" w:rsidRDefault="004E1A57" w:rsidP="004E1A57">
      <w:pPr>
        <w:numPr>
          <w:ilvl w:val="0"/>
          <w:numId w:val="131"/>
        </w:numPr>
        <w:spacing w:after="0" w:line="240" w:lineRule="auto"/>
        <w:contextualSpacing/>
        <w:jc w:val="both"/>
        <w:rPr>
          <w:rFonts w:ascii="Avenir Book" w:hAnsi="Avenir Book"/>
        </w:rPr>
      </w:pPr>
      <w:r w:rsidRPr="00B06331">
        <w:rPr>
          <w:rFonts w:ascii="Avenir Book" w:hAnsi="Avenir Book"/>
        </w:rPr>
        <w:t xml:space="preserve"> We reviewed and discussed wide ranging topics </w:t>
      </w:r>
      <w:r w:rsidR="00E32BF2" w:rsidRPr="00B06331">
        <w:rPr>
          <w:rFonts w:ascii="Avenir Book" w:hAnsi="Avenir Book"/>
        </w:rPr>
        <w:t>including</w:t>
      </w:r>
      <w:r w:rsidRPr="00B06331">
        <w:rPr>
          <w:rFonts w:ascii="Avenir Book" w:hAnsi="Avenir Book"/>
        </w:rPr>
        <w:t xml:space="preserve"> the Gambia’s National Development Plan (NDP) in the context of Africa’s development agenda; and strengthening mutual trust and confidence among the different ministries to respond to the wishes and aspirations of all Gambians in achieving “One Gambia, One Nation, One People.”</w:t>
      </w:r>
    </w:p>
    <w:p w:rsidR="004E1A57" w:rsidRPr="00B06331" w:rsidRDefault="004E1A57" w:rsidP="004E1A57">
      <w:pPr>
        <w:jc w:val="both"/>
        <w:rPr>
          <w:rFonts w:ascii="Avenir Book" w:hAnsi="Avenir Book"/>
        </w:rPr>
      </w:pPr>
      <w:r w:rsidRPr="00B06331">
        <w:rPr>
          <w:rFonts w:ascii="Avenir Book" w:hAnsi="Avenir Book"/>
        </w:rPr>
        <w:t>5. We pledge to perform our duties guided by the following principles:</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Probity, accountability and transparency;</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Inclusivity;</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Justice and rule of law;</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Effective Civil Service delivery;</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Patriotic Altruism;</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Togetherness;</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Resort to legal means for dispute resolution;</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Pragmatism;</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Openness to new ideas and criticism;</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lastRenderedPageBreak/>
        <w:t>Detribalization;</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Modesty in lifestyle; and</w:t>
      </w:r>
    </w:p>
    <w:p w:rsidR="004E1A57" w:rsidRPr="00B06331" w:rsidRDefault="004E1A57" w:rsidP="004E1A57">
      <w:pPr>
        <w:numPr>
          <w:ilvl w:val="0"/>
          <w:numId w:val="133"/>
        </w:numPr>
        <w:spacing w:after="0" w:line="240" w:lineRule="auto"/>
        <w:contextualSpacing/>
        <w:jc w:val="both"/>
        <w:rPr>
          <w:rFonts w:ascii="Avenir Book" w:hAnsi="Avenir Book"/>
        </w:rPr>
      </w:pPr>
      <w:r w:rsidRPr="00B06331">
        <w:rPr>
          <w:rFonts w:ascii="Avenir Book" w:hAnsi="Avenir Book"/>
        </w:rPr>
        <w:t>Collaboration with regional, continental and international stakeholders.</w:t>
      </w:r>
    </w:p>
    <w:p w:rsidR="004E1A57" w:rsidRPr="00B06331" w:rsidRDefault="004E1A57" w:rsidP="004E1A57">
      <w:pPr>
        <w:numPr>
          <w:ilvl w:val="0"/>
          <w:numId w:val="134"/>
        </w:numPr>
        <w:spacing w:after="0" w:line="240" w:lineRule="auto"/>
        <w:contextualSpacing/>
        <w:jc w:val="both"/>
        <w:rPr>
          <w:rFonts w:ascii="Avenir Book" w:hAnsi="Avenir Book"/>
        </w:rPr>
      </w:pPr>
      <w:r w:rsidRPr="00B06331">
        <w:rPr>
          <w:rFonts w:ascii="Avenir Book" w:hAnsi="Avenir Book"/>
        </w:rPr>
        <w:t xml:space="preserve">We are individually and collectively committed to the great people of The Gambia, and will be guided by the Constitution and the laws of The Gambia. </w:t>
      </w:r>
    </w:p>
    <w:p w:rsidR="004E1A57" w:rsidRPr="00B06331" w:rsidRDefault="004E1A57" w:rsidP="004E1A57">
      <w:pPr>
        <w:numPr>
          <w:ilvl w:val="0"/>
          <w:numId w:val="134"/>
        </w:numPr>
        <w:spacing w:after="0" w:line="240" w:lineRule="auto"/>
        <w:contextualSpacing/>
        <w:jc w:val="both"/>
        <w:rPr>
          <w:rFonts w:ascii="Avenir Book" w:hAnsi="Avenir Book"/>
        </w:rPr>
      </w:pPr>
      <w:r w:rsidRPr="00B06331">
        <w:rPr>
          <w:rFonts w:ascii="Avenir Book" w:hAnsi="Avenir Book"/>
        </w:rPr>
        <w:t>We pledge to accelerate the socio-economic development of The Gambia by prioritizing the following:</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Accelerate economic revival and transformation underpinned by:</w:t>
      </w:r>
    </w:p>
    <w:p w:rsidR="004E1A57" w:rsidRPr="00B06331" w:rsidRDefault="004E1A57" w:rsidP="004E1A57">
      <w:pPr>
        <w:numPr>
          <w:ilvl w:val="0"/>
          <w:numId w:val="136"/>
        </w:numPr>
        <w:spacing w:after="0" w:line="240" w:lineRule="auto"/>
        <w:contextualSpacing/>
        <w:jc w:val="both"/>
        <w:rPr>
          <w:rFonts w:ascii="Avenir Book" w:hAnsi="Avenir Book"/>
        </w:rPr>
      </w:pPr>
      <w:r w:rsidRPr="00B06331">
        <w:rPr>
          <w:rFonts w:ascii="Avenir Book" w:hAnsi="Avenir Book"/>
        </w:rPr>
        <w:t>strong economic management;</w:t>
      </w:r>
    </w:p>
    <w:p w:rsidR="004E1A57" w:rsidRPr="00B06331" w:rsidRDefault="004E1A57" w:rsidP="004E1A57">
      <w:pPr>
        <w:numPr>
          <w:ilvl w:val="0"/>
          <w:numId w:val="136"/>
        </w:numPr>
        <w:spacing w:after="0" w:line="240" w:lineRule="auto"/>
        <w:contextualSpacing/>
        <w:jc w:val="both"/>
        <w:rPr>
          <w:rFonts w:ascii="Avenir Book" w:hAnsi="Avenir Book"/>
        </w:rPr>
      </w:pPr>
      <w:r w:rsidRPr="00B06331">
        <w:rPr>
          <w:rFonts w:ascii="Avenir Book" w:hAnsi="Avenir Book"/>
        </w:rPr>
        <w:t>robust institutional development;</w:t>
      </w:r>
    </w:p>
    <w:p w:rsidR="004E1A57" w:rsidRPr="00B06331" w:rsidRDefault="004E1A57" w:rsidP="004E1A57">
      <w:pPr>
        <w:numPr>
          <w:ilvl w:val="0"/>
          <w:numId w:val="136"/>
        </w:numPr>
        <w:spacing w:after="0" w:line="240" w:lineRule="auto"/>
        <w:contextualSpacing/>
        <w:jc w:val="both"/>
        <w:rPr>
          <w:rFonts w:ascii="Avenir Book" w:hAnsi="Avenir Book"/>
        </w:rPr>
      </w:pPr>
      <w:r w:rsidRPr="00B06331">
        <w:rPr>
          <w:rFonts w:ascii="Avenir Book" w:hAnsi="Avenir Book"/>
        </w:rPr>
        <w:t>reinforce the enabling environment for the private sector, and domestic and foreign investment;</w:t>
      </w:r>
    </w:p>
    <w:p w:rsidR="004E1A57" w:rsidRPr="00B06331" w:rsidRDefault="004E1A57" w:rsidP="004E1A57">
      <w:pPr>
        <w:numPr>
          <w:ilvl w:val="0"/>
          <w:numId w:val="136"/>
        </w:numPr>
        <w:spacing w:after="0" w:line="240" w:lineRule="auto"/>
        <w:contextualSpacing/>
        <w:jc w:val="both"/>
        <w:rPr>
          <w:rFonts w:ascii="Avenir Book" w:hAnsi="Avenir Book"/>
        </w:rPr>
      </w:pPr>
      <w:r w:rsidRPr="00B06331">
        <w:rPr>
          <w:rFonts w:ascii="Avenir Book" w:hAnsi="Avenir Book"/>
        </w:rPr>
        <w:t>expand the industrial sector, trade and regional integration;</w:t>
      </w:r>
    </w:p>
    <w:p w:rsidR="004E1A57" w:rsidRPr="00B06331" w:rsidRDefault="004E1A57" w:rsidP="004E1A57">
      <w:pPr>
        <w:numPr>
          <w:ilvl w:val="0"/>
          <w:numId w:val="136"/>
        </w:numPr>
        <w:spacing w:after="0" w:line="240" w:lineRule="auto"/>
        <w:contextualSpacing/>
        <w:jc w:val="both"/>
        <w:rPr>
          <w:rFonts w:ascii="Avenir Book" w:hAnsi="Avenir Book"/>
        </w:rPr>
      </w:pPr>
      <w:r w:rsidRPr="00B06331">
        <w:rPr>
          <w:rFonts w:ascii="Avenir Book" w:hAnsi="Avenir Book"/>
        </w:rPr>
        <w:t xml:space="preserve">redynamize the tourism and fisheries sectors; and </w:t>
      </w:r>
    </w:p>
    <w:p w:rsidR="004E1A57" w:rsidRPr="00B06331" w:rsidRDefault="004E1A57" w:rsidP="004E1A57">
      <w:pPr>
        <w:numPr>
          <w:ilvl w:val="0"/>
          <w:numId w:val="136"/>
        </w:numPr>
        <w:spacing w:after="0" w:line="240" w:lineRule="auto"/>
        <w:contextualSpacing/>
        <w:jc w:val="both"/>
        <w:rPr>
          <w:rFonts w:ascii="Avenir Book" w:hAnsi="Avenir Book"/>
        </w:rPr>
      </w:pPr>
      <w:r w:rsidRPr="00B06331">
        <w:rPr>
          <w:rFonts w:ascii="Avenir Book" w:hAnsi="Avenir Book"/>
        </w:rPr>
        <w:t xml:space="preserve">ensure effective land use planning and management. </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Promote investments in infrastructure and energy;</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Modernize and revitalize the agricultural sector and agribusiness, with the aim of achieving food security and rural development;</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Promote youth development and employment;</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Ensure the safety and security of all Gambians;</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Provide health care and education systems.</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Mobilize domestic and external resources to support development efforts.</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Strengthen citizens’ engagement in governance and development, with attention to gender equality and empowerment of women and youth;</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Enhance rule of law and justice, and establish a Truth and Reconciliation Commission to promote social cohesion and durable peace; and</w:t>
      </w:r>
    </w:p>
    <w:p w:rsidR="004E1A57" w:rsidRPr="00B06331" w:rsidRDefault="004E1A57" w:rsidP="004E1A57">
      <w:pPr>
        <w:numPr>
          <w:ilvl w:val="0"/>
          <w:numId w:val="135"/>
        </w:numPr>
        <w:spacing w:after="0" w:line="240" w:lineRule="auto"/>
        <w:contextualSpacing/>
        <w:jc w:val="both"/>
        <w:rPr>
          <w:rFonts w:ascii="Avenir Book" w:hAnsi="Avenir Book"/>
        </w:rPr>
      </w:pPr>
      <w:r w:rsidRPr="00B06331">
        <w:rPr>
          <w:rFonts w:ascii="Avenir Book" w:hAnsi="Avenir Book"/>
        </w:rPr>
        <w:t xml:space="preserve">End The Gambia’s isolation and strengthen its relationships with other countries in the sub-region, the continent and the rest of the world. </w:t>
      </w:r>
    </w:p>
    <w:p w:rsidR="004E1A57" w:rsidRPr="00B06331" w:rsidRDefault="004E1A57" w:rsidP="004E1A57">
      <w:pPr>
        <w:numPr>
          <w:ilvl w:val="0"/>
          <w:numId w:val="134"/>
        </w:numPr>
        <w:spacing w:after="0" w:line="240" w:lineRule="auto"/>
        <w:contextualSpacing/>
        <w:jc w:val="both"/>
        <w:rPr>
          <w:rFonts w:ascii="Avenir Book" w:hAnsi="Avenir Book"/>
        </w:rPr>
      </w:pPr>
      <w:r w:rsidRPr="00B06331">
        <w:rPr>
          <w:rFonts w:ascii="Avenir Book" w:hAnsi="Avenir Book"/>
        </w:rPr>
        <w:t xml:space="preserve"> We commit to the implementation of this Compact and will establish a monitoring and evaluation framework to track its progress.</w:t>
      </w:r>
    </w:p>
    <w:p w:rsidR="004E1A57" w:rsidRPr="00B06331" w:rsidRDefault="004E1A57" w:rsidP="004E1A57">
      <w:pPr>
        <w:numPr>
          <w:ilvl w:val="0"/>
          <w:numId w:val="134"/>
        </w:numPr>
        <w:spacing w:after="0" w:line="240" w:lineRule="auto"/>
        <w:contextualSpacing/>
        <w:jc w:val="both"/>
        <w:rPr>
          <w:rFonts w:ascii="Avenir Book" w:hAnsi="Avenir Book"/>
        </w:rPr>
      </w:pPr>
      <w:r w:rsidRPr="00B06331">
        <w:rPr>
          <w:rFonts w:ascii="Avenir Book" w:hAnsi="Avenir Book"/>
        </w:rPr>
        <w:t xml:space="preserve">We thank the UNDP, UNOWAS and UNECA for sponsoring this Collaborative Leadership Retreat. </w:t>
      </w:r>
    </w:p>
    <w:p w:rsidR="004E1A57" w:rsidRPr="00B06331" w:rsidRDefault="004E1A57" w:rsidP="004E1A57">
      <w:pPr>
        <w:rPr>
          <w:rFonts w:ascii="Avenir Book" w:hAnsi="Avenir Book"/>
        </w:rPr>
      </w:pPr>
    </w:p>
    <w:p w:rsidR="004E1A57" w:rsidRPr="00B06331" w:rsidRDefault="004E1A57" w:rsidP="004E1A57">
      <w:pPr>
        <w:ind w:left="2880"/>
        <w:rPr>
          <w:rFonts w:ascii="Avenir Book" w:hAnsi="Avenir Book"/>
        </w:rPr>
      </w:pPr>
      <w:r w:rsidRPr="00B06331">
        <w:rPr>
          <w:rFonts w:ascii="Avenir Book" w:hAnsi="Avenir Book"/>
        </w:rPr>
        <w:t>Done in Banjul, The Gambia, on 7</w:t>
      </w:r>
      <w:r w:rsidRPr="00B06331">
        <w:rPr>
          <w:rFonts w:ascii="Avenir Book" w:hAnsi="Avenir Book"/>
          <w:vertAlign w:val="superscript"/>
        </w:rPr>
        <w:t>th</w:t>
      </w:r>
      <w:r w:rsidRPr="00B06331">
        <w:rPr>
          <w:rFonts w:ascii="Avenir Book" w:hAnsi="Avenir Book"/>
        </w:rPr>
        <w:t xml:space="preserve"> May 2017</w:t>
      </w:r>
    </w:p>
    <w:p w:rsidR="00D7018B" w:rsidRPr="00B06331" w:rsidRDefault="00D7018B" w:rsidP="004E1A57">
      <w:pPr>
        <w:rPr>
          <w:rFonts w:ascii="Avenir Book" w:hAnsi="Avenir Book"/>
          <w:b/>
          <w:sz w:val="20"/>
        </w:rPr>
        <w:sectPr w:rsidR="00D7018B" w:rsidRPr="00B06331" w:rsidSect="00D7018B">
          <w:pgSz w:w="12240" w:h="15840"/>
          <w:pgMar w:top="1440" w:right="1440" w:bottom="1440" w:left="1440" w:header="720" w:footer="720" w:gutter="0"/>
          <w:cols w:space="720"/>
          <w:docGrid w:linePitch="360"/>
        </w:sectPr>
      </w:pPr>
    </w:p>
    <w:p w:rsidR="004E1A57" w:rsidRPr="00B06331" w:rsidRDefault="004E1A57" w:rsidP="004E1A57">
      <w:pPr>
        <w:jc w:val="center"/>
        <w:rPr>
          <w:rFonts w:ascii="Avenir Book" w:hAnsi="Avenir Book"/>
          <w:b/>
          <w:sz w:val="20"/>
        </w:rPr>
      </w:pPr>
      <w:r w:rsidRPr="00B06331">
        <w:rPr>
          <w:rFonts w:ascii="Avenir Book" w:hAnsi="Avenir Book"/>
          <w:b/>
          <w:sz w:val="20"/>
        </w:rPr>
        <w:lastRenderedPageBreak/>
        <w:t>Annex 2: Matrix on Goals, Outcomes, and Institutional Responsibilities for the NDP (2018-2021)</w:t>
      </w:r>
    </w:p>
    <w:tbl>
      <w:tblPr>
        <w:tblStyle w:val="ListTable4Accent1"/>
        <w:tblpPr w:leftFromText="187" w:rightFromText="187" w:vertAnchor="text" w:horzAnchor="page" w:tblpXSpec="center" w:tblpY="1"/>
        <w:tblW w:w="5619" w:type="pct"/>
        <w:tblLook w:val="04A0"/>
      </w:tblPr>
      <w:tblGrid>
        <w:gridCol w:w="5897"/>
        <w:gridCol w:w="3657"/>
        <w:gridCol w:w="1729"/>
        <w:gridCol w:w="3524"/>
      </w:tblGrid>
      <w:tr w:rsidR="004E1A57" w:rsidRPr="00B06331" w:rsidTr="004E1A57">
        <w:trPr>
          <w:cnfStyle w:val="100000000000"/>
          <w:trHeight w:val="800"/>
          <w:tblHeader/>
        </w:trPr>
        <w:tc>
          <w:tcPr>
            <w:cnfStyle w:val="001000000000"/>
            <w:tcW w:w="1991" w:type="pct"/>
            <w:tcBorders>
              <w:right w:val="nil"/>
            </w:tcBorders>
          </w:tcPr>
          <w:p w:rsidR="004E1A57" w:rsidRPr="00B06331" w:rsidRDefault="004E1A57">
            <w:pPr>
              <w:rPr>
                <w:rFonts w:ascii="Avenir Book" w:hAnsi="Avenir Book"/>
                <w:b w:val="0"/>
                <w:sz w:val="16"/>
                <w:szCs w:val="16"/>
              </w:rPr>
            </w:pPr>
            <w:r w:rsidRPr="00B06331">
              <w:rPr>
                <w:rFonts w:ascii="Avenir Book" w:hAnsi="Avenir Book"/>
                <w:b w:val="0"/>
                <w:sz w:val="16"/>
                <w:szCs w:val="16"/>
              </w:rPr>
              <w:t>Strategic Priority</w:t>
            </w:r>
          </w:p>
          <w:p w:rsidR="004E1A57" w:rsidRPr="00B06331" w:rsidRDefault="004E1A57">
            <w:pPr>
              <w:rPr>
                <w:rFonts w:ascii="Avenir Book" w:hAnsi="Avenir Book"/>
                <w:b w:val="0"/>
                <w:sz w:val="16"/>
                <w:szCs w:val="16"/>
              </w:rPr>
            </w:pPr>
          </w:p>
          <w:p w:rsidR="004E1A57" w:rsidRPr="00B06331" w:rsidRDefault="004E1A57">
            <w:pPr>
              <w:rPr>
                <w:rFonts w:ascii="Avenir Book" w:hAnsi="Avenir Book"/>
                <w:b w:val="0"/>
                <w:sz w:val="16"/>
                <w:szCs w:val="16"/>
              </w:rPr>
            </w:pPr>
            <w:r w:rsidRPr="00B06331">
              <w:rPr>
                <w:rFonts w:ascii="Avenir Book" w:hAnsi="Avenir Book"/>
                <w:b w:val="0"/>
                <w:sz w:val="16"/>
                <w:szCs w:val="16"/>
              </w:rPr>
              <w:t xml:space="preserve">                             Goal(s)</w:t>
            </w:r>
          </w:p>
        </w:tc>
        <w:tc>
          <w:tcPr>
            <w:tcW w:w="1235" w:type="pct"/>
            <w:tcBorders>
              <w:left w:val="nil"/>
              <w:right w:val="nil"/>
            </w:tcBorders>
            <w:hideMark/>
          </w:tcPr>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Outcome(s)</w:t>
            </w:r>
          </w:p>
        </w:tc>
        <w:tc>
          <w:tcPr>
            <w:tcW w:w="584" w:type="pct"/>
            <w:tcBorders>
              <w:left w:val="nil"/>
              <w:right w:val="nil"/>
            </w:tcBorders>
            <w:hideMark/>
          </w:tcPr>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Lead Institution/</w:t>
            </w:r>
          </w:p>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Convener</w:t>
            </w:r>
          </w:p>
        </w:tc>
        <w:tc>
          <w:tcPr>
            <w:tcW w:w="1190" w:type="pct"/>
            <w:tcBorders>
              <w:left w:val="nil"/>
            </w:tcBorders>
          </w:tcPr>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Other Key Institutions</w:t>
            </w:r>
          </w:p>
          <w:p w:rsidR="004E1A57" w:rsidRPr="00B06331" w:rsidRDefault="004E1A57">
            <w:pPr>
              <w:cnfStyle w:val="100000000000"/>
              <w:rPr>
                <w:rFonts w:ascii="Avenir Book" w:hAnsi="Avenir Book"/>
                <w:b w:val="0"/>
                <w:sz w:val="16"/>
                <w:szCs w:val="16"/>
              </w:rPr>
            </w:pPr>
          </w:p>
        </w:tc>
      </w:tr>
      <w:tr w:rsidR="004E1A57" w:rsidRPr="00B06331" w:rsidTr="004E1A57">
        <w:trPr>
          <w:cnfStyle w:val="000000100000"/>
          <w:trHeight w:val="317"/>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sz w:val="16"/>
                <w:szCs w:val="16"/>
              </w:rPr>
            </w:pPr>
            <w:r w:rsidRPr="00B06331">
              <w:rPr>
                <w:rFonts w:ascii="Avenir Book" w:hAnsi="Avenir Book"/>
                <w:color w:val="000000" w:themeColor="text1"/>
                <w:sz w:val="16"/>
                <w:szCs w:val="16"/>
              </w:rPr>
              <w:t>Governance and Human Rights</w:t>
            </w:r>
          </w:p>
        </w:tc>
      </w:tr>
      <w:tr w:rsidR="004E1A57" w:rsidRPr="00B06331" w:rsidTr="004E1A57">
        <w:trPr>
          <w:trHeight w:hRule="exact" w:val="461"/>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sz w:val="16"/>
                <w:szCs w:val="16"/>
              </w:rPr>
            </w:pPr>
            <w:r w:rsidRPr="00B06331">
              <w:rPr>
                <w:rFonts w:ascii="Avenir Book" w:hAnsi="Avenir Book"/>
                <w:sz w:val="16"/>
                <w:szCs w:val="16"/>
              </w:rPr>
              <w:t>To enhance and improve human rights, access to justice and good governance for all</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8"/>
              </w:numPr>
              <w:tabs>
                <w:tab w:val="left" w:pos="1628"/>
              </w:tabs>
              <w:spacing w:line="240" w:lineRule="auto"/>
              <w:cnfStyle w:val="000000000000"/>
              <w:rPr>
                <w:rFonts w:ascii="Avenir Book" w:eastAsia="MS Mincho" w:hAnsi="Avenir Book"/>
                <w:sz w:val="16"/>
                <w:szCs w:val="16"/>
              </w:rPr>
            </w:pPr>
            <w:r w:rsidRPr="00B06331">
              <w:rPr>
                <w:rFonts w:ascii="Avenir Book" w:hAnsi="Avenir Book"/>
                <w:sz w:val="16"/>
                <w:szCs w:val="16"/>
              </w:rPr>
              <w:t>Enhanced good governance and freedom of expression</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eastAsiaTheme="minorEastAsia" w:hAnsi="Avenir Book" w:cstheme="minorBidi"/>
                <w:sz w:val="16"/>
                <w:szCs w:val="16"/>
              </w:rPr>
            </w:pPr>
            <w:r w:rsidRPr="00B06331">
              <w:rPr>
                <w:rFonts w:ascii="Avenir Book" w:hAnsi="Avenir Book"/>
                <w:color w:val="000000" w:themeColor="text1"/>
                <w:sz w:val="16"/>
                <w:szCs w:val="16"/>
              </w:rPr>
              <w:t>MoJ</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s="Avenir Book"/>
                <w:sz w:val="16"/>
                <w:szCs w:val="16"/>
              </w:rPr>
              <w:t>OP, All other Relevant Government Ministries and Institutions, UN Agencies, NGO’s, CSOs, OVP/Women’s Bureau</w:t>
            </w:r>
          </w:p>
        </w:tc>
      </w:tr>
      <w:tr w:rsidR="004E1A57" w:rsidRPr="00B06331" w:rsidTr="004E1A57">
        <w:trPr>
          <w:cnfStyle w:val="000000100000"/>
          <w:trHeight w:val="872"/>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8"/>
              </w:numPr>
              <w:spacing w:line="240" w:lineRule="auto"/>
              <w:cnfStyle w:val="000000100000"/>
              <w:rPr>
                <w:rFonts w:ascii="Avenir Book" w:hAnsi="Avenir Book"/>
                <w:sz w:val="16"/>
                <w:szCs w:val="16"/>
              </w:rPr>
            </w:pPr>
            <w:r w:rsidRPr="00B06331">
              <w:rPr>
                <w:rFonts w:ascii="Avenir Book" w:hAnsi="Avenir Book"/>
                <w:sz w:val="16"/>
                <w:szCs w:val="16"/>
              </w:rPr>
              <w:t>Human rights and democratic institutions established and strengthened</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MoJ</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cs="Avenir Book"/>
                <w:sz w:val="16"/>
                <w:szCs w:val="16"/>
              </w:rPr>
              <w:t>OP, Center for Civic Education, ACHPR, UNDP, UNICEF, other UN Agencies, US Embassy, EU, other Development Partners</w:t>
            </w:r>
          </w:p>
        </w:tc>
      </w:tr>
      <w:tr w:rsidR="004E1A57" w:rsidRPr="00B06331" w:rsidTr="004E1A57">
        <w:trPr>
          <w:trHeight w:val="806"/>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8"/>
              </w:numPr>
              <w:spacing w:line="240" w:lineRule="auto"/>
              <w:cnfStyle w:val="000000000000"/>
              <w:rPr>
                <w:rFonts w:ascii="Avenir Book" w:eastAsia="MS Mincho" w:hAnsi="Avenir Book"/>
                <w:sz w:val="16"/>
                <w:szCs w:val="16"/>
              </w:rPr>
            </w:pPr>
            <w:r w:rsidRPr="00B06331">
              <w:rPr>
                <w:rFonts w:ascii="Avenir Book" w:eastAsia="MS Mincho" w:hAnsi="Avenir Book"/>
                <w:sz w:val="16"/>
                <w:szCs w:val="16"/>
              </w:rPr>
              <w:t>Improved access to quality justice services (including ADRS, NALA and Ombudsman) without undue delay by an independent and efficient  judiciary</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eastAsiaTheme="minorEastAsia" w:hAnsi="Avenir Book" w:cstheme="minorBidi"/>
                <w:color w:val="000000" w:themeColor="text1"/>
                <w:sz w:val="16"/>
                <w:szCs w:val="16"/>
              </w:rPr>
            </w:pPr>
            <w:r w:rsidRPr="00B06331">
              <w:rPr>
                <w:rFonts w:ascii="Avenir Book" w:hAnsi="Avenir Book"/>
                <w:color w:val="000000" w:themeColor="text1"/>
                <w:sz w:val="16"/>
                <w:szCs w:val="16"/>
              </w:rPr>
              <w:t>MoJ,</w:t>
            </w:r>
          </w:p>
          <w:p w:rsidR="004E1A57" w:rsidRPr="00B06331" w:rsidRDefault="004E1A57">
            <w:pPr>
              <w:cnfStyle w:val="000000000000"/>
              <w:rPr>
                <w:rFonts w:ascii="Avenir Book" w:hAnsi="Avenir Book"/>
                <w:color w:val="000000" w:themeColor="text1"/>
                <w:sz w:val="16"/>
                <w:szCs w:val="16"/>
              </w:rPr>
            </w:pPr>
            <w:r w:rsidRPr="00B06331">
              <w:rPr>
                <w:rFonts w:ascii="Avenir Book" w:hAnsi="Avenir Book"/>
                <w:color w:val="000000" w:themeColor="text1"/>
                <w:sz w:val="16"/>
                <w:szCs w:val="16"/>
              </w:rPr>
              <w:t>Judiciary</w:t>
            </w:r>
          </w:p>
          <w:p w:rsidR="004E1A57" w:rsidRPr="00B06331" w:rsidRDefault="004E1A57">
            <w:pPr>
              <w:cnfStyle w:val="000000000000"/>
              <w:rPr>
                <w:rFonts w:ascii="Avenir Book" w:hAnsi="Avenir Book"/>
                <w:sz w:val="16"/>
                <w:szCs w:val="16"/>
              </w:rPr>
            </w:pPr>
            <w:r w:rsidRPr="00B06331">
              <w:rPr>
                <w:rFonts w:ascii="Avenir Book" w:hAnsi="Avenir Book" w:cs="Cambria"/>
                <w:sz w:val="16"/>
                <w:szCs w:val="16"/>
              </w:rPr>
              <w:t>OMBUDSMAN</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s="Avenir Book"/>
                <w:sz w:val="16"/>
                <w:szCs w:val="16"/>
              </w:rPr>
              <w:t>MOJ, MOFEA, OP, MOI, MOWCI, MOICI, PMO, MOLRG, GCCPC, PSC, National Assembly SSHFC, Ombudsman, NALA, ADRS, Department of Labour, Department of Social Welfare, UN Agencies and other Donor Partners, NGOs, OVP/Women’s Bureau, MEDIA,</w:t>
            </w:r>
          </w:p>
        </w:tc>
      </w:tr>
      <w:tr w:rsidR="004E1A57" w:rsidRPr="00B06331" w:rsidTr="004E1A57">
        <w:trPr>
          <w:cnfStyle w:val="000000100000"/>
          <w:trHeight w:val="269"/>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sz w:val="16"/>
                <w:szCs w:val="16"/>
              </w:rPr>
            </w:pPr>
            <w:r w:rsidRPr="00B06331">
              <w:rPr>
                <w:rFonts w:ascii="Avenir Book" w:hAnsi="Avenir Book"/>
                <w:color w:val="000000" w:themeColor="text1"/>
                <w:sz w:val="16"/>
                <w:szCs w:val="16"/>
              </w:rPr>
              <w:t>Macroeconomic Stabilization and Economic Management</w:t>
            </w:r>
          </w:p>
        </w:tc>
      </w:tr>
      <w:tr w:rsidR="004E1A57" w:rsidRPr="00B06331" w:rsidTr="004E1A57">
        <w:trPr>
          <w:trHeight w:val="826"/>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sz w:val="16"/>
                <w:szCs w:val="16"/>
              </w:rPr>
            </w:pPr>
            <w:r w:rsidRPr="00B06331">
              <w:rPr>
                <w:rFonts w:ascii="Avenir Book" w:eastAsiaTheme="minorHAnsi" w:hAnsi="Avenir Book"/>
                <w:sz w:val="16"/>
                <w:szCs w:val="16"/>
              </w:rPr>
              <w:t>To enhance macroeconomic management for sustainable, inclusive economic growth and poverty reduction</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9"/>
              </w:numPr>
              <w:spacing w:line="240" w:lineRule="auto"/>
              <w:cnfStyle w:val="000000000000"/>
              <w:rPr>
                <w:rFonts w:ascii="Avenir Book" w:hAnsi="Avenir Book"/>
                <w:sz w:val="16"/>
                <w:szCs w:val="16"/>
              </w:rPr>
            </w:pPr>
            <w:r w:rsidRPr="00B06331">
              <w:rPr>
                <w:rFonts w:ascii="Avenir Book" w:hAnsi="Avenir Book"/>
                <w:sz w:val="16"/>
                <w:szCs w:val="16"/>
                <w:lang w:val="en-GB" w:bidi="en-US"/>
              </w:rPr>
              <w:t>Prudent fiscal management for debt sustainability and enhanced resource alignment</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OVP/Women’s Bureau</w:t>
            </w:r>
          </w:p>
        </w:tc>
      </w:tr>
      <w:tr w:rsidR="004E1A57" w:rsidRPr="00B06331" w:rsidTr="004E1A57">
        <w:trPr>
          <w:cnfStyle w:val="000000100000"/>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9"/>
              </w:numPr>
              <w:spacing w:line="240" w:lineRule="auto"/>
              <w:cnfStyle w:val="000000100000"/>
              <w:rPr>
                <w:rFonts w:ascii="Avenir Book" w:hAnsi="Avenir Book"/>
                <w:sz w:val="16"/>
                <w:szCs w:val="16"/>
              </w:rPr>
            </w:pPr>
            <w:r w:rsidRPr="00B06331">
              <w:rPr>
                <w:rFonts w:ascii="Avenir Book" w:hAnsi="Avenir Book"/>
                <w:sz w:val="16"/>
                <w:szCs w:val="16"/>
                <w:lang w:val="en-GB" w:bidi="en-US"/>
              </w:rPr>
              <w:t>Transparent and accountable public financial management</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9"/>
              </w:numPr>
              <w:spacing w:line="240" w:lineRule="auto"/>
              <w:cnfStyle w:val="000000000000"/>
              <w:rPr>
                <w:rFonts w:ascii="Avenir Book" w:hAnsi="Avenir Book"/>
                <w:sz w:val="16"/>
                <w:szCs w:val="16"/>
              </w:rPr>
            </w:pPr>
            <w:r w:rsidRPr="00B06331">
              <w:rPr>
                <w:rFonts w:ascii="Avenir Book" w:hAnsi="Avenir Book"/>
                <w:sz w:val="16"/>
                <w:szCs w:val="16"/>
                <w:lang w:val="en-GB" w:bidi="en-US"/>
              </w:rPr>
              <w:t>Sound monetary policies in place for price and exchange rate stability</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632"/>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9"/>
              </w:numPr>
              <w:spacing w:line="240" w:lineRule="auto"/>
              <w:cnfStyle w:val="000000100000"/>
              <w:rPr>
                <w:rFonts w:ascii="Avenir Book" w:hAnsi="Avenir Book"/>
                <w:sz w:val="16"/>
                <w:szCs w:val="16"/>
              </w:rPr>
            </w:pPr>
            <w:r w:rsidRPr="00B06331">
              <w:rPr>
                <w:rFonts w:ascii="Avenir Book" w:hAnsi="Avenir Book"/>
                <w:sz w:val="16"/>
                <w:szCs w:val="16"/>
              </w:rPr>
              <w:t>Well-governed and financially viable SOEs for enhanced macroeconomic stability and service delivery</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39"/>
              </w:numPr>
              <w:spacing w:line="240" w:lineRule="auto"/>
              <w:cnfStyle w:val="000000000000"/>
              <w:rPr>
                <w:rFonts w:ascii="Avenir Book" w:hAnsi="Avenir Book"/>
                <w:sz w:val="16"/>
                <w:szCs w:val="16"/>
              </w:rPr>
            </w:pPr>
            <w:r w:rsidRPr="00B06331">
              <w:rPr>
                <w:rFonts w:ascii="Avenir Book" w:hAnsi="Avenir Book"/>
                <w:sz w:val="16"/>
                <w:szCs w:val="16"/>
              </w:rPr>
              <w:t xml:space="preserve">Enhanced, independent and autonomous Economic Governance institutions for effective macroeconomic management and </w:t>
            </w:r>
            <w:r w:rsidRPr="00B06331">
              <w:rPr>
                <w:rFonts w:ascii="Avenir Book" w:hAnsi="Avenir Book"/>
                <w:sz w:val="16"/>
                <w:szCs w:val="16"/>
              </w:rPr>
              <w:lastRenderedPageBreak/>
              <w:t>stability</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315"/>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sz w:val="16"/>
                <w:szCs w:val="16"/>
              </w:rPr>
            </w:pPr>
            <w:r w:rsidRPr="00B06331">
              <w:rPr>
                <w:rFonts w:ascii="Avenir Book" w:eastAsia="MS Mincho" w:hAnsi="Avenir Book"/>
                <w:sz w:val="16"/>
                <w:szCs w:val="16"/>
              </w:rPr>
              <w:lastRenderedPageBreak/>
              <w:t>Modernized agriculture, agribusiness and fisheries</w:t>
            </w:r>
          </w:p>
        </w:tc>
      </w:tr>
      <w:tr w:rsidR="004E1A57" w:rsidRPr="00B06331" w:rsidTr="004E1A57">
        <w:trPr>
          <w:trHeight w:val="315"/>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rsidP="004E1A57">
            <w:pPr>
              <w:pStyle w:val="ListParagraph"/>
              <w:numPr>
                <w:ilvl w:val="0"/>
                <w:numId w:val="140"/>
              </w:numPr>
              <w:spacing w:line="240" w:lineRule="auto"/>
              <w:rPr>
                <w:rFonts w:ascii="Avenir Book" w:eastAsia="MS Mincho" w:hAnsi="Avenir Book"/>
                <w:sz w:val="16"/>
                <w:szCs w:val="16"/>
              </w:rPr>
            </w:pPr>
            <w:r w:rsidRPr="00B06331">
              <w:rPr>
                <w:rFonts w:ascii="Avenir Book" w:eastAsia="MS Mincho" w:hAnsi="Avenir Book"/>
                <w:sz w:val="16"/>
                <w:szCs w:val="16"/>
              </w:rPr>
              <w:t>A modern, sustainable and market oriented Agriculture and livestock for increased food and nutrition security, income and employment generation, poverty reduction and economic transformation</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1"/>
              </w:numPr>
              <w:spacing w:line="240" w:lineRule="auto"/>
              <w:cnfStyle w:val="000000000000"/>
              <w:rPr>
                <w:rFonts w:ascii="Avenir Book" w:eastAsiaTheme="minorEastAsia" w:hAnsi="Avenir Book" w:cstheme="minorBidi"/>
                <w:sz w:val="16"/>
                <w:szCs w:val="16"/>
              </w:rPr>
            </w:pPr>
            <w:r w:rsidRPr="00B06331">
              <w:rPr>
                <w:rFonts w:ascii="Avenir Book" w:hAnsi="Avenir Book"/>
                <w:sz w:val="16"/>
                <w:szCs w:val="16"/>
              </w:rPr>
              <w:t>Modern and market led agricultural Sector Policy with appropriate sub-sector policies</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MoA</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 xml:space="preserve">Farmers Platform, NaLOA, GCCI, Justice, </w:t>
            </w:r>
            <w:r w:rsidRPr="00B06331">
              <w:rPr>
                <w:rFonts w:ascii="Avenir Book" w:hAnsi="Avenir Book"/>
                <w:sz w:val="16"/>
                <w:szCs w:val="16"/>
              </w:rPr>
              <w:t>MoFEA, Livestock Dealers Associations, OVP/Women’s Bureau</w:t>
            </w:r>
          </w:p>
        </w:tc>
      </w:tr>
      <w:tr w:rsidR="004E1A57" w:rsidRPr="00B06331" w:rsidTr="004E1A57">
        <w:trPr>
          <w:cnfStyle w:val="000000100000"/>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eastAsia="MS Mincho"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1"/>
              </w:numPr>
              <w:spacing w:line="240" w:lineRule="auto"/>
              <w:cnfStyle w:val="000000100000"/>
              <w:rPr>
                <w:rFonts w:ascii="Avenir Book" w:hAnsi="Avenir Book"/>
                <w:sz w:val="16"/>
                <w:szCs w:val="16"/>
              </w:rPr>
            </w:pPr>
            <w:r w:rsidRPr="00B06331">
              <w:rPr>
                <w:rFonts w:ascii="Avenir Book" w:eastAsiaTheme="minorHAnsi" w:hAnsi="Avenir Book"/>
                <w:sz w:val="16"/>
                <w:szCs w:val="16"/>
              </w:rPr>
              <w:t>Value chains enhanced for Agriculture and Livestock Transformation</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color w:val="000000" w:themeColor="text1"/>
                <w:sz w:val="16"/>
                <w:szCs w:val="16"/>
              </w:rPr>
              <w:t>MoA</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color w:val="000000" w:themeColor="text1"/>
                <w:sz w:val="16"/>
                <w:szCs w:val="16"/>
              </w:rPr>
              <w:t xml:space="preserve">MoFEA (PPP), GLMA, NARI, GCCI, MoTIE, TGSB, FSQA, </w:t>
            </w:r>
            <w:r w:rsidRPr="00B06331">
              <w:rPr>
                <w:rFonts w:ascii="Avenir Book" w:hAnsi="Avenir Book"/>
                <w:sz w:val="16"/>
                <w:szCs w:val="16"/>
              </w:rPr>
              <w:t>GIEPA, TANGO, NACOFAG, OVP/Women’s Bureau</w:t>
            </w:r>
          </w:p>
        </w:tc>
      </w:tr>
      <w:tr w:rsidR="004E1A57" w:rsidRPr="00B06331" w:rsidTr="004E1A57">
        <w:trPr>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eastAsia="MS Mincho"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1"/>
              </w:numPr>
              <w:spacing w:line="240" w:lineRule="auto"/>
              <w:cnfStyle w:val="000000000000"/>
              <w:rPr>
                <w:rFonts w:ascii="Avenir Book" w:hAnsi="Avenir Book"/>
                <w:sz w:val="16"/>
                <w:szCs w:val="16"/>
              </w:rPr>
            </w:pPr>
            <w:r w:rsidRPr="00B06331">
              <w:rPr>
                <w:rFonts w:ascii="Avenir Book" w:eastAsiaTheme="minorHAnsi" w:hAnsi="Avenir Book"/>
                <w:sz w:val="16"/>
                <w:szCs w:val="16"/>
              </w:rPr>
              <w:t>Increased production of basic agricultural commodities (crops &amp; Livestock) for enhanced food and nutrition security</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MoA</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NARI, NaNA, MoLRG, DoF, MoECCNAR, NEA, NACOFAG</w:t>
            </w:r>
          </w:p>
        </w:tc>
      </w:tr>
      <w:tr w:rsidR="004E1A57" w:rsidRPr="00B06331" w:rsidTr="004E1A57">
        <w:trPr>
          <w:cnfStyle w:val="000000100000"/>
          <w:trHeight w:val="315"/>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rsidP="004E1A57">
            <w:pPr>
              <w:pStyle w:val="ListParagraph"/>
              <w:numPr>
                <w:ilvl w:val="0"/>
                <w:numId w:val="140"/>
              </w:numPr>
              <w:spacing w:line="240" w:lineRule="auto"/>
              <w:rPr>
                <w:rFonts w:ascii="Avenir Book" w:eastAsia="MS Mincho" w:hAnsi="Avenir Book"/>
                <w:sz w:val="16"/>
                <w:szCs w:val="16"/>
              </w:rPr>
            </w:pPr>
            <w:r w:rsidRPr="00B06331">
              <w:rPr>
                <w:rFonts w:ascii="Avenir Book" w:eastAsia="MS Mincho" w:hAnsi="Avenir Book"/>
                <w:sz w:val="16"/>
                <w:szCs w:val="16"/>
              </w:rPr>
              <w:t>To promote a vibrant fisheries and aquaculture sector through research, sustainable management and utilization of the fisheries resources to enhance employment and livelihood opportunities, income and foreign exchange earnings, food and nutrition security</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1"/>
              </w:numPr>
              <w:spacing w:line="240" w:lineRule="auto"/>
              <w:cnfStyle w:val="000000100000"/>
              <w:rPr>
                <w:rFonts w:ascii="Avenir Book" w:eastAsiaTheme="minorEastAsia" w:hAnsi="Avenir Book" w:cstheme="minorBidi"/>
                <w:sz w:val="16"/>
                <w:szCs w:val="16"/>
              </w:rPr>
            </w:pPr>
            <w:r w:rsidRPr="00B06331">
              <w:rPr>
                <w:rFonts w:ascii="Avenir Book" w:eastAsiaTheme="minorHAnsi" w:hAnsi="Avenir Book"/>
                <w:sz w:val="16"/>
                <w:szCs w:val="16"/>
              </w:rPr>
              <w:t>Enhanced Institutional efficiency and effectiveness in the fisheries sector</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eastAsia="MS Mincho"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1"/>
              </w:numPr>
              <w:spacing w:line="240" w:lineRule="auto"/>
              <w:cnfStyle w:val="000000000000"/>
              <w:rPr>
                <w:rFonts w:ascii="Avenir Book" w:eastAsiaTheme="minorHAnsi" w:hAnsi="Avenir Book"/>
                <w:sz w:val="16"/>
                <w:szCs w:val="16"/>
              </w:rPr>
            </w:pPr>
            <w:r w:rsidRPr="00B06331">
              <w:rPr>
                <w:rFonts w:ascii="Avenir Book" w:eastAsiaTheme="minorHAnsi" w:hAnsi="Avenir Book"/>
                <w:sz w:val="16"/>
                <w:szCs w:val="16"/>
              </w:rPr>
              <w:t>Improved value chain for    fisheries and aqua culture transformation</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eastAsiaTheme="minorEastAsia" w:hAnsi="Avenir Book" w:cstheme="minorBidi"/>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315"/>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sz w:val="16"/>
                <w:szCs w:val="16"/>
              </w:rPr>
            </w:pPr>
            <w:r w:rsidRPr="00B06331">
              <w:rPr>
                <w:rFonts w:ascii="Avenir Book" w:eastAsia="MS Mincho" w:hAnsi="Avenir Book"/>
                <w:sz w:val="16"/>
                <w:szCs w:val="16"/>
              </w:rPr>
              <w:t>Investing in Our People - Human Capital development (education, health and social protection)</w:t>
            </w:r>
          </w:p>
        </w:tc>
      </w:tr>
      <w:tr w:rsidR="004E1A57" w:rsidRPr="00B06331" w:rsidTr="004E1A57">
        <w:trPr>
          <w:trHeight w:val="315"/>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eastAsia="MS Mincho" w:hAnsi="Avenir Book"/>
                <w:sz w:val="16"/>
                <w:szCs w:val="16"/>
              </w:rPr>
            </w:pPr>
            <w:r w:rsidRPr="00B06331">
              <w:rPr>
                <w:rFonts w:ascii="Avenir Book" w:eastAsia="MS Mincho" w:hAnsi="Avenir Book"/>
                <w:sz w:val="16"/>
                <w:szCs w:val="16"/>
              </w:rPr>
              <w:t>Quality health, education and basic social services accessible and affordable to all and improved social and</w:t>
            </w:r>
          </w:p>
          <w:p w:rsidR="004E1A57" w:rsidRPr="00B06331" w:rsidRDefault="004E1A57">
            <w:pPr>
              <w:rPr>
                <w:rFonts w:ascii="Avenir Book" w:eastAsiaTheme="minorEastAsia" w:hAnsi="Avenir Book" w:cstheme="minorBidi"/>
                <w:sz w:val="16"/>
                <w:szCs w:val="16"/>
              </w:rPr>
            </w:pPr>
            <w:r w:rsidRPr="00B06331">
              <w:rPr>
                <w:rFonts w:ascii="Avenir Book" w:eastAsia="MS Mincho" w:hAnsi="Avenir Book"/>
                <w:sz w:val="16"/>
                <w:szCs w:val="16"/>
              </w:rPr>
              <w:t>child protection systems in place for the most vulnerable</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000000"/>
              <w:rPr>
                <w:rFonts w:ascii="Avenir Book" w:hAnsi="Avenir Book"/>
                <w:sz w:val="16"/>
                <w:szCs w:val="16"/>
              </w:rPr>
            </w:pPr>
            <w:r w:rsidRPr="00B06331">
              <w:rPr>
                <w:rFonts w:ascii="Avenir Book" w:hAnsi="Avenir Book"/>
                <w:sz w:val="16"/>
                <w:szCs w:val="16"/>
              </w:rPr>
              <w:t>Enhanced access to quality and affordable early childhood education nationwide</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100000"/>
              <w:rPr>
                <w:rFonts w:ascii="Avenir Book" w:hAnsi="Avenir Book"/>
                <w:sz w:val="16"/>
                <w:szCs w:val="16"/>
              </w:rPr>
            </w:pPr>
            <w:r w:rsidRPr="00B06331">
              <w:rPr>
                <w:rFonts w:ascii="Avenir Book" w:hAnsi="Avenir Book"/>
                <w:sz w:val="16"/>
                <w:szCs w:val="16"/>
              </w:rPr>
              <w:t>Improved quality learning and relevant life and livelihoods skills</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000000"/>
              <w:rPr>
                <w:rFonts w:ascii="Avenir Book" w:hAnsi="Avenir Book"/>
                <w:sz w:val="16"/>
                <w:szCs w:val="16"/>
              </w:rPr>
            </w:pPr>
            <w:r w:rsidRPr="00B06331">
              <w:rPr>
                <w:rFonts w:ascii="Avenir Book" w:hAnsi="Avenir Book"/>
                <w:sz w:val="16"/>
                <w:szCs w:val="16"/>
              </w:rPr>
              <w:t>Improved access to non-formal education and literacy programmes  for Out of school children, youth and non-lettered adults</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100000"/>
              <w:rPr>
                <w:rFonts w:ascii="Avenir Book" w:hAnsi="Avenir Book"/>
                <w:sz w:val="16"/>
                <w:szCs w:val="16"/>
              </w:rPr>
            </w:pPr>
            <w:r w:rsidRPr="00B06331">
              <w:rPr>
                <w:rFonts w:ascii="Avenir Book" w:hAnsi="Avenir Book"/>
                <w:sz w:val="16"/>
                <w:szCs w:val="16"/>
              </w:rPr>
              <w:t>Strengthened quality health service delivery for  reduction of maternal, new-born and adolescent morbidity and mortality</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Reproductive and Child Health Unit (RCH) and Integrated Management of Neonatal and Childhood Illnesses (IMNCI)</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UNFPA, WHO, UNICEF</w:t>
            </w:r>
          </w:p>
        </w:tc>
      </w:tr>
      <w:tr w:rsidR="004E1A57" w:rsidRPr="00B06331" w:rsidTr="004E1A57">
        <w:trPr>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000000"/>
              <w:rPr>
                <w:rFonts w:ascii="Avenir Book" w:hAnsi="Avenir Book"/>
                <w:sz w:val="16"/>
                <w:szCs w:val="16"/>
              </w:rPr>
            </w:pPr>
            <w:r w:rsidRPr="00B06331">
              <w:rPr>
                <w:rFonts w:ascii="Avenir Book" w:hAnsi="Avenir Book"/>
                <w:sz w:val="16"/>
                <w:szCs w:val="16"/>
              </w:rPr>
              <w:t xml:space="preserve">Reduced burden of communicable and non-communicable diseases and enhanced </w:t>
            </w:r>
            <w:r w:rsidRPr="00B06331">
              <w:rPr>
                <w:rFonts w:ascii="Avenir Book" w:hAnsi="Avenir Book"/>
                <w:sz w:val="16"/>
                <w:szCs w:val="16"/>
              </w:rPr>
              <w:lastRenderedPageBreak/>
              <w:t>capacity to respond to public health emergencies</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lastRenderedPageBreak/>
              <w:t xml:space="preserve">Non Communicable Diseases (NCDs)Unit </w:t>
            </w:r>
            <w:r w:rsidRPr="00B06331">
              <w:rPr>
                <w:rFonts w:ascii="Avenir Book" w:hAnsi="Avenir Book"/>
                <w:sz w:val="16"/>
                <w:szCs w:val="16"/>
              </w:rPr>
              <w:lastRenderedPageBreak/>
              <w:t>National Leprosy and Tuberculosis Program Unit (NLTP), National Malaria Control Program Unit(NMCP), National Aids  Control Program (NACP) Unit, Health Financing Unit-DPI and Directorate of Health Research(DHR)</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lastRenderedPageBreak/>
              <w:t>WHO, UNFPA,GLOBAL FUND</w:t>
            </w:r>
          </w:p>
        </w:tc>
      </w:tr>
      <w:tr w:rsidR="004E1A57" w:rsidRPr="00B06331" w:rsidTr="004E1A57">
        <w:trPr>
          <w:cnfStyle w:val="000000100000"/>
          <w:trHeight w:val="315"/>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100000"/>
              <w:rPr>
                <w:rFonts w:ascii="Avenir Book" w:hAnsi="Avenir Book"/>
                <w:sz w:val="16"/>
                <w:szCs w:val="16"/>
              </w:rPr>
            </w:pPr>
            <w:r w:rsidRPr="00B06331">
              <w:rPr>
                <w:rFonts w:ascii="Avenir Book" w:hAnsi="Avenir Book"/>
                <w:sz w:val="16"/>
                <w:szCs w:val="16"/>
              </w:rPr>
              <w:t>Improved equitable access to safe and affordable water and sanitation, good hygiene practices and environmental protection promoted for all</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000000"/>
              <w:rPr>
                <w:rFonts w:ascii="Avenir Book" w:hAnsi="Avenir Book"/>
                <w:sz w:val="16"/>
                <w:szCs w:val="16"/>
              </w:rPr>
            </w:pPr>
            <w:r w:rsidRPr="00B06331">
              <w:rPr>
                <w:rFonts w:ascii="Avenir Book" w:hAnsi="Avenir Book"/>
                <w:sz w:val="16"/>
                <w:szCs w:val="16"/>
              </w:rPr>
              <w:t>Improved nutritional well-being for all Gambians particularly mothers and children</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758"/>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tcPr>
          <w:p w:rsidR="004E1A57" w:rsidRPr="00B06331" w:rsidRDefault="004E1A57" w:rsidP="004E1A57">
            <w:pPr>
              <w:pStyle w:val="ListParagraph"/>
              <w:numPr>
                <w:ilvl w:val="0"/>
                <w:numId w:val="142"/>
              </w:numPr>
              <w:spacing w:line="240" w:lineRule="auto"/>
              <w:cnfStyle w:val="000000100000"/>
              <w:rPr>
                <w:rFonts w:ascii="Avenir Book" w:hAnsi="Avenir Book"/>
                <w:sz w:val="16"/>
                <w:szCs w:val="16"/>
                <w:lang w:val="en-GB" w:bidi="en-US"/>
              </w:rPr>
            </w:pPr>
            <w:r w:rsidRPr="00B06331">
              <w:rPr>
                <w:rFonts w:ascii="Avenir Book" w:hAnsi="Avenir Book"/>
                <w:sz w:val="16"/>
                <w:szCs w:val="16"/>
              </w:rPr>
              <w:t>The poor and most vulnerable benefit from improved social safety nets and social security</w:t>
            </w:r>
          </w:p>
          <w:p w:rsidR="004E1A57" w:rsidRPr="00B06331" w:rsidRDefault="004E1A57">
            <w:pPr>
              <w:cnfStyle w:val="000000100000"/>
              <w:rPr>
                <w:rFonts w:ascii="Avenir Book" w:eastAsiaTheme="minorEastAsia" w:hAnsi="Avenir Book" w:cstheme="minorBidi"/>
                <w:sz w:val="16"/>
                <w:szCs w:val="16"/>
              </w:rPr>
            </w:pP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2"/>
              </w:numPr>
              <w:spacing w:line="240" w:lineRule="auto"/>
              <w:cnfStyle w:val="000000000000"/>
              <w:rPr>
                <w:rFonts w:ascii="Avenir Book" w:hAnsi="Avenir Book"/>
                <w:sz w:val="16"/>
                <w:szCs w:val="16"/>
              </w:rPr>
            </w:pPr>
            <w:r w:rsidRPr="00B06331">
              <w:rPr>
                <w:rFonts w:ascii="Avenir Book" w:hAnsi="Avenir Book"/>
                <w:sz w:val="16"/>
                <w:szCs w:val="16"/>
                <w:lang w:val="en-GB" w:bidi="en-US"/>
              </w:rPr>
              <w:t>Enhanced Inclusiveness and participation of Persons with disabilities in the national development agenda</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164"/>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sz w:val="16"/>
                <w:szCs w:val="16"/>
              </w:rPr>
            </w:pPr>
            <w:r w:rsidRPr="00B06331">
              <w:rPr>
                <w:rFonts w:ascii="Avenir Book" w:hAnsi="Avenir Book"/>
                <w:sz w:val="16"/>
                <w:szCs w:val="16"/>
              </w:rPr>
              <w:t>Infrastructure and Energy</w:t>
            </w:r>
          </w:p>
        </w:tc>
      </w:tr>
      <w:tr w:rsidR="004E1A57" w:rsidRPr="00B06331" w:rsidTr="004E1A57">
        <w:trPr>
          <w:trHeight w:val="563"/>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sz w:val="16"/>
                <w:szCs w:val="16"/>
              </w:rPr>
            </w:pPr>
            <w:r w:rsidRPr="00B06331">
              <w:rPr>
                <w:rFonts w:ascii="Avenir Book" w:hAnsi="Avenir Book"/>
                <w:sz w:val="16"/>
                <w:szCs w:val="16"/>
              </w:rPr>
              <w:t>Sustainable and improved energy, petroleum, transport sectors for a revitalized economy and wellbeing</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3"/>
              </w:numPr>
              <w:spacing w:line="240" w:lineRule="auto"/>
              <w:cnfStyle w:val="000000000000"/>
              <w:rPr>
                <w:rFonts w:ascii="Avenir Book" w:hAnsi="Avenir Book" w:cstheme="minorBidi"/>
                <w:sz w:val="16"/>
                <w:szCs w:val="16"/>
              </w:rPr>
            </w:pPr>
            <w:r w:rsidRPr="00B06331">
              <w:rPr>
                <w:rFonts w:ascii="Avenir Book" w:hAnsi="Avenir Book"/>
                <w:sz w:val="16"/>
                <w:szCs w:val="16"/>
              </w:rPr>
              <w:t>Improved policy and regulatory framework and enhanced capacities for sustainable energy and petroleum infrastructure</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MoPE, Petroleum Commission and PURA</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NAWEC, MoFEA, NEA, MoECCNAR, IPPs</w:t>
            </w:r>
          </w:p>
        </w:tc>
      </w:tr>
      <w:tr w:rsidR="004E1A57" w:rsidRPr="00B06331" w:rsidTr="004E1A57">
        <w:trPr>
          <w:cnfStyle w:val="000000100000"/>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3"/>
              </w:numPr>
              <w:spacing w:line="240" w:lineRule="auto"/>
              <w:cnfStyle w:val="000000100000"/>
              <w:rPr>
                <w:rFonts w:ascii="Avenir Book" w:hAnsi="Avenir Book"/>
                <w:sz w:val="16"/>
                <w:szCs w:val="16"/>
              </w:rPr>
            </w:pPr>
            <w:r w:rsidRPr="00B06331">
              <w:rPr>
                <w:rFonts w:ascii="Avenir Book" w:hAnsi="Avenir Book"/>
                <w:sz w:val="16"/>
                <w:szCs w:val="16"/>
              </w:rPr>
              <w:t>Improved access to electricity and enhanced household energy security for sustainable socio-economic development</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MoPE</w:t>
            </w:r>
            <w:r w:rsidRPr="00B06331">
              <w:rPr>
                <w:rFonts w:ascii="Avenir Book" w:hAnsi="Avenir Book"/>
                <w:color w:val="000000" w:themeColor="text1"/>
                <w:sz w:val="16"/>
                <w:szCs w:val="16"/>
              </w:rPr>
              <w:t>&amp; NAWEC</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color w:val="000000" w:themeColor="text1"/>
                <w:sz w:val="16"/>
                <w:szCs w:val="16"/>
              </w:rPr>
            </w:pPr>
            <w:r w:rsidRPr="00B06331">
              <w:rPr>
                <w:rFonts w:ascii="Avenir Book" w:hAnsi="Avenir Book"/>
                <w:color w:val="000000" w:themeColor="text1"/>
                <w:sz w:val="16"/>
                <w:szCs w:val="16"/>
              </w:rPr>
              <w:t xml:space="preserve">MoPE, PURA, MoFEA, IPPs, PPP, LGAs, NEA, MoECCNAR, </w:t>
            </w:r>
            <w:r w:rsidRPr="00B06331">
              <w:rPr>
                <w:rFonts w:ascii="Avenir Book" w:hAnsi="Avenir Book"/>
                <w:sz w:val="16"/>
                <w:szCs w:val="16"/>
              </w:rPr>
              <w:t xml:space="preserve">GIEPA, IIPs, REAGAM, </w:t>
            </w:r>
            <w:r w:rsidRPr="00B06331">
              <w:rPr>
                <w:rFonts w:ascii="Avenir Book" w:hAnsi="Avenir Book"/>
                <w:color w:val="000000" w:themeColor="text1"/>
                <w:sz w:val="16"/>
                <w:szCs w:val="16"/>
              </w:rPr>
              <w:t>GREC</w:t>
            </w:r>
          </w:p>
          <w:p w:rsidR="004E1A57" w:rsidRPr="00B06331" w:rsidRDefault="004E1A57">
            <w:pPr>
              <w:cnfStyle w:val="000000100000"/>
              <w:rPr>
                <w:rFonts w:ascii="Avenir Book" w:hAnsi="Avenir Book"/>
                <w:sz w:val="16"/>
                <w:szCs w:val="16"/>
              </w:rPr>
            </w:pPr>
          </w:p>
        </w:tc>
      </w:tr>
      <w:tr w:rsidR="004E1A57" w:rsidRPr="00B06331" w:rsidTr="004E1A57">
        <w:trPr>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3"/>
              </w:numPr>
              <w:spacing w:line="240" w:lineRule="auto"/>
              <w:cnfStyle w:val="000000000000"/>
              <w:rPr>
                <w:rFonts w:ascii="Avenir Book" w:hAnsi="Avenir Book"/>
                <w:sz w:val="16"/>
                <w:szCs w:val="16"/>
              </w:rPr>
            </w:pPr>
            <w:r w:rsidRPr="00B06331">
              <w:rPr>
                <w:rFonts w:ascii="Avenir Book" w:hAnsi="Avenir Book"/>
                <w:sz w:val="16"/>
                <w:szCs w:val="16"/>
                <w:lang w:val="en-GB" w:bidi="en-US"/>
              </w:rPr>
              <w:t>Petroleum resources and products developed for sustainable national development</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Petroleum Commission, GNPC</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MoPE, MoFEA, , NEA, MoECCNAR, GNPC, PURA, TSGB</w:t>
            </w:r>
          </w:p>
        </w:tc>
      </w:tr>
      <w:tr w:rsidR="004E1A57" w:rsidRPr="00B06331" w:rsidTr="004E1A57">
        <w:trPr>
          <w:cnfStyle w:val="000000100000"/>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3"/>
              </w:numPr>
              <w:spacing w:line="240" w:lineRule="auto"/>
              <w:cnfStyle w:val="000000100000"/>
              <w:rPr>
                <w:rFonts w:ascii="Avenir Book" w:hAnsi="Avenir Book"/>
                <w:sz w:val="16"/>
                <w:szCs w:val="16"/>
              </w:rPr>
            </w:pPr>
            <w:r w:rsidRPr="00B06331">
              <w:rPr>
                <w:rFonts w:ascii="Avenir Book" w:hAnsi="Avenir Book"/>
                <w:sz w:val="16"/>
                <w:szCs w:val="16"/>
              </w:rPr>
              <w:t>Enhanced land, river, sea and air transport for affordability, accessibility and competitiveness</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color w:val="000000" w:themeColor="text1"/>
                <w:sz w:val="16"/>
                <w:szCs w:val="16"/>
              </w:rPr>
              <w:t>MoTWI</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GCAA, GIA, GTSC, GMA, NRA, MoFEA (PPP), OVP/Women’s Bureau</w:t>
            </w:r>
          </w:p>
        </w:tc>
      </w:tr>
      <w:tr w:rsidR="004E1A57" w:rsidRPr="00B06331" w:rsidTr="004E1A57">
        <w:trPr>
          <w:trHeight w:val="260"/>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3"/>
              </w:numPr>
              <w:spacing w:line="240" w:lineRule="auto"/>
              <w:cnfStyle w:val="000000000000"/>
              <w:rPr>
                <w:rFonts w:ascii="Avenir Book" w:hAnsi="Avenir Book"/>
                <w:sz w:val="16"/>
                <w:szCs w:val="16"/>
              </w:rPr>
            </w:pPr>
            <w:r w:rsidRPr="00B06331">
              <w:rPr>
                <w:rFonts w:ascii="Avenir Book" w:hAnsi="Avenir Book"/>
                <w:sz w:val="16"/>
                <w:szCs w:val="16"/>
              </w:rPr>
              <w:t>Improved management and provision of public works infrastructure for enhanced socio-economic development</w:t>
            </w: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MoTWI</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t>Dept. of Physical Planning, GFD, GSB, DLS, MoJ, MoHSW, OVP/Women’s Bureau</w:t>
            </w:r>
          </w:p>
        </w:tc>
      </w:tr>
      <w:tr w:rsidR="004E1A57" w:rsidRPr="00B06331" w:rsidTr="004E1A57">
        <w:trPr>
          <w:cnfStyle w:val="000000100000"/>
          <w:trHeight w:val="594"/>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rPr>
                <w:rFonts w:ascii="Avenir Book" w:hAnsi="Avenir Book"/>
                <w:sz w:val="16"/>
                <w:szCs w:val="16"/>
              </w:rPr>
            </w:pPr>
            <w:r w:rsidRPr="00B06331">
              <w:rPr>
                <w:rFonts w:ascii="Avenir Book" w:hAnsi="Avenir Book"/>
                <w:sz w:val="16"/>
                <w:szCs w:val="16"/>
              </w:rPr>
              <w:t>Tourism and culture</w:t>
            </w:r>
          </w:p>
        </w:tc>
      </w:tr>
      <w:tr w:rsidR="004E1A57" w:rsidRPr="00B06331" w:rsidTr="004E1A57">
        <w:trPr>
          <w:trHeight w:val="563"/>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sz w:val="16"/>
                <w:szCs w:val="16"/>
              </w:rPr>
            </w:pPr>
            <w:r w:rsidRPr="00B06331">
              <w:rPr>
                <w:rFonts w:ascii="Avenir Book" w:hAnsi="Avenir Book"/>
                <w:sz w:val="16"/>
                <w:szCs w:val="16"/>
              </w:rPr>
              <w:t>A highly competitive and sustainable tourism industry that is people centred, celebrates our rich and diverse cultural heritage, and contributes to socio-economic</w:t>
            </w:r>
          </w:p>
          <w:p w:rsidR="004E1A57" w:rsidRPr="00B06331" w:rsidRDefault="004E1A57">
            <w:pPr>
              <w:rPr>
                <w:rFonts w:ascii="Avenir Book" w:hAnsi="Avenir Book" w:cstheme="minorBidi"/>
                <w:sz w:val="16"/>
                <w:szCs w:val="16"/>
              </w:rPr>
            </w:pPr>
            <w:r w:rsidRPr="00B06331">
              <w:rPr>
                <w:rFonts w:ascii="Avenir Book" w:hAnsi="Avenir Book"/>
                <w:sz w:val="16"/>
                <w:szCs w:val="16"/>
              </w:rPr>
              <w:t>development</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4"/>
              </w:numPr>
              <w:spacing w:line="240" w:lineRule="auto"/>
              <w:cnfStyle w:val="000000000000"/>
              <w:rPr>
                <w:rFonts w:ascii="Avenir Book" w:hAnsi="Avenir Book"/>
                <w:sz w:val="16"/>
                <w:szCs w:val="16"/>
              </w:rPr>
            </w:pPr>
            <w:r w:rsidRPr="00B06331">
              <w:rPr>
                <w:rFonts w:ascii="Avenir Book" w:hAnsi="Avenir Book"/>
                <w:sz w:val="16"/>
                <w:szCs w:val="16"/>
              </w:rPr>
              <w:t>Enhanced contribution of tourism to economic growth and employment opportunities</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pStyle w:val="ListParagraph"/>
              <w:spacing w:line="240" w:lineRule="auto"/>
              <w:ind w:left="0"/>
              <w:cnfStyle w:val="000000000000"/>
              <w:rPr>
                <w:rFonts w:ascii="Avenir Book" w:hAnsi="Avenir Book"/>
                <w:color w:val="000000" w:themeColor="text1"/>
                <w:sz w:val="16"/>
                <w:szCs w:val="16"/>
              </w:rPr>
            </w:pPr>
            <w:r w:rsidRPr="00B06331">
              <w:rPr>
                <w:rFonts w:ascii="Avenir Book" w:hAnsi="Avenir Book"/>
                <w:color w:val="000000" w:themeColor="text1"/>
                <w:sz w:val="16"/>
                <w:szCs w:val="16"/>
              </w:rPr>
              <w:t>Gambia Tourism Board</w:t>
            </w:r>
          </w:p>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MOTC, GTHI, GHA, TTAG, NCAC, GCAA, GIA, MOTWI, GPA, MOFEA, GBoS,  UNDP,CBG,GID, MOLGL, NEA, Dep’t Lands and surveys, Dep’t Physical Planning, NRA, MOTRIE, GIEPA</w:t>
            </w:r>
          </w:p>
        </w:tc>
      </w:tr>
      <w:tr w:rsidR="004E1A57" w:rsidRPr="00B06331" w:rsidTr="004E1A57">
        <w:trPr>
          <w:cnfStyle w:val="000000100000"/>
          <w:trHeight w:val="76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tcPr>
          <w:p w:rsidR="004E1A57" w:rsidRPr="00B06331" w:rsidRDefault="004E1A57" w:rsidP="004E1A57">
            <w:pPr>
              <w:pStyle w:val="ListParagraph"/>
              <w:numPr>
                <w:ilvl w:val="0"/>
                <w:numId w:val="144"/>
              </w:numPr>
              <w:spacing w:line="240" w:lineRule="auto"/>
              <w:cnfStyle w:val="000000100000"/>
              <w:rPr>
                <w:rFonts w:ascii="Avenir Book" w:hAnsi="Avenir Book"/>
                <w:sz w:val="16"/>
                <w:szCs w:val="16"/>
              </w:rPr>
            </w:pPr>
            <w:r w:rsidRPr="00B06331">
              <w:rPr>
                <w:rFonts w:ascii="Avenir Book" w:hAnsi="Avenir Book"/>
                <w:sz w:val="16"/>
                <w:szCs w:val="16"/>
              </w:rPr>
              <w:t>Cultural assets integrated into the tourism industry and promoted</w:t>
            </w:r>
          </w:p>
          <w:p w:rsidR="004E1A57" w:rsidRPr="00B06331" w:rsidRDefault="004E1A57">
            <w:pPr>
              <w:cnfStyle w:val="000000100000"/>
              <w:rPr>
                <w:rFonts w:ascii="Avenir Book" w:hAnsi="Avenir Book" w:cstheme="minorBidi"/>
                <w:sz w:val="16"/>
                <w:szCs w:val="16"/>
              </w:rPr>
            </w:pPr>
          </w:p>
        </w:tc>
        <w:tc>
          <w:tcPr>
            <w:tcW w:w="584"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color w:val="000000" w:themeColor="text1"/>
                <w:sz w:val="16"/>
                <w:szCs w:val="16"/>
              </w:rPr>
              <w:t>National Centre for Arts and Culture</w:t>
            </w: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color w:val="000000" w:themeColor="text1"/>
                <w:sz w:val="16"/>
                <w:szCs w:val="16"/>
              </w:rPr>
              <w:t>MoTC, GTBoard, GTHI, AG's Chambers, CSG Board, UNESCO, UTG</w:t>
            </w:r>
          </w:p>
        </w:tc>
      </w:tr>
      <w:tr w:rsidR="004E1A57" w:rsidRPr="00B06331" w:rsidTr="004E1A57">
        <w:trPr>
          <w:trHeight w:val="146"/>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color w:val="000000" w:themeColor="text1"/>
                <w:sz w:val="16"/>
                <w:szCs w:val="16"/>
              </w:rPr>
            </w:pPr>
            <w:r w:rsidRPr="00B06331">
              <w:rPr>
                <w:rFonts w:ascii="Avenir Book" w:hAnsi="Avenir Book"/>
                <w:sz w:val="16"/>
                <w:szCs w:val="16"/>
              </w:rPr>
              <w:t>Private Sector Development and Trade</w:t>
            </w:r>
          </w:p>
        </w:tc>
      </w:tr>
      <w:tr w:rsidR="004E1A57" w:rsidRPr="00B06331" w:rsidTr="004E1A57">
        <w:trPr>
          <w:cnfStyle w:val="000000100000"/>
          <w:trHeight w:val="764"/>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tcPr>
          <w:p w:rsidR="004E1A57" w:rsidRPr="00B06331" w:rsidRDefault="004E1A57">
            <w:pPr>
              <w:rPr>
                <w:rFonts w:ascii="Avenir Book" w:hAnsi="Avenir Book"/>
                <w:sz w:val="16"/>
                <w:szCs w:val="16"/>
              </w:rPr>
            </w:pPr>
            <w:r w:rsidRPr="00B06331">
              <w:rPr>
                <w:rFonts w:ascii="Avenir Book" w:hAnsi="Avenir Book"/>
                <w:sz w:val="16"/>
                <w:szCs w:val="16"/>
              </w:rPr>
              <w:t>To enhance the contributions of trade and private sector to growth and employment</w:t>
            </w:r>
          </w:p>
          <w:p w:rsidR="004E1A57" w:rsidRPr="00B06331" w:rsidRDefault="004E1A57">
            <w:pPr>
              <w:rPr>
                <w:rFonts w:ascii="Avenir Book" w:hAnsi="Avenir Book" w:cstheme="minorBidi"/>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5"/>
              </w:numPr>
              <w:spacing w:after="0" w:line="240" w:lineRule="auto"/>
              <w:cnfStyle w:val="000000100000"/>
              <w:rPr>
                <w:rFonts w:ascii="Avenir Book" w:hAnsi="Avenir Book"/>
                <w:sz w:val="16"/>
                <w:szCs w:val="16"/>
                <w:lang w:val="en-GB" w:bidi="en-US"/>
              </w:rPr>
            </w:pPr>
            <w:r w:rsidRPr="00B06331">
              <w:rPr>
                <w:rFonts w:ascii="Avenir Book" w:hAnsi="Avenir Book"/>
                <w:sz w:val="16"/>
                <w:szCs w:val="16"/>
                <w:lang w:val="en-GB" w:bidi="en-US"/>
              </w:rPr>
              <w:t>Upgraded policies, laws, regulations for efficient functioning of the labour market</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eastAsiaTheme="minorEastAsia" w:hAnsi="Avenir Book" w:cstheme="minorBidi"/>
                <w:color w:val="000000" w:themeColor="text1"/>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color w:val="000000" w:themeColor="text1"/>
                <w:sz w:val="16"/>
                <w:szCs w:val="16"/>
              </w:rPr>
            </w:pPr>
          </w:p>
        </w:tc>
      </w:tr>
      <w:tr w:rsidR="004E1A57" w:rsidRPr="00B06331" w:rsidTr="004E1A57">
        <w:trPr>
          <w:trHeight w:val="76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tcPr>
          <w:p w:rsidR="004E1A57" w:rsidRPr="00B06331" w:rsidRDefault="004E1A57" w:rsidP="004E1A57">
            <w:pPr>
              <w:pStyle w:val="ListParagraph"/>
              <w:numPr>
                <w:ilvl w:val="0"/>
                <w:numId w:val="145"/>
              </w:numPr>
              <w:spacing w:after="0" w:line="240" w:lineRule="auto"/>
              <w:cnfStyle w:val="000000000000"/>
              <w:rPr>
                <w:rFonts w:ascii="Avenir Book" w:hAnsi="Avenir Book"/>
                <w:sz w:val="16"/>
                <w:szCs w:val="16"/>
                <w:lang w:val="en-GB" w:bidi="en-US"/>
              </w:rPr>
            </w:pPr>
            <w:r w:rsidRPr="00B06331">
              <w:rPr>
                <w:rFonts w:ascii="Avenir Book" w:hAnsi="Avenir Book"/>
                <w:sz w:val="16"/>
                <w:szCs w:val="16"/>
                <w:lang w:val="en-GB" w:bidi="en-US"/>
              </w:rPr>
              <w:t>Promoted  and facilitated trade, investment and private sector development</w:t>
            </w:r>
          </w:p>
          <w:p w:rsidR="004E1A57" w:rsidRPr="00B06331" w:rsidRDefault="004E1A57" w:rsidP="004E1A57">
            <w:pPr>
              <w:pStyle w:val="ListParagraph"/>
              <w:numPr>
                <w:ilvl w:val="0"/>
                <w:numId w:val="145"/>
              </w:numPr>
              <w:spacing w:line="240" w:lineRule="auto"/>
              <w:cnfStyle w:val="000000000000"/>
              <w:rPr>
                <w:rFonts w:ascii="Avenir Book" w:eastAsiaTheme="minorEastAsia" w:hAnsi="Avenir Book"/>
                <w:sz w:val="16"/>
                <w:szCs w:val="16"/>
              </w:rPr>
            </w:pP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cstheme="minorBidi"/>
                <w:color w:val="000000" w:themeColor="text1"/>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color w:val="000000" w:themeColor="text1"/>
                <w:sz w:val="16"/>
                <w:szCs w:val="16"/>
              </w:rPr>
            </w:pPr>
          </w:p>
        </w:tc>
      </w:tr>
      <w:tr w:rsidR="004E1A57" w:rsidRPr="00B06331" w:rsidTr="004E1A57">
        <w:trPr>
          <w:cnfStyle w:val="000000100000"/>
          <w:trHeight w:val="76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5"/>
              </w:numPr>
              <w:spacing w:line="240" w:lineRule="auto"/>
              <w:cnfStyle w:val="000000100000"/>
              <w:rPr>
                <w:rFonts w:ascii="Avenir Book" w:hAnsi="Avenir Book"/>
                <w:sz w:val="16"/>
                <w:szCs w:val="16"/>
                <w:lang w:val="en-GB" w:bidi="en-US"/>
              </w:rPr>
            </w:pPr>
            <w:r w:rsidRPr="00B06331">
              <w:rPr>
                <w:rFonts w:ascii="Avenir Book" w:hAnsi="Avenir Book"/>
                <w:sz w:val="16"/>
                <w:szCs w:val="16"/>
                <w:lang w:val="en-GB" w:bidi="en-US"/>
              </w:rPr>
              <w:t>MSME and Industrial Growth Enhanced</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eastAsiaTheme="minorEastAsia" w:hAnsi="Avenir Book" w:cstheme="minorBidi"/>
                <w:color w:val="000000" w:themeColor="text1"/>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color w:val="000000" w:themeColor="text1"/>
                <w:sz w:val="16"/>
                <w:szCs w:val="16"/>
              </w:rPr>
            </w:pPr>
          </w:p>
        </w:tc>
      </w:tr>
      <w:tr w:rsidR="004E1A57" w:rsidRPr="00B06331" w:rsidTr="004E1A57">
        <w:trPr>
          <w:trHeight w:val="76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5"/>
              </w:numPr>
              <w:spacing w:line="240" w:lineRule="auto"/>
              <w:cnfStyle w:val="000000000000"/>
              <w:rPr>
                <w:rFonts w:ascii="Avenir Book" w:hAnsi="Avenir Book"/>
                <w:sz w:val="16"/>
                <w:szCs w:val="16"/>
              </w:rPr>
            </w:pPr>
            <w:r w:rsidRPr="00B06331">
              <w:rPr>
                <w:rFonts w:ascii="Avenir Book" w:hAnsi="Avenir Book"/>
                <w:sz w:val="16"/>
                <w:szCs w:val="16"/>
              </w:rPr>
              <w:t>Enhanced employment and employability</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cstheme="minorBidi"/>
                <w:color w:val="000000" w:themeColor="text1"/>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color w:val="000000" w:themeColor="text1"/>
                <w:sz w:val="16"/>
                <w:szCs w:val="16"/>
              </w:rPr>
            </w:pPr>
          </w:p>
        </w:tc>
      </w:tr>
      <w:tr w:rsidR="004E1A57" w:rsidRPr="00B06331" w:rsidTr="004E1A57">
        <w:trPr>
          <w:cnfStyle w:val="000000100000"/>
          <w:trHeight w:val="76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5"/>
              </w:numPr>
              <w:spacing w:line="240" w:lineRule="auto"/>
              <w:cnfStyle w:val="000000100000"/>
              <w:rPr>
                <w:rFonts w:ascii="Avenir Book" w:hAnsi="Avenir Book"/>
                <w:sz w:val="16"/>
                <w:szCs w:val="16"/>
              </w:rPr>
            </w:pPr>
            <w:r w:rsidRPr="00B06331">
              <w:rPr>
                <w:rFonts w:ascii="Avenir Book" w:hAnsi="Avenir Book"/>
                <w:sz w:val="16"/>
                <w:szCs w:val="16"/>
              </w:rPr>
              <w:t>The national Quality Infrastructure improved</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cstheme="minorBidi"/>
                <w:color w:val="000000" w:themeColor="text1"/>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color w:val="000000" w:themeColor="text1"/>
                <w:sz w:val="16"/>
                <w:szCs w:val="16"/>
              </w:rPr>
            </w:pPr>
          </w:p>
        </w:tc>
      </w:tr>
      <w:tr w:rsidR="004E1A57" w:rsidRPr="00B06331" w:rsidTr="004E1A57">
        <w:trPr>
          <w:trHeight w:val="218"/>
        </w:trPr>
        <w:tc>
          <w:tcPr>
            <w:cnfStyle w:val="001000000000"/>
            <w:tcW w:w="5000"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37"/>
              </w:numPr>
              <w:spacing w:line="240" w:lineRule="auto"/>
              <w:rPr>
                <w:rFonts w:ascii="Avenir Book" w:hAnsi="Avenir Book"/>
                <w:sz w:val="16"/>
                <w:szCs w:val="16"/>
              </w:rPr>
            </w:pPr>
            <w:r w:rsidRPr="00B06331">
              <w:rPr>
                <w:rFonts w:ascii="Avenir Book" w:hAnsi="Avenir Book"/>
                <w:sz w:val="16"/>
                <w:szCs w:val="16"/>
              </w:rPr>
              <w:t>Youth Empowerment and Development</w:t>
            </w:r>
          </w:p>
        </w:tc>
      </w:tr>
      <w:tr w:rsidR="004E1A57" w:rsidRPr="00B06331" w:rsidTr="004E1A57">
        <w:trPr>
          <w:cnfStyle w:val="000000100000"/>
          <w:trHeight w:val="594"/>
        </w:trPr>
        <w:tc>
          <w:tcPr>
            <w:cnfStyle w:val="001000000000"/>
            <w:tcW w:w="1991" w:type="pct"/>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sz w:val="16"/>
                <w:szCs w:val="16"/>
              </w:rPr>
            </w:pPr>
            <w:r w:rsidRPr="00B06331">
              <w:rPr>
                <w:rFonts w:ascii="Avenir Book" w:hAnsi="Avenir Book"/>
                <w:bCs w:val="0"/>
                <w:sz w:val="16"/>
                <w:szCs w:val="16"/>
                <w:lang w:val="en-GB" w:bidi="en-US"/>
              </w:rPr>
              <w:lastRenderedPageBreak/>
              <w:t>Secured sustainable livelihood for youths through skills development, descent work and excellence in sports</w:t>
            </w: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6"/>
              </w:numPr>
              <w:spacing w:line="240" w:lineRule="auto"/>
              <w:cnfStyle w:val="000000100000"/>
              <w:rPr>
                <w:rFonts w:ascii="Avenir Book" w:hAnsi="Avenir Book"/>
                <w:sz w:val="16"/>
                <w:szCs w:val="16"/>
              </w:rPr>
            </w:pPr>
            <w:r w:rsidRPr="00B06331">
              <w:rPr>
                <w:rFonts w:ascii="Avenir Book" w:hAnsi="Avenir Book"/>
                <w:sz w:val="16"/>
                <w:szCs w:val="16"/>
              </w:rPr>
              <w:t>Harmonized rights based Policies, legislations and regulatory frameworks for youth empowerment and sports development.</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cstheme="minorBidi"/>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511"/>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6"/>
              </w:numPr>
              <w:spacing w:line="240" w:lineRule="auto"/>
              <w:cnfStyle w:val="000000000000"/>
              <w:rPr>
                <w:rFonts w:ascii="Avenir Book" w:hAnsi="Avenir Book"/>
                <w:sz w:val="16"/>
                <w:szCs w:val="16"/>
              </w:rPr>
            </w:pPr>
            <w:r w:rsidRPr="00B06331">
              <w:rPr>
                <w:rFonts w:ascii="Avenir Book" w:hAnsi="Avenir Book"/>
                <w:sz w:val="16"/>
                <w:szCs w:val="16"/>
              </w:rPr>
              <w:t>Increased employment opportunities and enhanced entrepreneurial skills</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4E1A57">
        <w:trPr>
          <w:cnfStyle w:val="000000100000"/>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6"/>
              </w:numPr>
              <w:spacing w:line="240" w:lineRule="auto"/>
              <w:cnfStyle w:val="000000100000"/>
              <w:rPr>
                <w:rFonts w:ascii="Avenir Book" w:hAnsi="Avenir Book"/>
                <w:sz w:val="16"/>
                <w:szCs w:val="16"/>
              </w:rPr>
            </w:pPr>
            <w:r w:rsidRPr="00B06331">
              <w:rPr>
                <w:rFonts w:ascii="Avenir Book" w:hAnsi="Avenir Book"/>
                <w:sz w:val="16"/>
                <w:szCs w:val="16"/>
              </w:rPr>
              <w:t>Mental, physical and social wellbeing, sexual reproductive health and rights improved for all</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cstheme="minorBidi"/>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sz w:val="16"/>
                <w:szCs w:val="16"/>
              </w:rPr>
            </w:pPr>
          </w:p>
        </w:tc>
      </w:tr>
      <w:tr w:rsidR="004E1A57" w:rsidRPr="00B06331" w:rsidTr="004E1A57">
        <w:trPr>
          <w:trHeight w:val="594"/>
        </w:trPr>
        <w:tc>
          <w:tcPr>
            <w:cnfStyle w:val="001000000000"/>
            <w:tcW w:w="1991" w:type="pct"/>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1235" w:type="pct"/>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6"/>
              </w:numPr>
              <w:spacing w:line="240" w:lineRule="auto"/>
              <w:cnfStyle w:val="000000000000"/>
              <w:rPr>
                <w:rFonts w:ascii="Avenir Book" w:hAnsi="Avenir Book"/>
                <w:sz w:val="16"/>
                <w:szCs w:val="16"/>
              </w:rPr>
            </w:pPr>
            <w:r w:rsidRPr="00B06331">
              <w:rPr>
                <w:rFonts w:ascii="Avenir Book" w:hAnsi="Avenir Book"/>
                <w:sz w:val="16"/>
                <w:szCs w:val="16"/>
              </w:rPr>
              <w:t>Sports promoted and competences developed for effective participation in national and international competitions</w:t>
            </w:r>
          </w:p>
        </w:tc>
        <w:tc>
          <w:tcPr>
            <w:tcW w:w="584" w:type="pct"/>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cstheme="minorBidi"/>
                <w:sz w:val="16"/>
                <w:szCs w:val="16"/>
              </w:rPr>
            </w:pPr>
          </w:p>
        </w:tc>
        <w:tc>
          <w:tcPr>
            <w:tcW w:w="1190" w:type="pct"/>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bl>
    <w:p w:rsidR="004E1A57" w:rsidRPr="00B06331" w:rsidRDefault="004E1A57" w:rsidP="004E1A57">
      <w:pPr>
        <w:rPr>
          <w:rFonts w:ascii="Avenir Book" w:hAnsi="Avenir Book" w:cstheme="minorBidi"/>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D7018B" w:rsidRPr="00B06331" w:rsidRDefault="00D7018B" w:rsidP="004E1A57">
      <w:pPr>
        <w:ind w:firstLine="720"/>
        <w:rPr>
          <w:rFonts w:ascii="Avenir Book" w:hAnsi="Avenir Book"/>
          <w:b/>
          <w:sz w:val="16"/>
          <w:szCs w:val="16"/>
        </w:rPr>
      </w:pPr>
    </w:p>
    <w:p w:rsidR="004E1A57" w:rsidRPr="00B06331" w:rsidRDefault="004E1A57" w:rsidP="004E1A57">
      <w:pPr>
        <w:ind w:firstLine="720"/>
        <w:rPr>
          <w:rFonts w:ascii="Avenir Book" w:hAnsi="Avenir Book"/>
          <w:b/>
          <w:sz w:val="16"/>
          <w:szCs w:val="16"/>
        </w:rPr>
      </w:pPr>
      <w:r w:rsidRPr="00B06331">
        <w:rPr>
          <w:rFonts w:ascii="Avenir Book" w:hAnsi="Avenir Book"/>
          <w:b/>
          <w:sz w:val="16"/>
          <w:szCs w:val="16"/>
        </w:rPr>
        <w:t xml:space="preserve">Critical Enablers </w:t>
      </w:r>
    </w:p>
    <w:tbl>
      <w:tblPr>
        <w:tblStyle w:val="ListTable4Accent1"/>
        <w:tblW w:w="13860" w:type="dxa"/>
        <w:tblInd w:w="-725" w:type="dxa"/>
        <w:tblLayout w:type="fixed"/>
        <w:tblLook w:val="04A0"/>
      </w:tblPr>
      <w:tblGrid>
        <w:gridCol w:w="3400"/>
        <w:gridCol w:w="3839"/>
        <w:gridCol w:w="1590"/>
        <w:gridCol w:w="5031"/>
      </w:tblGrid>
      <w:tr w:rsidR="004E1A57" w:rsidRPr="00B06331" w:rsidTr="00D7018B">
        <w:trPr>
          <w:cnfStyle w:val="100000000000"/>
          <w:trHeight w:val="315"/>
        </w:trPr>
        <w:tc>
          <w:tcPr>
            <w:cnfStyle w:val="001000000000"/>
            <w:tcW w:w="3400" w:type="dxa"/>
            <w:tcBorders>
              <w:right w:val="nil"/>
            </w:tcBorders>
            <w:hideMark/>
          </w:tcPr>
          <w:p w:rsidR="004E1A57" w:rsidRPr="00B06331" w:rsidRDefault="004E1A57">
            <w:pPr>
              <w:rPr>
                <w:rFonts w:ascii="Avenir Book" w:hAnsi="Avenir Book"/>
                <w:b w:val="0"/>
                <w:sz w:val="16"/>
                <w:szCs w:val="16"/>
              </w:rPr>
            </w:pPr>
            <w:r w:rsidRPr="00B06331">
              <w:rPr>
                <w:rFonts w:ascii="Avenir Book" w:hAnsi="Avenir Book"/>
                <w:b w:val="0"/>
                <w:sz w:val="16"/>
                <w:szCs w:val="16"/>
              </w:rPr>
              <w:t xml:space="preserve">Critical Enabler  </w:t>
            </w:r>
          </w:p>
          <w:p w:rsidR="004E1A57" w:rsidRPr="00B06331" w:rsidRDefault="004E1A57">
            <w:pPr>
              <w:rPr>
                <w:rFonts w:ascii="Avenir Book" w:hAnsi="Avenir Book"/>
                <w:b w:val="0"/>
                <w:sz w:val="16"/>
                <w:szCs w:val="16"/>
              </w:rPr>
            </w:pPr>
          </w:p>
          <w:p w:rsidR="004E1A57" w:rsidRPr="00B06331" w:rsidRDefault="004E1A57">
            <w:pPr>
              <w:rPr>
                <w:rFonts w:ascii="Avenir Book" w:hAnsi="Avenir Book"/>
                <w:b w:val="0"/>
                <w:sz w:val="16"/>
                <w:szCs w:val="16"/>
              </w:rPr>
            </w:pPr>
            <w:r w:rsidRPr="00B06331">
              <w:rPr>
                <w:rFonts w:ascii="Avenir Book" w:hAnsi="Avenir Book"/>
                <w:b w:val="0"/>
                <w:sz w:val="16"/>
                <w:szCs w:val="16"/>
              </w:rPr>
              <w:lastRenderedPageBreak/>
              <w:t xml:space="preserve">                               Goal(s)</w:t>
            </w:r>
          </w:p>
        </w:tc>
        <w:tc>
          <w:tcPr>
            <w:tcW w:w="3839" w:type="dxa"/>
            <w:tcBorders>
              <w:left w:val="nil"/>
              <w:right w:val="nil"/>
            </w:tcBorders>
            <w:hideMark/>
          </w:tcPr>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lastRenderedPageBreak/>
              <w:t>Outcome(s)</w:t>
            </w:r>
          </w:p>
        </w:tc>
        <w:tc>
          <w:tcPr>
            <w:tcW w:w="1590" w:type="dxa"/>
            <w:tcBorders>
              <w:left w:val="nil"/>
              <w:right w:val="nil"/>
            </w:tcBorders>
            <w:hideMark/>
          </w:tcPr>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Lead Institution/</w:t>
            </w:r>
          </w:p>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Convener</w:t>
            </w:r>
          </w:p>
        </w:tc>
        <w:tc>
          <w:tcPr>
            <w:tcW w:w="5031" w:type="dxa"/>
            <w:tcBorders>
              <w:left w:val="nil"/>
            </w:tcBorders>
          </w:tcPr>
          <w:p w:rsidR="004E1A57" w:rsidRPr="00B06331" w:rsidRDefault="004E1A57">
            <w:pPr>
              <w:cnfStyle w:val="100000000000"/>
              <w:rPr>
                <w:rFonts w:ascii="Avenir Book" w:hAnsi="Avenir Book"/>
                <w:b w:val="0"/>
                <w:sz w:val="16"/>
                <w:szCs w:val="16"/>
              </w:rPr>
            </w:pPr>
            <w:r w:rsidRPr="00B06331">
              <w:rPr>
                <w:rFonts w:ascii="Avenir Book" w:hAnsi="Avenir Book"/>
                <w:b w:val="0"/>
                <w:sz w:val="16"/>
                <w:szCs w:val="16"/>
              </w:rPr>
              <w:t>Other Key Institutions</w:t>
            </w:r>
          </w:p>
          <w:p w:rsidR="004E1A57" w:rsidRPr="00B06331" w:rsidRDefault="004E1A57">
            <w:pPr>
              <w:cnfStyle w:val="100000000000"/>
              <w:rPr>
                <w:rFonts w:ascii="Avenir Book" w:hAnsi="Avenir Book"/>
                <w:b w:val="0"/>
                <w:sz w:val="16"/>
                <w:szCs w:val="16"/>
              </w:rPr>
            </w:pPr>
          </w:p>
        </w:tc>
      </w:tr>
      <w:tr w:rsidR="004E1A57" w:rsidRPr="00B06331" w:rsidTr="00D7018B">
        <w:trPr>
          <w:cnfStyle w:val="000000100000"/>
          <w:trHeight w:val="315"/>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jc w:val="both"/>
              <w:rPr>
                <w:rFonts w:ascii="Avenir Book" w:hAnsi="Avenir Book"/>
                <w:sz w:val="16"/>
                <w:szCs w:val="16"/>
              </w:rPr>
            </w:pPr>
            <w:r w:rsidRPr="00B06331">
              <w:rPr>
                <w:rFonts w:ascii="Avenir Book" w:hAnsi="Avenir Book"/>
                <w:sz w:val="16"/>
                <w:szCs w:val="16"/>
              </w:rPr>
              <w:lastRenderedPageBreak/>
              <w:t>Strengthening Public Institutions</w:t>
            </w:r>
          </w:p>
        </w:tc>
      </w:tr>
      <w:tr w:rsidR="004E1A57" w:rsidRPr="00B06331" w:rsidTr="00D7018B">
        <w:trPr>
          <w:trHeight w:val="467"/>
        </w:trPr>
        <w:tc>
          <w:tcPr>
            <w:cnfStyle w:val="001000000000"/>
            <w:tcW w:w="3400" w:type="dxa"/>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sz w:val="16"/>
                <w:szCs w:val="16"/>
              </w:rPr>
            </w:pPr>
            <w:r w:rsidRPr="00B06331">
              <w:rPr>
                <w:rFonts w:ascii="Avenir Book" w:eastAsiaTheme="minorHAnsi" w:hAnsi="Avenir Book"/>
                <w:sz w:val="16"/>
                <w:szCs w:val="16"/>
              </w:rPr>
              <w:t>Efficient and responsive public sector institutions</w:t>
            </w: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8"/>
              </w:numPr>
              <w:tabs>
                <w:tab w:val="left" w:pos="1628"/>
              </w:tabs>
              <w:spacing w:line="240" w:lineRule="auto"/>
              <w:jc w:val="both"/>
              <w:cnfStyle w:val="000000000000"/>
              <w:rPr>
                <w:rFonts w:ascii="Avenir Book" w:eastAsia="MS Mincho" w:hAnsi="Avenir Book"/>
                <w:sz w:val="16"/>
                <w:szCs w:val="16"/>
              </w:rPr>
            </w:pPr>
            <w:r w:rsidRPr="00B06331">
              <w:rPr>
                <w:rFonts w:ascii="Avenir Book" w:eastAsiaTheme="minorHAnsi" w:hAnsi="Avenir Book"/>
                <w:sz w:val="16"/>
                <w:szCs w:val="16"/>
              </w:rPr>
              <w:t>Appropriately remunerated, motivated and well-managed public service</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eastAsiaTheme="minorEastAsia" w:hAnsi="Avenir Book" w:cstheme="minorBidi"/>
                <w:sz w:val="16"/>
                <w:szCs w:val="16"/>
              </w:rPr>
            </w:pPr>
            <w:r w:rsidRPr="00B06331">
              <w:rPr>
                <w:rFonts w:ascii="Avenir Book" w:hAnsi="Avenir Book"/>
                <w:color w:val="000000" w:themeColor="text1"/>
                <w:sz w:val="16"/>
                <w:szCs w:val="16"/>
              </w:rPr>
              <w:t>PMO</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color w:val="000000" w:themeColor="text1"/>
                <w:sz w:val="16"/>
                <w:szCs w:val="16"/>
              </w:rPr>
              <w:t>MoFEA, OP, MoJ, NAO, MoICI, OVP, National Assembly</w:t>
            </w:r>
          </w:p>
        </w:tc>
      </w:tr>
      <w:tr w:rsidR="004E1A57" w:rsidRPr="00B06331" w:rsidTr="00D7018B">
        <w:trPr>
          <w:cnfStyle w:val="000000100000"/>
          <w:trHeight w:val="872"/>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8"/>
              </w:numPr>
              <w:spacing w:line="240" w:lineRule="auto"/>
              <w:cnfStyle w:val="000000100000"/>
              <w:rPr>
                <w:rFonts w:ascii="Avenir Book" w:hAnsi="Avenir Book"/>
                <w:sz w:val="16"/>
                <w:szCs w:val="16"/>
              </w:rPr>
            </w:pPr>
            <w:r w:rsidRPr="00B06331">
              <w:rPr>
                <w:rFonts w:ascii="Avenir Book" w:hAnsi="Avenir Book"/>
                <w:sz w:val="16"/>
                <w:szCs w:val="16"/>
              </w:rPr>
              <w:t>Highly-skilled and well-motivated human resources available and retained for the health sector</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Directorate of Human Resources for Health (DHRH)</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WHO</w:t>
            </w:r>
          </w:p>
        </w:tc>
      </w:tr>
      <w:tr w:rsidR="004E1A57" w:rsidRPr="00B06331" w:rsidTr="00D7018B">
        <w:trPr>
          <w:trHeight w:val="269"/>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rPr>
                <w:rFonts w:ascii="Avenir Book" w:hAnsi="Avenir Book"/>
                <w:sz w:val="16"/>
                <w:szCs w:val="16"/>
              </w:rPr>
            </w:pPr>
            <w:r w:rsidRPr="00B06331">
              <w:rPr>
                <w:rFonts w:ascii="Avenir Book" w:hAnsi="Avenir Book"/>
                <w:sz w:val="16"/>
                <w:szCs w:val="16"/>
              </w:rPr>
              <w:t xml:space="preserve">Women’s Empowerment </w:t>
            </w:r>
          </w:p>
        </w:tc>
      </w:tr>
      <w:tr w:rsidR="004E1A57" w:rsidRPr="00B06331" w:rsidTr="00D7018B">
        <w:trPr>
          <w:cnfStyle w:val="000000100000"/>
          <w:trHeight w:val="315"/>
        </w:trPr>
        <w:tc>
          <w:tcPr>
            <w:cnfStyle w:val="001000000000"/>
            <w:tcW w:w="3400" w:type="dxa"/>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jc w:val="both"/>
              <w:rPr>
                <w:rFonts w:ascii="Avenir Book" w:hAnsi="Avenir Book"/>
                <w:bCs w:val="0"/>
                <w:sz w:val="16"/>
                <w:szCs w:val="16"/>
                <w:lang w:val="en-GB" w:bidi="en-US"/>
              </w:rPr>
            </w:pPr>
            <w:r w:rsidRPr="00B06331">
              <w:rPr>
                <w:rFonts w:ascii="Avenir Book" w:hAnsi="Avenir Book"/>
                <w:bCs w:val="0"/>
                <w:sz w:val="16"/>
                <w:szCs w:val="16"/>
                <w:lang w:val="en-GB" w:bidi="en-US"/>
              </w:rPr>
              <w:t xml:space="preserve">To promote gender equity, equality, and empowerment of women and girls for sustained socio-economic </w:t>
            </w:r>
          </w:p>
          <w:p w:rsidR="004E1A57" w:rsidRPr="00B06331" w:rsidRDefault="004E1A57">
            <w:pPr>
              <w:rPr>
                <w:rFonts w:ascii="Avenir Book" w:eastAsiaTheme="minorEastAsia" w:hAnsi="Avenir Book" w:cstheme="minorBidi"/>
                <w:sz w:val="16"/>
                <w:szCs w:val="16"/>
              </w:rPr>
            </w:pPr>
            <w:r w:rsidRPr="00B06331">
              <w:rPr>
                <w:rFonts w:ascii="Avenir Book" w:hAnsi="Avenir Book"/>
                <w:bCs w:val="0"/>
                <w:sz w:val="16"/>
                <w:szCs w:val="16"/>
                <w:lang w:val="en-GB" w:bidi="en-US"/>
              </w:rPr>
              <w:t>Development</w:t>
            </w: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9"/>
              </w:numPr>
              <w:spacing w:line="240" w:lineRule="auto"/>
              <w:cnfStyle w:val="000000100000"/>
              <w:rPr>
                <w:rFonts w:ascii="Avenir Book" w:hAnsi="Avenir Book"/>
                <w:sz w:val="16"/>
                <w:szCs w:val="16"/>
              </w:rPr>
            </w:pPr>
            <w:r w:rsidRPr="00B06331">
              <w:rPr>
                <w:rFonts w:ascii="Avenir Book" w:hAnsi="Avenir Book"/>
                <w:sz w:val="16"/>
                <w:szCs w:val="16"/>
              </w:rPr>
              <w:t>Enhanced women’s  economic empowerment and sustainable livelihoods</w:t>
            </w: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sz w:val="16"/>
                <w:szCs w:val="16"/>
              </w:rPr>
            </w:pPr>
            <w:r w:rsidRPr="00B06331">
              <w:rPr>
                <w:rFonts w:ascii="Avenir Book" w:hAnsi="Avenir Book"/>
                <w:sz w:val="16"/>
                <w:szCs w:val="16"/>
              </w:rPr>
              <w:t>OVP&amp;MoWA</w:t>
            </w:r>
          </w:p>
          <w:p w:rsidR="004E1A57" w:rsidRPr="00B06331" w:rsidRDefault="004E1A57">
            <w:pPr>
              <w:cnfStyle w:val="000000100000"/>
              <w:rPr>
                <w:rFonts w:ascii="Avenir Book" w:hAnsi="Avenir Book"/>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WoB/NWC</w:t>
            </w:r>
          </w:p>
        </w:tc>
      </w:tr>
      <w:tr w:rsidR="004E1A57" w:rsidRPr="00B06331" w:rsidTr="00D7018B">
        <w:trPr>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9"/>
              </w:numPr>
              <w:spacing w:line="240" w:lineRule="auto"/>
              <w:cnfStyle w:val="000000000000"/>
              <w:rPr>
                <w:rFonts w:ascii="Avenir Book" w:hAnsi="Avenir Book"/>
                <w:sz w:val="16"/>
                <w:szCs w:val="16"/>
              </w:rPr>
            </w:pPr>
            <w:r w:rsidRPr="00B06331">
              <w:rPr>
                <w:rFonts w:ascii="Avenir Book" w:hAnsi="Avenir Book"/>
                <w:sz w:val="16"/>
                <w:szCs w:val="16"/>
              </w:rPr>
              <w:t>Increased representation and participation of women in decision making</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t>OVP&amp;MoWA</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t xml:space="preserve"> WoB/NWC</w:t>
            </w:r>
          </w:p>
        </w:tc>
      </w:tr>
      <w:tr w:rsidR="004E1A57" w:rsidRPr="00B06331" w:rsidTr="00D7018B">
        <w:trPr>
          <w:cnfStyle w:val="000000100000"/>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49"/>
              </w:numPr>
              <w:spacing w:line="240" w:lineRule="auto"/>
              <w:cnfStyle w:val="000000100000"/>
              <w:rPr>
                <w:rFonts w:ascii="Avenir Book" w:hAnsi="Avenir Book"/>
                <w:sz w:val="16"/>
                <w:szCs w:val="16"/>
              </w:rPr>
            </w:pPr>
            <w:r w:rsidRPr="00B06331">
              <w:rPr>
                <w:rFonts w:ascii="Avenir Book" w:hAnsi="Avenir Book"/>
                <w:sz w:val="16"/>
                <w:szCs w:val="16"/>
              </w:rPr>
              <w:t>Gender based violence reduced</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OVP&amp;MoWA</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sz w:val="16"/>
                <w:szCs w:val="16"/>
              </w:rPr>
            </w:pPr>
            <w:r w:rsidRPr="00B06331">
              <w:rPr>
                <w:rFonts w:ascii="Avenir Book" w:hAnsi="Avenir Book"/>
                <w:sz w:val="16"/>
                <w:szCs w:val="16"/>
              </w:rPr>
              <w:t>WoB/NWC</w:t>
            </w:r>
          </w:p>
        </w:tc>
      </w:tr>
      <w:tr w:rsidR="004E1A57" w:rsidRPr="00B06331" w:rsidTr="00D7018B">
        <w:trPr>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sz w:val="16"/>
                <w:szCs w:val="16"/>
              </w:rPr>
            </w:pPr>
          </w:p>
        </w:tc>
        <w:tc>
          <w:tcPr>
            <w:tcW w:w="3839"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sz w:val="16"/>
                <w:szCs w:val="16"/>
              </w:rPr>
            </w:pPr>
          </w:p>
        </w:tc>
      </w:tr>
      <w:tr w:rsidR="004E1A57" w:rsidRPr="00B06331" w:rsidTr="00D7018B">
        <w:trPr>
          <w:cnfStyle w:val="000000100000"/>
          <w:trHeight w:val="315"/>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rPr>
                <w:rFonts w:ascii="Avenir Book" w:hAnsi="Avenir Book"/>
                <w:sz w:val="16"/>
                <w:szCs w:val="16"/>
              </w:rPr>
            </w:pPr>
            <w:r w:rsidRPr="00B06331">
              <w:rPr>
                <w:rFonts w:ascii="Avenir Book" w:hAnsi="Avenir Book"/>
                <w:sz w:val="16"/>
                <w:szCs w:val="16"/>
              </w:rPr>
              <w:t>Environment, Natural Resource Management, Climate Change and Disaster Risk Reduction</w:t>
            </w:r>
          </w:p>
        </w:tc>
      </w:tr>
      <w:tr w:rsidR="004E1A57" w:rsidRPr="00B06331" w:rsidTr="00D7018B">
        <w:trPr>
          <w:trHeight w:val="315"/>
        </w:trPr>
        <w:tc>
          <w:tcPr>
            <w:cnfStyle w:val="001000000000"/>
            <w:tcW w:w="3400" w:type="dxa"/>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jc w:val="both"/>
              <w:rPr>
                <w:rFonts w:ascii="Avenir Book" w:eastAsia="MS Mincho" w:hAnsi="Avenir Book"/>
                <w:color w:val="FF0000"/>
                <w:sz w:val="16"/>
                <w:szCs w:val="16"/>
              </w:rPr>
            </w:pPr>
            <w:r w:rsidRPr="00B06331">
              <w:rPr>
                <w:rFonts w:ascii="Avenir Book" w:hAnsi="Avenir Book"/>
                <w:sz w:val="16"/>
                <w:szCs w:val="16"/>
              </w:rPr>
              <w:t>To ensure that Gambia’s environment and natural resources are sustainably managed and conserved for the benefit of all</w:t>
            </w: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50"/>
              </w:numPr>
              <w:spacing w:line="240" w:lineRule="auto"/>
              <w:cnfStyle w:val="000000000000"/>
              <w:rPr>
                <w:rFonts w:ascii="Avenir Book" w:eastAsiaTheme="minorEastAsia" w:hAnsi="Avenir Book" w:cstheme="minorBidi"/>
                <w:sz w:val="16"/>
                <w:szCs w:val="16"/>
              </w:rPr>
            </w:pPr>
            <w:r w:rsidRPr="00B06331">
              <w:rPr>
                <w:rFonts w:ascii="Avenir Book" w:hAnsi="Avenir Book"/>
                <w:sz w:val="16"/>
                <w:szCs w:val="16"/>
              </w:rPr>
              <w:t>Environment and climate change friendly policies, programmes and awareness strengthened at all levels for resilience</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color w:val="FF0000"/>
                <w:sz w:val="16"/>
                <w:szCs w:val="16"/>
              </w:rPr>
            </w:pPr>
            <w:r w:rsidRPr="00B06331">
              <w:rPr>
                <w:rFonts w:ascii="Avenir Book" w:hAnsi="Avenir Book"/>
                <w:color w:val="000000" w:themeColor="text1"/>
                <w:sz w:val="16"/>
                <w:szCs w:val="16"/>
              </w:rPr>
              <w:t>MoECCNAR</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color w:val="FF0000"/>
                <w:sz w:val="16"/>
                <w:szCs w:val="16"/>
              </w:rPr>
            </w:pPr>
            <w:r w:rsidRPr="00B06331">
              <w:rPr>
                <w:rFonts w:ascii="Avenir Book" w:hAnsi="Avenir Book"/>
                <w:color w:val="000000" w:themeColor="text1"/>
                <w:sz w:val="16"/>
                <w:szCs w:val="16"/>
              </w:rPr>
              <w:t>All MDAs, LGAs,  AAITG, United Purpose, ADWAC, GCCI</w:t>
            </w:r>
          </w:p>
        </w:tc>
      </w:tr>
      <w:tr w:rsidR="004E1A57" w:rsidRPr="00B06331" w:rsidTr="00D7018B">
        <w:trPr>
          <w:cnfStyle w:val="000000100000"/>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eastAsia="MS Mincho" w:hAnsi="Avenir Book"/>
                <w:color w:val="FF0000"/>
                <w:sz w:val="16"/>
                <w:szCs w:val="16"/>
              </w:rPr>
            </w:pP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50"/>
              </w:numPr>
              <w:spacing w:line="240" w:lineRule="auto"/>
              <w:cnfStyle w:val="000000100000"/>
              <w:rPr>
                <w:rFonts w:ascii="Avenir Book" w:hAnsi="Avenir Book"/>
                <w:sz w:val="16"/>
                <w:szCs w:val="16"/>
              </w:rPr>
            </w:pPr>
            <w:r w:rsidRPr="00B06331">
              <w:rPr>
                <w:rFonts w:ascii="Avenir Book" w:hAnsi="Avenir Book"/>
                <w:sz w:val="16"/>
                <w:szCs w:val="16"/>
              </w:rPr>
              <w:t>Emergency and disaster risk reduction response strengthened at all levels</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100000"/>
              <w:rPr>
                <w:rFonts w:ascii="Avenir Book" w:hAnsi="Avenir Book"/>
                <w:color w:val="FF0000"/>
                <w:sz w:val="16"/>
                <w:szCs w:val="16"/>
              </w:rPr>
            </w:pPr>
            <w:r w:rsidRPr="00B06331">
              <w:rPr>
                <w:rFonts w:ascii="Avenir Book" w:hAnsi="Avenir Book"/>
                <w:color w:val="000000" w:themeColor="text1"/>
                <w:sz w:val="16"/>
                <w:szCs w:val="16"/>
              </w:rPr>
              <w:t>NDMA/OP</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100000"/>
              <w:rPr>
                <w:rFonts w:ascii="Avenir Book" w:hAnsi="Avenir Book"/>
                <w:color w:val="FF0000"/>
                <w:sz w:val="16"/>
                <w:szCs w:val="16"/>
              </w:rPr>
            </w:pPr>
            <w:r w:rsidRPr="00B06331">
              <w:rPr>
                <w:rFonts w:ascii="Avenir Book" w:hAnsi="Avenir Book"/>
                <w:color w:val="000000" w:themeColor="text1"/>
                <w:sz w:val="16"/>
                <w:szCs w:val="16"/>
              </w:rPr>
              <w:t>All MDAs, LGAs, AAITG, United Purpose, ADWAC, GCCI</w:t>
            </w:r>
          </w:p>
        </w:tc>
      </w:tr>
      <w:tr w:rsidR="004E1A57" w:rsidRPr="00B06331" w:rsidTr="00D7018B">
        <w:trPr>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eastAsia="MS Mincho" w:hAnsi="Avenir Book"/>
                <w:color w:val="FF0000"/>
                <w:sz w:val="16"/>
                <w:szCs w:val="16"/>
              </w:rPr>
            </w:pP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50"/>
              </w:numPr>
              <w:spacing w:line="240" w:lineRule="auto"/>
              <w:cnfStyle w:val="000000000000"/>
              <w:rPr>
                <w:rFonts w:ascii="Avenir Book" w:hAnsi="Avenir Book"/>
                <w:sz w:val="16"/>
                <w:szCs w:val="16"/>
              </w:rPr>
            </w:pPr>
            <w:r w:rsidRPr="00B06331">
              <w:rPr>
                <w:rFonts w:ascii="Avenir Book" w:hAnsi="Avenir Book"/>
                <w:sz w:val="16"/>
                <w:szCs w:val="16"/>
              </w:rPr>
              <w:t>Natural resources sustainably managed</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color w:val="FF0000"/>
                <w:sz w:val="16"/>
                <w:szCs w:val="16"/>
              </w:rPr>
            </w:pPr>
            <w:r w:rsidRPr="00B06331">
              <w:rPr>
                <w:rFonts w:ascii="Avenir Book" w:hAnsi="Avenir Book"/>
                <w:color w:val="000000" w:themeColor="text1"/>
                <w:sz w:val="16"/>
                <w:szCs w:val="16"/>
              </w:rPr>
              <w:t>MoECCNAR (DoF, DPWM)</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color w:val="FF0000"/>
                <w:sz w:val="16"/>
                <w:szCs w:val="16"/>
              </w:rPr>
            </w:pPr>
            <w:r w:rsidRPr="00B06331">
              <w:rPr>
                <w:rFonts w:ascii="Avenir Book" w:hAnsi="Avenir Book"/>
                <w:color w:val="000000" w:themeColor="text1"/>
                <w:sz w:val="16"/>
                <w:szCs w:val="16"/>
              </w:rPr>
              <w:t>MoA, MoFWR, NEA, MoTC,  CSOs, CBOs</w:t>
            </w:r>
          </w:p>
        </w:tc>
      </w:tr>
      <w:tr w:rsidR="004E1A57" w:rsidRPr="00B06331" w:rsidTr="00D7018B">
        <w:trPr>
          <w:cnfStyle w:val="000000100000"/>
          <w:trHeight w:val="315"/>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rPr>
                <w:rFonts w:ascii="Avenir Book" w:hAnsi="Avenir Book"/>
                <w:sz w:val="16"/>
                <w:szCs w:val="16"/>
              </w:rPr>
            </w:pPr>
            <w:r w:rsidRPr="00B06331">
              <w:rPr>
                <w:rFonts w:ascii="Avenir Book" w:hAnsi="Avenir Book"/>
                <w:sz w:val="16"/>
                <w:szCs w:val="16"/>
              </w:rPr>
              <w:t xml:space="preserve">Decentralization and Land Use Planning and Management   </w:t>
            </w:r>
          </w:p>
        </w:tc>
      </w:tr>
      <w:tr w:rsidR="004E1A57" w:rsidRPr="00B06331" w:rsidTr="00D7018B">
        <w:trPr>
          <w:trHeight w:val="315"/>
        </w:trPr>
        <w:tc>
          <w:tcPr>
            <w:cnfStyle w:val="001000000000"/>
            <w:tcW w:w="3400" w:type="dxa"/>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rPr>
                <w:rFonts w:ascii="Avenir Book" w:hAnsi="Avenir Book"/>
                <w:color w:val="FF0000"/>
                <w:sz w:val="16"/>
                <w:szCs w:val="16"/>
              </w:rPr>
            </w:pPr>
            <w:r w:rsidRPr="00B06331">
              <w:rPr>
                <w:rFonts w:ascii="Avenir Book" w:hAnsi="Avenir Book"/>
                <w:sz w:val="16"/>
                <w:szCs w:val="16"/>
              </w:rPr>
              <w:t xml:space="preserve">Fully empowered and functional local government structures coupled with a sustainable land management system that stimulates and responds to the demographic </w:t>
            </w:r>
            <w:r w:rsidRPr="00B06331">
              <w:rPr>
                <w:rFonts w:ascii="Avenir Book" w:hAnsi="Avenir Book"/>
                <w:sz w:val="16"/>
                <w:szCs w:val="16"/>
              </w:rPr>
              <w:lastRenderedPageBreak/>
              <w:t>and economic trends of the Gambia</w:t>
            </w: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51"/>
              </w:numPr>
              <w:spacing w:line="240" w:lineRule="auto"/>
              <w:cnfStyle w:val="000000000000"/>
              <w:rPr>
                <w:rFonts w:ascii="Avenir Book" w:hAnsi="Avenir Book"/>
                <w:sz w:val="16"/>
                <w:szCs w:val="16"/>
              </w:rPr>
            </w:pPr>
            <w:r w:rsidRPr="00B06331">
              <w:rPr>
                <w:rFonts w:ascii="Avenir Book" w:hAnsi="Avenir Book"/>
                <w:sz w:val="16"/>
                <w:szCs w:val="16"/>
              </w:rPr>
              <w:lastRenderedPageBreak/>
              <w:t>Effective and harmonized policy and regulatory frameworks for enhanced coordination of decentralization programme and lands</w:t>
            </w: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sz w:val="16"/>
                <w:szCs w:val="16"/>
              </w:rPr>
            </w:pPr>
            <w:r w:rsidRPr="00B06331">
              <w:rPr>
                <w:rFonts w:ascii="Avenir Book" w:hAnsi="Avenir Book"/>
                <w:sz w:val="16"/>
                <w:szCs w:val="16"/>
              </w:rPr>
              <w:t>MoLRG</w:t>
            </w:r>
          </w:p>
          <w:p w:rsidR="004E1A57" w:rsidRPr="00B06331" w:rsidRDefault="004E1A57">
            <w:pPr>
              <w:cnfStyle w:val="000000000000"/>
              <w:rPr>
                <w:rFonts w:ascii="Avenir Book" w:hAnsi="Avenir Book"/>
                <w:color w:val="FF0000"/>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t>MoLRG</w:t>
            </w:r>
          </w:p>
          <w:p w:rsidR="004E1A57" w:rsidRPr="00B06331" w:rsidRDefault="004E1A57">
            <w:pPr>
              <w:cnfStyle w:val="000000000000"/>
              <w:rPr>
                <w:rFonts w:ascii="Avenir Book" w:hAnsi="Avenir Book"/>
                <w:sz w:val="16"/>
                <w:szCs w:val="16"/>
              </w:rPr>
            </w:pPr>
            <w:r w:rsidRPr="00B06331">
              <w:rPr>
                <w:rFonts w:ascii="Avenir Book" w:hAnsi="Avenir Book"/>
                <w:sz w:val="16"/>
                <w:szCs w:val="16"/>
              </w:rPr>
              <w:t>DPPH</w:t>
            </w:r>
          </w:p>
          <w:p w:rsidR="004E1A57" w:rsidRPr="00B06331" w:rsidRDefault="004E1A57">
            <w:pPr>
              <w:cnfStyle w:val="000000000000"/>
              <w:rPr>
                <w:rFonts w:ascii="Avenir Book" w:hAnsi="Avenir Book"/>
                <w:sz w:val="16"/>
                <w:szCs w:val="16"/>
              </w:rPr>
            </w:pPr>
            <w:r w:rsidRPr="00B06331">
              <w:rPr>
                <w:rFonts w:ascii="Avenir Book" w:hAnsi="Avenir Book"/>
                <w:sz w:val="16"/>
                <w:szCs w:val="16"/>
              </w:rPr>
              <w:t>DLS</w:t>
            </w:r>
          </w:p>
          <w:p w:rsidR="004E1A57" w:rsidRPr="00B06331" w:rsidRDefault="004E1A57">
            <w:pPr>
              <w:cnfStyle w:val="000000000000"/>
              <w:rPr>
                <w:rFonts w:ascii="Avenir Book" w:hAnsi="Avenir Book"/>
                <w:sz w:val="16"/>
                <w:szCs w:val="16"/>
              </w:rPr>
            </w:pPr>
            <w:r w:rsidRPr="00B06331">
              <w:rPr>
                <w:rFonts w:ascii="Avenir Book" w:hAnsi="Avenir Book"/>
                <w:sz w:val="16"/>
                <w:szCs w:val="16"/>
              </w:rPr>
              <w:lastRenderedPageBreak/>
              <w:t>DCD</w:t>
            </w:r>
          </w:p>
          <w:p w:rsidR="004E1A57" w:rsidRPr="00B06331" w:rsidRDefault="004E1A57">
            <w:pPr>
              <w:cnfStyle w:val="000000000000"/>
              <w:rPr>
                <w:rFonts w:ascii="Avenir Book" w:hAnsi="Avenir Book" w:cstheme="minorBidi"/>
                <w:sz w:val="16"/>
                <w:szCs w:val="16"/>
              </w:rPr>
            </w:pPr>
            <w:r w:rsidRPr="00B06331">
              <w:rPr>
                <w:rFonts w:ascii="Avenir Book" w:hAnsi="Avenir Book"/>
                <w:sz w:val="16"/>
                <w:szCs w:val="16"/>
              </w:rPr>
              <w:t>DLG</w:t>
            </w:r>
          </w:p>
          <w:p w:rsidR="004E1A57" w:rsidRPr="00B06331" w:rsidRDefault="004E1A57">
            <w:pPr>
              <w:cnfStyle w:val="000000000000"/>
              <w:rPr>
                <w:rFonts w:ascii="Avenir Book" w:hAnsi="Avenir Book"/>
                <w:color w:val="FF0000"/>
                <w:sz w:val="16"/>
                <w:szCs w:val="16"/>
              </w:rPr>
            </w:pPr>
            <w:r w:rsidRPr="00B06331">
              <w:rPr>
                <w:rFonts w:ascii="Avenir Book" w:hAnsi="Avenir Book"/>
                <w:sz w:val="16"/>
                <w:szCs w:val="16"/>
              </w:rPr>
              <w:t>DLS</w:t>
            </w:r>
          </w:p>
        </w:tc>
      </w:tr>
      <w:tr w:rsidR="004E1A57" w:rsidRPr="00B06331" w:rsidTr="00D7018B">
        <w:trPr>
          <w:cnfStyle w:val="000000100000"/>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color w:val="FF0000"/>
                <w:sz w:val="16"/>
                <w:szCs w:val="16"/>
              </w:rPr>
            </w:pP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51"/>
              </w:numPr>
              <w:spacing w:line="240" w:lineRule="auto"/>
              <w:cnfStyle w:val="000000100000"/>
              <w:rPr>
                <w:rFonts w:ascii="Avenir Book" w:hAnsi="Avenir Book"/>
                <w:sz w:val="16"/>
                <w:szCs w:val="16"/>
              </w:rPr>
            </w:pPr>
            <w:r w:rsidRPr="00B06331">
              <w:rPr>
                <w:rFonts w:ascii="Avenir Book" w:hAnsi="Avenir Book"/>
                <w:sz w:val="16"/>
                <w:szCs w:val="16"/>
              </w:rPr>
              <w:t>Strengthened human and institutional capacities for   decentralization</w:t>
            </w: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color w:val="FF0000"/>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color w:val="FF0000"/>
                <w:sz w:val="16"/>
                <w:szCs w:val="16"/>
              </w:rPr>
            </w:pPr>
          </w:p>
        </w:tc>
      </w:tr>
      <w:tr w:rsidR="004E1A57" w:rsidRPr="00B06331" w:rsidTr="00D7018B">
        <w:trPr>
          <w:trHeight w:val="315"/>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color w:val="FF0000"/>
                <w:sz w:val="16"/>
                <w:szCs w:val="16"/>
              </w:rPr>
            </w:pPr>
          </w:p>
        </w:tc>
        <w:tc>
          <w:tcPr>
            <w:tcW w:w="3839" w:type="dxa"/>
            <w:tcBorders>
              <w:top w:val="single" w:sz="4" w:space="0" w:color="8EAADB" w:themeColor="accent1" w:themeTint="99"/>
              <w:left w:val="nil"/>
              <w:bottom w:val="single" w:sz="4" w:space="0" w:color="8EAADB" w:themeColor="accent1" w:themeTint="99"/>
              <w:right w:val="nil"/>
            </w:tcBorders>
          </w:tcPr>
          <w:p w:rsidR="004E1A57" w:rsidRPr="00B06331" w:rsidRDefault="004E1A57" w:rsidP="004E1A57">
            <w:pPr>
              <w:pStyle w:val="ListParagraph"/>
              <w:numPr>
                <w:ilvl w:val="0"/>
                <w:numId w:val="151"/>
              </w:numPr>
              <w:spacing w:after="0" w:line="240" w:lineRule="auto"/>
              <w:cnfStyle w:val="000000000000"/>
              <w:rPr>
                <w:rFonts w:ascii="Avenir Book" w:hAnsi="Avenir Book"/>
                <w:sz w:val="16"/>
                <w:szCs w:val="16"/>
              </w:rPr>
            </w:pPr>
            <w:r w:rsidRPr="00B06331">
              <w:rPr>
                <w:rFonts w:ascii="Avenir Book" w:hAnsi="Avenir Book"/>
                <w:sz w:val="16"/>
                <w:szCs w:val="16"/>
              </w:rPr>
              <w:t>Expanded revenue bases of councils supported by standardized financial management and accounting systems</w:t>
            </w:r>
          </w:p>
          <w:p w:rsidR="004E1A57" w:rsidRPr="00B06331" w:rsidRDefault="004E1A57">
            <w:pPr>
              <w:pStyle w:val="ListParagraph"/>
              <w:spacing w:line="240" w:lineRule="auto"/>
              <w:ind w:left="360"/>
              <w:cnfStyle w:val="000000000000"/>
              <w:rPr>
                <w:rFonts w:ascii="Avenir Book" w:hAnsi="Avenir Book" w:cstheme="minorBidi"/>
                <w:sz w:val="16"/>
                <w:szCs w:val="16"/>
              </w:rPr>
            </w:pP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color w:val="FF0000"/>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color w:val="FF0000"/>
                <w:sz w:val="16"/>
                <w:szCs w:val="16"/>
              </w:rPr>
            </w:pPr>
          </w:p>
        </w:tc>
      </w:tr>
      <w:tr w:rsidR="004E1A57" w:rsidRPr="00B06331" w:rsidTr="00D7018B">
        <w:trPr>
          <w:cnfStyle w:val="000000100000"/>
          <w:trHeight w:val="594"/>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rPr>
                <w:rFonts w:ascii="Avenir Book" w:hAnsi="Avenir Book"/>
                <w:sz w:val="16"/>
                <w:szCs w:val="16"/>
              </w:rPr>
            </w:pPr>
            <w:r w:rsidRPr="00B06331">
              <w:rPr>
                <w:rFonts w:ascii="Avenir Book" w:hAnsi="Avenir Book"/>
                <w:sz w:val="16"/>
                <w:szCs w:val="16"/>
              </w:rPr>
              <w:t>Information and Communication Technology (ICT)</w:t>
            </w:r>
          </w:p>
        </w:tc>
      </w:tr>
      <w:tr w:rsidR="004E1A57" w:rsidRPr="00B06331" w:rsidTr="00D7018B">
        <w:trPr>
          <w:trHeight w:val="563"/>
        </w:trPr>
        <w:tc>
          <w:tcPr>
            <w:cnfStyle w:val="001000000000"/>
            <w:tcW w:w="3400" w:type="dxa"/>
            <w:tcBorders>
              <w:top w:val="single" w:sz="4" w:space="0" w:color="8EAADB" w:themeColor="accent1" w:themeTint="99"/>
              <w:left w:val="single" w:sz="4" w:space="0" w:color="8EAADB" w:themeColor="accent1" w:themeTint="99"/>
              <w:bottom w:val="single" w:sz="4" w:space="0" w:color="8EAADB" w:themeColor="accent1" w:themeTint="99"/>
              <w:right w:val="nil"/>
            </w:tcBorders>
            <w:hideMark/>
          </w:tcPr>
          <w:p w:rsidR="004E1A57" w:rsidRPr="00B06331" w:rsidRDefault="004E1A57">
            <w:pPr>
              <w:jc w:val="both"/>
              <w:rPr>
                <w:rFonts w:ascii="Avenir Book" w:hAnsi="Avenir Book"/>
                <w:color w:val="FF0000"/>
                <w:sz w:val="16"/>
                <w:szCs w:val="16"/>
              </w:rPr>
            </w:pPr>
            <w:r w:rsidRPr="00B06331">
              <w:rPr>
                <w:rFonts w:ascii="Avenir Book" w:hAnsi="Avenir Book"/>
                <w:sz w:val="16"/>
                <w:szCs w:val="16"/>
              </w:rPr>
              <w:t>To build a knowledge society that contributes to national development, social cohesion and improved well being</w:t>
            </w:r>
          </w:p>
        </w:tc>
        <w:tc>
          <w:tcPr>
            <w:tcW w:w="3839"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rsidP="004E1A57">
            <w:pPr>
              <w:pStyle w:val="ListParagraph"/>
              <w:numPr>
                <w:ilvl w:val="0"/>
                <w:numId w:val="152"/>
              </w:numPr>
              <w:spacing w:line="240" w:lineRule="auto"/>
              <w:cnfStyle w:val="000000000000"/>
              <w:rPr>
                <w:rFonts w:ascii="Avenir Book" w:hAnsi="Avenir Book" w:cstheme="minorBidi"/>
                <w:sz w:val="16"/>
                <w:szCs w:val="16"/>
              </w:rPr>
            </w:pPr>
            <w:r w:rsidRPr="00B06331">
              <w:rPr>
                <w:rFonts w:ascii="Avenir Book" w:hAnsi="Avenir Book"/>
                <w:sz w:val="16"/>
                <w:szCs w:val="16"/>
              </w:rPr>
              <w:t>Enhanced ICT infrastructure and services for increase access to quality broadband services and solutions to support inclusive sustainable development</w:t>
            </w:r>
          </w:p>
        </w:tc>
        <w:tc>
          <w:tcPr>
            <w:tcW w:w="1590" w:type="dxa"/>
            <w:tcBorders>
              <w:top w:val="single" w:sz="4" w:space="0" w:color="8EAADB" w:themeColor="accent1" w:themeTint="99"/>
              <w:left w:val="nil"/>
              <w:bottom w:val="single" w:sz="4" w:space="0" w:color="8EAADB" w:themeColor="accent1" w:themeTint="99"/>
              <w:right w:val="nil"/>
            </w:tcBorders>
            <w:hideMark/>
          </w:tcPr>
          <w:p w:rsidR="004E1A57" w:rsidRPr="00B06331" w:rsidRDefault="004E1A57">
            <w:pPr>
              <w:cnfStyle w:val="000000000000"/>
              <w:rPr>
                <w:rFonts w:ascii="Avenir Book" w:hAnsi="Avenir Book"/>
                <w:sz w:val="16"/>
                <w:szCs w:val="16"/>
              </w:rPr>
            </w:pPr>
            <w:r w:rsidRPr="00B06331">
              <w:rPr>
                <w:rFonts w:ascii="Avenir Book" w:hAnsi="Avenir Book"/>
                <w:sz w:val="16"/>
                <w:szCs w:val="16"/>
              </w:rPr>
              <w:t>MoICI</w:t>
            </w: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hideMark/>
          </w:tcPr>
          <w:p w:rsidR="004E1A57" w:rsidRPr="00B06331" w:rsidRDefault="004E1A57">
            <w:pPr>
              <w:cnfStyle w:val="000000000000"/>
              <w:rPr>
                <w:rFonts w:ascii="Avenir Book" w:hAnsi="Avenir Book"/>
                <w:color w:val="FF0000"/>
                <w:sz w:val="16"/>
                <w:szCs w:val="16"/>
              </w:rPr>
            </w:pPr>
            <w:r w:rsidRPr="00B06331">
              <w:rPr>
                <w:rFonts w:ascii="Avenir Book" w:hAnsi="Avenir Book"/>
                <w:color w:val="000000" w:themeColor="text1"/>
                <w:sz w:val="16"/>
                <w:szCs w:val="16"/>
              </w:rPr>
              <w:t>MOWSI, MOFEA (PPP)</w:t>
            </w:r>
          </w:p>
        </w:tc>
      </w:tr>
      <w:tr w:rsidR="004E1A57" w:rsidRPr="00B06331" w:rsidTr="00D7018B">
        <w:trPr>
          <w:cnfStyle w:val="000000100000"/>
          <w:trHeight w:val="594"/>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rPr>
                <w:rFonts w:ascii="Avenir Book" w:hAnsi="Avenir Book"/>
                <w:sz w:val="16"/>
                <w:szCs w:val="16"/>
              </w:rPr>
            </w:pPr>
            <w:r w:rsidRPr="00B06331">
              <w:rPr>
                <w:rFonts w:ascii="Avenir Book" w:hAnsi="Avenir Book"/>
                <w:sz w:val="16"/>
                <w:szCs w:val="16"/>
              </w:rPr>
              <w:t>Strengthening Civil Society and non- state actors</w:t>
            </w:r>
          </w:p>
        </w:tc>
      </w:tr>
      <w:tr w:rsidR="004E1A57" w:rsidRPr="00B06331" w:rsidTr="00D7018B">
        <w:trPr>
          <w:trHeight w:val="563"/>
        </w:trPr>
        <w:tc>
          <w:tcPr>
            <w:cnfStyle w:val="001000000000"/>
            <w:tcW w:w="3400" w:type="dxa"/>
            <w:vMerge w:val="restart"/>
            <w:tcBorders>
              <w:top w:val="single" w:sz="4" w:space="0" w:color="8EAADB" w:themeColor="accent1" w:themeTint="99"/>
              <w:left w:val="single" w:sz="4" w:space="0" w:color="8EAADB" w:themeColor="accent1" w:themeTint="99"/>
              <w:bottom w:val="single" w:sz="4" w:space="0" w:color="8EAADB" w:themeColor="accent1" w:themeTint="99"/>
              <w:right w:val="nil"/>
            </w:tcBorders>
          </w:tcPr>
          <w:p w:rsidR="004E1A57" w:rsidRPr="00B06331" w:rsidRDefault="004E1A57">
            <w:pPr>
              <w:rPr>
                <w:rFonts w:ascii="Avenir Book" w:hAnsi="Avenir Book"/>
                <w:color w:val="FF0000"/>
                <w:sz w:val="16"/>
                <w:szCs w:val="16"/>
              </w:rPr>
            </w:pPr>
          </w:p>
        </w:tc>
        <w:tc>
          <w:tcPr>
            <w:tcW w:w="3839"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000000"/>
              <w:rPr>
                <w:rFonts w:ascii="Avenir Book" w:hAnsi="Avenir Book"/>
                <w:color w:val="FF0000"/>
                <w:sz w:val="16"/>
                <w:szCs w:val="16"/>
              </w:rPr>
            </w:pP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pStyle w:val="ListParagraph"/>
              <w:spacing w:line="240" w:lineRule="auto"/>
              <w:ind w:left="0"/>
              <w:jc w:val="both"/>
              <w:cnfStyle w:val="000000000000"/>
              <w:rPr>
                <w:rFonts w:ascii="Avenir Book" w:hAnsi="Avenir Book"/>
                <w:color w:val="FF0000"/>
                <w:sz w:val="16"/>
                <w:szCs w:val="16"/>
              </w:rPr>
            </w:pPr>
          </w:p>
          <w:p w:rsidR="004E1A57" w:rsidRPr="00B06331" w:rsidRDefault="004E1A57">
            <w:pPr>
              <w:cnfStyle w:val="000000000000"/>
              <w:rPr>
                <w:rFonts w:ascii="Avenir Book" w:hAnsi="Avenir Book"/>
                <w:color w:val="FF0000"/>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000000"/>
              <w:rPr>
                <w:rFonts w:ascii="Avenir Book" w:hAnsi="Avenir Book"/>
                <w:color w:val="FF0000"/>
                <w:sz w:val="16"/>
                <w:szCs w:val="16"/>
              </w:rPr>
            </w:pPr>
          </w:p>
        </w:tc>
      </w:tr>
      <w:tr w:rsidR="004E1A57" w:rsidRPr="00B06331" w:rsidTr="00D7018B">
        <w:trPr>
          <w:cnfStyle w:val="000000100000"/>
          <w:trHeight w:val="764"/>
        </w:trPr>
        <w:tc>
          <w:tcPr>
            <w:cnfStyle w:val="001000000000"/>
            <w:tcW w:w="3400" w:type="dxa"/>
            <w:vMerge/>
            <w:tcBorders>
              <w:top w:val="single" w:sz="4" w:space="0" w:color="8EAADB" w:themeColor="accent1" w:themeTint="99"/>
              <w:left w:val="single" w:sz="4" w:space="0" w:color="8EAADB" w:themeColor="accent1" w:themeTint="99"/>
              <w:bottom w:val="single" w:sz="4" w:space="0" w:color="8EAADB" w:themeColor="accent1" w:themeTint="99"/>
              <w:right w:val="nil"/>
            </w:tcBorders>
            <w:vAlign w:val="center"/>
            <w:hideMark/>
          </w:tcPr>
          <w:p w:rsidR="004E1A57" w:rsidRPr="00B06331" w:rsidRDefault="004E1A57">
            <w:pPr>
              <w:rPr>
                <w:rFonts w:ascii="Avenir Book" w:hAnsi="Avenir Book"/>
                <w:color w:val="FF0000"/>
                <w:sz w:val="16"/>
                <w:szCs w:val="16"/>
              </w:rPr>
            </w:pPr>
          </w:p>
        </w:tc>
        <w:tc>
          <w:tcPr>
            <w:tcW w:w="3839"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pStyle w:val="ListParagraph"/>
              <w:spacing w:line="240" w:lineRule="auto"/>
              <w:ind w:left="360"/>
              <w:cnfStyle w:val="000000100000"/>
              <w:rPr>
                <w:rFonts w:ascii="Avenir Book" w:hAnsi="Avenir Book"/>
                <w:color w:val="FF0000"/>
                <w:sz w:val="16"/>
                <w:szCs w:val="16"/>
              </w:rPr>
            </w:pPr>
          </w:p>
        </w:tc>
        <w:tc>
          <w:tcPr>
            <w:tcW w:w="1590" w:type="dxa"/>
            <w:tcBorders>
              <w:top w:val="single" w:sz="4" w:space="0" w:color="8EAADB" w:themeColor="accent1" w:themeTint="99"/>
              <w:left w:val="nil"/>
              <w:bottom w:val="single" w:sz="4" w:space="0" w:color="8EAADB" w:themeColor="accent1" w:themeTint="99"/>
              <w:right w:val="nil"/>
            </w:tcBorders>
          </w:tcPr>
          <w:p w:rsidR="004E1A57" w:rsidRPr="00B06331" w:rsidRDefault="004E1A57">
            <w:pPr>
              <w:cnfStyle w:val="000000100000"/>
              <w:rPr>
                <w:rFonts w:ascii="Avenir Book" w:hAnsi="Avenir Book"/>
                <w:color w:val="FF0000"/>
                <w:sz w:val="16"/>
                <w:szCs w:val="16"/>
              </w:rPr>
            </w:pPr>
          </w:p>
        </w:tc>
        <w:tc>
          <w:tcPr>
            <w:tcW w:w="5031" w:type="dxa"/>
            <w:tcBorders>
              <w:top w:val="single" w:sz="4" w:space="0" w:color="8EAADB" w:themeColor="accent1" w:themeTint="99"/>
              <w:left w:val="nil"/>
              <w:bottom w:val="single" w:sz="4" w:space="0" w:color="8EAADB" w:themeColor="accent1" w:themeTint="99"/>
              <w:right w:val="single" w:sz="4" w:space="0" w:color="8EAADB" w:themeColor="accent1" w:themeTint="99"/>
            </w:tcBorders>
          </w:tcPr>
          <w:p w:rsidR="004E1A57" w:rsidRPr="00B06331" w:rsidRDefault="004E1A57">
            <w:pPr>
              <w:cnfStyle w:val="000000100000"/>
              <w:rPr>
                <w:rFonts w:ascii="Avenir Book" w:hAnsi="Avenir Book"/>
                <w:color w:val="FF0000"/>
                <w:sz w:val="16"/>
                <w:szCs w:val="16"/>
              </w:rPr>
            </w:pPr>
          </w:p>
        </w:tc>
      </w:tr>
      <w:tr w:rsidR="004E1A57" w:rsidRPr="00B06331" w:rsidTr="00D7018B">
        <w:trPr>
          <w:trHeight w:val="386"/>
        </w:trPr>
        <w:tc>
          <w:tcPr>
            <w:cnfStyle w:val="001000000000"/>
            <w:tcW w:w="1386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4E1A57" w:rsidRPr="00B06331" w:rsidRDefault="004E1A57" w:rsidP="004E1A57">
            <w:pPr>
              <w:pStyle w:val="ListParagraph"/>
              <w:numPr>
                <w:ilvl w:val="0"/>
                <w:numId w:val="147"/>
              </w:numPr>
              <w:spacing w:line="240" w:lineRule="auto"/>
              <w:rPr>
                <w:rFonts w:ascii="Avenir Book" w:hAnsi="Avenir Book"/>
                <w:sz w:val="16"/>
                <w:szCs w:val="16"/>
              </w:rPr>
            </w:pPr>
            <w:r w:rsidRPr="00B06331">
              <w:rPr>
                <w:rFonts w:ascii="Avenir Book" w:hAnsi="Avenir Book"/>
                <w:sz w:val="16"/>
                <w:szCs w:val="16"/>
              </w:rPr>
              <w:t>Data for Development</w:t>
            </w:r>
          </w:p>
        </w:tc>
      </w:tr>
    </w:tbl>
    <w:p w:rsidR="004E1A57" w:rsidRPr="00B06331" w:rsidRDefault="004E1A57" w:rsidP="004E1A57">
      <w:pPr>
        <w:rPr>
          <w:rFonts w:ascii="Avenir Book" w:hAnsi="Avenir Book" w:cstheme="minorBidi"/>
          <w:color w:val="FF0000"/>
          <w:sz w:val="16"/>
          <w:szCs w:val="16"/>
        </w:rPr>
      </w:pPr>
    </w:p>
    <w:p w:rsidR="00945D53" w:rsidRPr="00B06331" w:rsidRDefault="00945D53" w:rsidP="003A5A07">
      <w:pPr>
        <w:rPr>
          <w:b/>
        </w:rPr>
      </w:pPr>
    </w:p>
    <w:p w:rsidR="00D7018B" w:rsidRPr="00B06331" w:rsidRDefault="00D7018B" w:rsidP="00D7018B">
      <w:pPr>
        <w:keepNext/>
        <w:keepLines/>
        <w:spacing w:after="120" w:line="240" w:lineRule="auto"/>
        <w:jc w:val="center"/>
        <w:outlineLvl w:val="0"/>
        <w:rPr>
          <w:rFonts w:ascii="Times New Roman" w:eastAsiaTheme="majorEastAsia" w:hAnsi="Times New Roman"/>
          <w:b/>
          <w:bCs/>
          <w:color w:val="2F5496" w:themeColor="accent1" w:themeShade="BF"/>
          <w:szCs w:val="32"/>
          <w:lang w:bidi="en-US"/>
        </w:rPr>
      </w:pPr>
      <w:bookmarkStart w:id="208" w:name="_Toc492364817"/>
      <w:r w:rsidRPr="00B06331">
        <w:rPr>
          <w:rFonts w:ascii="Times New Roman" w:eastAsiaTheme="majorEastAsia" w:hAnsi="Times New Roman"/>
          <w:b/>
          <w:bCs/>
          <w:color w:val="2F5496" w:themeColor="accent1" w:themeShade="BF"/>
          <w:szCs w:val="32"/>
          <w:lang w:val="en-GB" w:bidi="en-US"/>
        </w:rPr>
        <w:t>Annex 3: Results Framework of the N</w:t>
      </w:r>
      <w:r w:rsidRPr="00B06331">
        <w:rPr>
          <w:rFonts w:ascii="Times New Roman" w:eastAsiaTheme="majorEastAsia" w:hAnsi="Times New Roman"/>
          <w:b/>
          <w:bCs/>
          <w:color w:val="2F5496" w:themeColor="accent1" w:themeShade="BF"/>
          <w:szCs w:val="32"/>
          <w:lang w:bidi="en-US"/>
        </w:rPr>
        <w:t>ational Development Plan (2018-2021) for the Republic of the Gambia</w:t>
      </w:r>
      <w:bookmarkEnd w:id="208"/>
    </w:p>
    <w:tbl>
      <w:tblPr>
        <w:tblpPr w:leftFromText="180" w:rightFromText="180" w:bottomFromText="160" w:vertAnchor="text" w:horzAnchor="margin" w:tblpXSpec="center" w:tblpY="100"/>
        <w:tblOverlap w:val="neve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398"/>
        <w:gridCol w:w="74"/>
        <w:gridCol w:w="1944"/>
        <w:gridCol w:w="30"/>
        <w:gridCol w:w="48"/>
        <w:gridCol w:w="90"/>
        <w:gridCol w:w="963"/>
        <w:gridCol w:w="74"/>
        <w:gridCol w:w="943"/>
        <w:gridCol w:w="49"/>
        <w:gridCol w:w="1549"/>
        <w:gridCol w:w="112"/>
        <w:gridCol w:w="6117"/>
        <w:gridCol w:w="8"/>
        <w:gridCol w:w="16"/>
      </w:tblGrid>
      <w:tr w:rsidR="00D7018B" w:rsidRPr="00B06331" w:rsidTr="00D7018B">
        <w:trPr>
          <w:gridAfter w:val="2"/>
          <w:wAfter w:w="24" w:type="dxa"/>
          <w:trHeight w:val="511"/>
        </w:trPr>
        <w:tc>
          <w:tcPr>
            <w:tcW w:w="14393" w:type="dxa"/>
            <w:gridSpan w:val="1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spacing w:after="0" w:line="240" w:lineRule="auto"/>
              <w:rPr>
                <w:rFonts w:ascii="Times New Roman" w:hAnsi="Times New Roman"/>
                <w:i/>
                <w:sz w:val="20"/>
                <w:szCs w:val="20"/>
                <w:lang w:val="en-GB" w:bidi="en-US"/>
              </w:rPr>
            </w:pPr>
            <w:r w:rsidRPr="00B06331">
              <w:rPr>
                <w:rFonts w:ascii="Times New Roman" w:hAnsi="Times New Roman"/>
                <w:b/>
                <w:bCs/>
                <w:sz w:val="20"/>
                <w:szCs w:val="20"/>
                <w:lang w:val="en-GB" w:bidi="en-US"/>
              </w:rPr>
              <w:t xml:space="preserve">Strategic Priority 1: </w:t>
            </w:r>
            <w:r w:rsidRPr="00B06331">
              <w:rPr>
                <w:rFonts w:ascii="Times New Roman" w:hAnsi="Times New Roman"/>
                <w:b/>
                <w:sz w:val="20"/>
                <w:szCs w:val="20"/>
              </w:rPr>
              <w:t xml:space="preserve"> Governance and Human Rights</w:t>
            </w:r>
          </w:p>
        </w:tc>
      </w:tr>
      <w:tr w:rsidR="00D7018B" w:rsidRPr="00B06331" w:rsidTr="00D7018B">
        <w:trPr>
          <w:gridAfter w:val="2"/>
          <w:wAfter w:w="24" w:type="dxa"/>
          <w:trHeight w:val="510"/>
        </w:trPr>
        <w:tc>
          <w:tcPr>
            <w:tcW w:w="14393" w:type="dxa"/>
            <w:gridSpan w:val="1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hAnsi="Times New Roman"/>
                <w:b/>
                <w:sz w:val="20"/>
                <w:szCs w:val="20"/>
              </w:rPr>
            </w:pPr>
            <w:r w:rsidRPr="00B06331">
              <w:rPr>
                <w:rFonts w:ascii="Times New Roman" w:hAnsi="Times New Roman"/>
                <w:b/>
                <w:bCs/>
                <w:sz w:val="20"/>
                <w:szCs w:val="20"/>
                <w:lang w:val="en-GB" w:bidi="en-US"/>
              </w:rPr>
              <w:lastRenderedPageBreak/>
              <w:t xml:space="preserve">Goal: </w:t>
            </w:r>
            <w:r w:rsidRPr="00B06331">
              <w:rPr>
                <w:rFonts w:ascii="Times New Roman" w:hAnsi="Times New Roman"/>
                <w:b/>
                <w:sz w:val="20"/>
                <w:szCs w:val="20"/>
              </w:rPr>
              <w:t>To enhance and improve human rights, access to justice and good governance for all</w:t>
            </w:r>
          </w:p>
        </w:tc>
      </w:tr>
      <w:tr w:rsidR="00D7018B" w:rsidRPr="00B06331" w:rsidTr="00D7018B">
        <w:trPr>
          <w:gridAfter w:val="2"/>
          <w:wAfter w:w="24" w:type="dxa"/>
          <w:trHeight w:val="650"/>
        </w:trPr>
        <w:tc>
          <w:tcPr>
            <w:tcW w:w="247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Outcomes</w:t>
            </w:r>
          </w:p>
        </w:tc>
        <w:tc>
          <w:tcPr>
            <w:tcW w:w="1974"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bCs/>
                <w:sz w:val="20"/>
                <w:szCs w:val="20"/>
                <w:lang w:val="en-GB" w:bidi="en-US"/>
              </w:rPr>
            </w:pPr>
            <w:r w:rsidRPr="00B06331">
              <w:rPr>
                <w:rFonts w:ascii="Times New Roman" w:hAnsi="Times New Roman"/>
                <w:b/>
                <w:bCs/>
                <w:sz w:val="20"/>
                <w:szCs w:val="20"/>
                <w:lang w:val="en-GB" w:bidi="en-US"/>
              </w:rPr>
              <w:t>Key indicators</w:t>
            </w:r>
          </w:p>
          <w:p w:rsidR="00D7018B" w:rsidRPr="00B06331" w:rsidRDefault="00D7018B">
            <w:pPr>
              <w:spacing w:after="0" w:line="240" w:lineRule="auto"/>
              <w:rPr>
                <w:rFonts w:ascii="Times New Roman" w:hAnsi="Times New Roman"/>
                <w:b/>
                <w:bCs/>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b/>
                <w:bCs/>
                <w:sz w:val="20"/>
                <w:szCs w:val="20"/>
                <w:lang w:val="en-GB" w:bidi="en-US"/>
              </w:rPr>
            </w:pPr>
            <w:r w:rsidRPr="00B06331">
              <w:rPr>
                <w:rFonts w:ascii="Times New Roman" w:hAnsi="Times New Roman"/>
                <w:b/>
                <w:bCs/>
                <w:sz w:val="20"/>
                <w:szCs w:val="20"/>
                <w:lang w:val="en-GB" w:bidi="en-US"/>
              </w:rPr>
              <w:t>Baselines 2017</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b/>
                <w:bCs/>
                <w:sz w:val="20"/>
                <w:szCs w:val="20"/>
                <w:lang w:val="en-GB" w:bidi="en-US"/>
              </w:rPr>
            </w:pPr>
            <w:r w:rsidRPr="00B06331">
              <w:rPr>
                <w:rFonts w:ascii="Times New Roman" w:hAnsi="Times New Roman"/>
                <w:b/>
                <w:bCs/>
                <w:sz w:val="20"/>
                <w:szCs w:val="20"/>
                <w:lang w:val="en-GB" w:bidi="en-US"/>
              </w:rPr>
              <w:t>Targets 2021</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b/>
                <w:bCs/>
                <w:sz w:val="20"/>
                <w:szCs w:val="20"/>
                <w:lang w:val="en-GB" w:bidi="en-US"/>
              </w:rPr>
            </w:pPr>
            <w:r w:rsidRPr="00B06331">
              <w:rPr>
                <w:rFonts w:ascii="Times New Roman" w:hAnsi="Times New Roman"/>
                <w:b/>
                <w:bCs/>
                <w:sz w:val="20"/>
                <w:szCs w:val="20"/>
                <w:lang w:val="en-GB" w:bidi="en-US"/>
              </w:rPr>
              <w:t>Means of verification</w:t>
            </w:r>
          </w:p>
        </w:tc>
        <w:tc>
          <w:tcPr>
            <w:tcW w:w="6118"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b/>
                <w:bCs/>
                <w:sz w:val="20"/>
                <w:szCs w:val="20"/>
                <w:lang w:val="en-GB" w:bidi="en-US"/>
              </w:rPr>
            </w:pPr>
            <w:r w:rsidRPr="00B06331">
              <w:rPr>
                <w:rFonts w:ascii="Times New Roman" w:hAnsi="Times New Roman"/>
                <w:b/>
                <w:bCs/>
                <w:sz w:val="20"/>
                <w:szCs w:val="20"/>
                <w:lang w:val="en-GB" w:bidi="en-US"/>
              </w:rPr>
              <w:t>Risks and Assumptions</w:t>
            </w:r>
          </w:p>
        </w:tc>
      </w:tr>
      <w:tr w:rsidR="00D7018B" w:rsidRPr="00B06331" w:rsidTr="00D7018B">
        <w:trPr>
          <w:gridAfter w:val="2"/>
          <w:wAfter w:w="24" w:type="dxa"/>
          <w:trHeight w:val="117"/>
        </w:trPr>
        <w:tc>
          <w:tcPr>
            <w:tcW w:w="2473" w:type="dxa"/>
            <w:gridSpan w:val="2"/>
            <w:vMerge w:val="restart"/>
            <w:tcBorders>
              <w:top w:val="single" w:sz="2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line="240" w:lineRule="auto"/>
              <w:jc w:val="both"/>
              <w:rPr>
                <w:rFonts w:ascii="Times New Roman" w:eastAsia="MS Mincho" w:hAnsi="Times New Roman"/>
                <w:sz w:val="20"/>
                <w:szCs w:val="20"/>
              </w:rPr>
            </w:pPr>
            <w:r w:rsidRPr="00B06331">
              <w:rPr>
                <w:rFonts w:ascii="Times New Roman" w:hAnsi="Times New Roman"/>
                <w:sz w:val="20"/>
                <w:szCs w:val="20"/>
              </w:rPr>
              <w:t>Enhanced good governance and freedom of expression</w:t>
            </w:r>
          </w:p>
          <w:p w:rsidR="00D7018B" w:rsidRPr="00B06331" w:rsidRDefault="00D7018B">
            <w:pPr>
              <w:pStyle w:val="ListParagraph"/>
              <w:spacing w:line="240" w:lineRule="auto"/>
              <w:ind w:left="360"/>
              <w:jc w:val="both"/>
              <w:rPr>
                <w:rFonts w:ascii="Times New Roman" w:eastAsiaTheme="minorEastAsia" w:hAnsi="Times New Roman"/>
                <w:sz w:val="20"/>
                <w:szCs w:val="20"/>
              </w:rPr>
            </w:pPr>
          </w:p>
          <w:p w:rsidR="00D7018B" w:rsidRPr="00B06331" w:rsidRDefault="00D7018B">
            <w:pPr>
              <w:spacing w:after="0" w:line="240" w:lineRule="auto"/>
              <w:rPr>
                <w:rFonts w:ascii="Times New Roman" w:hAnsi="Times New Roman"/>
                <w:sz w:val="20"/>
                <w:szCs w:val="20"/>
                <w:lang w:val="en-GB" w:bidi="en-US"/>
              </w:rPr>
            </w:pPr>
          </w:p>
        </w:tc>
        <w:tc>
          <w:tcPr>
            <w:tcW w:w="1974" w:type="dxa"/>
            <w:gridSpan w:val="2"/>
            <w:tcBorders>
              <w:top w:val="single" w:sz="24" w:space="0" w:color="auto"/>
              <w:left w:val="single" w:sz="4" w:space="0" w:color="auto"/>
              <w:bottom w:val="single" w:sz="4" w:space="0" w:color="auto"/>
              <w:right w:val="single" w:sz="4" w:space="0" w:color="auto"/>
            </w:tcBorders>
            <w:hideMark/>
          </w:tcPr>
          <w:p w:rsidR="00D7018B" w:rsidRPr="00B06331" w:rsidRDefault="00D7018B">
            <w:pPr>
              <w:pStyle w:val="Default"/>
              <w:spacing w:line="256" w:lineRule="auto"/>
              <w:jc w:val="both"/>
              <w:rPr>
                <w:rFonts w:ascii="Times New Roman" w:eastAsiaTheme="minorEastAsia" w:hAnsi="Times New Roman" w:cs="Times New Roman"/>
                <w:color w:val="auto"/>
                <w:sz w:val="20"/>
                <w:szCs w:val="20"/>
              </w:rPr>
            </w:pPr>
            <w:r w:rsidRPr="00B06331">
              <w:rPr>
                <w:color w:val="auto"/>
                <w:sz w:val="20"/>
                <w:szCs w:val="20"/>
              </w:rPr>
              <w:t>Existence of a revised constitution</w:t>
            </w:r>
          </w:p>
        </w:tc>
        <w:tc>
          <w:tcPr>
            <w:tcW w:w="1175" w:type="dxa"/>
            <w:gridSpan w:val="4"/>
            <w:tcBorders>
              <w:top w:val="single" w:sz="2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2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2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EastAsia" w:hAnsi="Times New Roman"/>
                <w:sz w:val="20"/>
                <w:szCs w:val="20"/>
              </w:rPr>
            </w:pPr>
            <w:r w:rsidRPr="00B06331">
              <w:rPr>
                <w:rFonts w:ascii="Times New Roman" w:hAnsi="Times New Roman"/>
                <w:sz w:val="20"/>
                <w:szCs w:val="20"/>
              </w:rPr>
              <w:t>Government Gazette</w:t>
            </w:r>
          </w:p>
        </w:tc>
        <w:tc>
          <w:tcPr>
            <w:tcW w:w="6118" w:type="dxa"/>
            <w:vMerge w:val="restart"/>
            <w:tcBorders>
              <w:top w:val="single" w:sz="2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5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There is political will and stability</w:t>
            </w:r>
          </w:p>
          <w:p w:rsidR="00D7018B" w:rsidRPr="00B06331" w:rsidRDefault="00D7018B" w:rsidP="00764ED7">
            <w:pPr>
              <w:pStyle w:val="ListParagraph"/>
              <w:numPr>
                <w:ilvl w:val="0"/>
                <w:numId w:val="15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Citizens’ expectations and willingness to participate</w:t>
            </w:r>
          </w:p>
          <w:p w:rsidR="00D7018B" w:rsidRPr="00B06331" w:rsidRDefault="00D7018B" w:rsidP="00764ED7">
            <w:pPr>
              <w:pStyle w:val="ListParagraph"/>
              <w:numPr>
                <w:ilvl w:val="0"/>
                <w:numId w:val="15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resources</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57"/>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The citizenry may not accept the changes</w:t>
            </w:r>
          </w:p>
          <w:p w:rsidR="00D7018B" w:rsidRPr="00B06331" w:rsidRDefault="00D7018B" w:rsidP="00764ED7">
            <w:pPr>
              <w:pStyle w:val="ListParagraph"/>
              <w:numPr>
                <w:ilvl w:val="0"/>
                <w:numId w:val="157"/>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Political instability</w:t>
            </w:r>
          </w:p>
          <w:p w:rsidR="00D7018B" w:rsidRPr="00B06331" w:rsidRDefault="00D7018B">
            <w:pPr>
              <w:pStyle w:val="ListParagraph"/>
              <w:spacing w:after="0" w:line="240" w:lineRule="auto"/>
              <w:rPr>
                <w:rFonts w:ascii="Times New Roman" w:hAnsi="Times New Roman"/>
                <w:sz w:val="20"/>
                <w:szCs w:val="20"/>
                <w:lang w:val="en-GB" w:bidi="en-US"/>
              </w:rPr>
            </w:pPr>
          </w:p>
        </w:tc>
      </w:tr>
      <w:tr w:rsidR="00D7018B" w:rsidRPr="00B06331" w:rsidTr="00D7018B">
        <w:trPr>
          <w:gridAfter w:val="2"/>
          <w:wAfter w:w="24" w:type="dxa"/>
          <w:trHeight w:val="395"/>
        </w:trPr>
        <w:tc>
          <w:tcPr>
            <w:tcW w:w="600" w:type="dxa"/>
            <w:gridSpan w:val="2"/>
            <w:vMerge/>
            <w:tcBorders>
              <w:top w:val="single" w:sz="2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pStyle w:val="Default"/>
              <w:spacing w:line="256" w:lineRule="auto"/>
              <w:jc w:val="both"/>
              <w:rPr>
                <w:color w:val="auto"/>
                <w:sz w:val="20"/>
                <w:szCs w:val="20"/>
              </w:rPr>
            </w:pPr>
            <w:r w:rsidRPr="00B06331">
              <w:rPr>
                <w:color w:val="auto"/>
                <w:sz w:val="20"/>
                <w:szCs w:val="20"/>
              </w:rPr>
              <w:t>Rating in the Ibrahim Index for governance</w:t>
            </w:r>
          </w:p>
          <w:p w:rsidR="00D7018B" w:rsidRPr="00B06331" w:rsidRDefault="00D7018B">
            <w:pPr>
              <w:pStyle w:val="Default"/>
              <w:spacing w:line="256" w:lineRule="auto"/>
              <w:jc w:val="both"/>
              <w:rPr>
                <w:color w:val="auto"/>
                <w:sz w:val="20"/>
                <w:szCs w:val="20"/>
              </w:rPr>
            </w:pPr>
          </w:p>
        </w:tc>
        <w:tc>
          <w:tcPr>
            <w:tcW w:w="1175"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46.6 score in 2016</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50</w:t>
            </w:r>
          </w:p>
        </w:tc>
        <w:tc>
          <w:tcPr>
            <w:tcW w:w="1661"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Theme="minorEastAsia" w:hAnsi="Times New Roman"/>
                <w:sz w:val="20"/>
                <w:szCs w:val="20"/>
              </w:rPr>
            </w:pPr>
            <w:r w:rsidRPr="00B06331">
              <w:rPr>
                <w:rFonts w:ascii="Times New Roman" w:hAnsi="Times New Roman"/>
                <w:sz w:val="20"/>
                <w:szCs w:val="20"/>
              </w:rPr>
              <w:t>Mo Abrahim Index</w:t>
            </w:r>
          </w:p>
          <w:p w:rsidR="00D7018B" w:rsidRPr="00B06331" w:rsidRDefault="00D7018B">
            <w:pPr>
              <w:spacing w:after="0" w:line="240" w:lineRule="auto"/>
              <w:rPr>
                <w:rFonts w:ascii="Times New Roman" w:hAnsi="Times New Roman"/>
                <w:sz w:val="20"/>
                <w:szCs w:val="20"/>
              </w:rPr>
            </w:pPr>
          </w:p>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Africa Peer Review Mechanism (APRM)</w:t>
            </w:r>
          </w:p>
        </w:tc>
        <w:tc>
          <w:tcPr>
            <w:tcW w:w="6142" w:type="dxa"/>
            <w:vMerge/>
            <w:tcBorders>
              <w:top w:val="single" w:sz="2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116"/>
        </w:trPr>
        <w:tc>
          <w:tcPr>
            <w:tcW w:w="600" w:type="dxa"/>
            <w:gridSpan w:val="2"/>
            <w:vMerge/>
            <w:tcBorders>
              <w:top w:val="single" w:sz="2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sz w:val="20"/>
                <w:szCs w:val="20"/>
              </w:rPr>
              <w:t xml:space="preserve">Existence of an amended Criminal Code </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EastAsia" w:hAnsi="Times New Roman"/>
                <w:sz w:val="20"/>
                <w:szCs w:val="20"/>
              </w:rPr>
            </w:pPr>
            <w:r w:rsidRPr="00B06331">
              <w:rPr>
                <w:rFonts w:ascii="Times New Roman" w:hAnsi="Times New Roman"/>
                <w:sz w:val="20"/>
                <w:szCs w:val="20"/>
              </w:rPr>
              <w:t>Government Gazette</w:t>
            </w:r>
          </w:p>
        </w:tc>
        <w:tc>
          <w:tcPr>
            <w:tcW w:w="6142" w:type="dxa"/>
            <w:vMerge/>
            <w:tcBorders>
              <w:top w:val="single" w:sz="2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116"/>
        </w:trPr>
        <w:tc>
          <w:tcPr>
            <w:tcW w:w="600" w:type="dxa"/>
            <w:gridSpan w:val="2"/>
            <w:vMerge/>
            <w:tcBorders>
              <w:top w:val="single" w:sz="2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Existence of an amended Information and Communication Act</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Government Gazette</w:t>
            </w:r>
          </w:p>
        </w:tc>
        <w:tc>
          <w:tcPr>
            <w:tcW w:w="6142" w:type="dxa"/>
            <w:vMerge/>
            <w:tcBorders>
              <w:top w:val="single" w:sz="2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85"/>
        </w:trPr>
        <w:tc>
          <w:tcPr>
            <w:tcW w:w="2473"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Human rights and democratic institutions established and strengthened</w:t>
            </w: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pStyle w:val="Default"/>
              <w:spacing w:line="256" w:lineRule="auto"/>
              <w:jc w:val="both"/>
              <w:rPr>
                <w:rFonts w:ascii="Times New Roman" w:eastAsiaTheme="minorEastAsia" w:hAnsi="Times New Roman" w:cs="Times New Roman"/>
                <w:color w:val="auto"/>
                <w:sz w:val="20"/>
                <w:szCs w:val="20"/>
              </w:rPr>
            </w:pPr>
            <w:r w:rsidRPr="00B06331">
              <w:rPr>
                <w:color w:val="auto"/>
                <w:sz w:val="20"/>
                <w:szCs w:val="20"/>
              </w:rPr>
              <w:t>Existence of a fully functional National Human Rights commission in conformity with international standards</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Government Gazette</w:t>
            </w:r>
          </w:p>
        </w:tc>
        <w:tc>
          <w:tcPr>
            <w:tcW w:w="6118"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5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The political will and commitment </w:t>
            </w:r>
          </w:p>
          <w:p w:rsidR="00D7018B" w:rsidRPr="00B06331" w:rsidRDefault="00D7018B">
            <w:pPr>
              <w:pStyle w:val="ListParagraph"/>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15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Limited autonomy of Human Rights Agencies</w:t>
            </w:r>
          </w:p>
          <w:p w:rsidR="00D7018B" w:rsidRPr="00B06331" w:rsidRDefault="00D7018B" w:rsidP="00764ED7">
            <w:pPr>
              <w:pStyle w:val="ListParagraph"/>
              <w:numPr>
                <w:ilvl w:val="0"/>
                <w:numId w:val="15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Cultural norms and values</w:t>
            </w:r>
          </w:p>
        </w:tc>
      </w:tr>
      <w:tr w:rsidR="00D7018B" w:rsidRPr="00B06331" w:rsidTr="00D7018B">
        <w:trPr>
          <w:gridAfter w:val="2"/>
          <w:wAfter w:w="24" w:type="dxa"/>
          <w:trHeight w:val="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pStyle w:val="Default"/>
              <w:spacing w:line="256" w:lineRule="auto"/>
              <w:jc w:val="both"/>
              <w:rPr>
                <w:color w:val="auto"/>
                <w:sz w:val="20"/>
                <w:szCs w:val="20"/>
              </w:rPr>
            </w:pPr>
            <w:r w:rsidRPr="00B06331">
              <w:rPr>
                <w:color w:val="auto"/>
                <w:sz w:val="20"/>
                <w:szCs w:val="20"/>
              </w:rPr>
              <w:t xml:space="preserve">Rate of compliance of The Gambia with its reporting obligations under </w:t>
            </w:r>
            <w:r w:rsidRPr="00B06331">
              <w:rPr>
                <w:color w:val="auto"/>
                <w:sz w:val="20"/>
                <w:szCs w:val="20"/>
              </w:rPr>
              <w:lastRenderedPageBreak/>
              <w:t>ratified human rights treaties</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20%</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100%</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Assembly Reports, UN Special Procedure Reports</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pStyle w:val="Default"/>
              <w:spacing w:line="256" w:lineRule="auto"/>
              <w:jc w:val="both"/>
              <w:rPr>
                <w:color w:val="auto"/>
                <w:sz w:val="20"/>
                <w:szCs w:val="20"/>
              </w:rPr>
            </w:pPr>
            <w:r w:rsidRPr="00B06331">
              <w:rPr>
                <w:color w:val="auto"/>
                <w:sz w:val="20"/>
                <w:szCs w:val="20"/>
              </w:rPr>
              <w:t>Establish an Anti-Corruption commission</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Government Gazette</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pStyle w:val="Default"/>
              <w:spacing w:line="256" w:lineRule="auto"/>
              <w:jc w:val="both"/>
              <w:rPr>
                <w:color w:val="auto"/>
                <w:sz w:val="20"/>
                <w:szCs w:val="20"/>
              </w:rPr>
            </w:pPr>
            <w:r w:rsidRPr="00B06331">
              <w:rPr>
                <w:color w:val="auto"/>
                <w:sz w:val="20"/>
                <w:szCs w:val="20"/>
              </w:rPr>
              <w:t>Rank in US DoS TIP report</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Tier 2 watchlist (2017)</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Tier 1</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US Dept of State TIP report</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pStyle w:val="Default"/>
              <w:spacing w:line="256" w:lineRule="auto"/>
              <w:jc w:val="both"/>
              <w:rPr>
                <w:color w:val="auto"/>
                <w:sz w:val="20"/>
                <w:szCs w:val="20"/>
              </w:rPr>
            </w:pPr>
            <w:r w:rsidRPr="00B06331">
              <w:rPr>
                <w:color w:val="auto"/>
                <w:sz w:val="20"/>
                <w:szCs w:val="20"/>
              </w:rPr>
              <w:t>Existence of a Truth and Reconciliation Commission (TRC)</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Government  Gazette</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78"/>
        </w:trPr>
        <w:tc>
          <w:tcPr>
            <w:tcW w:w="2473" w:type="dxa"/>
            <w:gridSpan w:val="2"/>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Improved access to quality justice services (including ADRS, NALA and Ombudsman)  without undue delay  by an independent  and efficient  judiciary</w:t>
            </w:r>
          </w:p>
          <w:p w:rsidR="00D7018B" w:rsidRPr="00B06331" w:rsidRDefault="00D7018B">
            <w:pPr>
              <w:spacing w:after="0" w:line="240"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Existence of ADRS regional offices </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Assembly reports</w:t>
            </w:r>
          </w:p>
        </w:tc>
        <w:tc>
          <w:tcPr>
            <w:tcW w:w="6118"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pStyle w:val="ListParagraph"/>
              <w:numPr>
                <w:ilvl w:val="0"/>
                <w:numId w:val="159"/>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effective, efficient and adequate Legal Aid</w:t>
            </w:r>
          </w:p>
          <w:p w:rsidR="00D7018B" w:rsidRPr="00B06331" w:rsidRDefault="00D7018B">
            <w:pPr>
              <w:pStyle w:val="ListParagraph"/>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pStyle w:val="ListParagraph"/>
              <w:numPr>
                <w:ilvl w:val="0"/>
                <w:numId w:val="16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Limited access to Alternative Dispute Resolution Mechanisms </w:t>
            </w:r>
          </w:p>
        </w:tc>
      </w:tr>
      <w:tr w:rsidR="00D7018B" w:rsidRPr="00B06331" w:rsidTr="00D7018B">
        <w:trPr>
          <w:gridAfter w:val="2"/>
          <w:wAfter w:w="24" w:type="dxa"/>
          <w:trHeight w:val="77"/>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Existence of an amended Ombudsman ACT</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Government Gazette</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77"/>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Number of new courts and tribunals</w:t>
            </w:r>
          </w:p>
        </w:tc>
        <w:tc>
          <w:tcPr>
            <w:tcW w:w="1175"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 xml:space="preserve">Supreme court: 1 </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Court of Appeal: 0</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High Court: 15</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Magistrate court: 17</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Cadi Courts: 1</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Specialized Courts: 0</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lastRenderedPageBreak/>
              <w:t>Tribunals: 0</w:t>
            </w:r>
          </w:p>
        </w:tc>
        <w:tc>
          <w:tcPr>
            <w:tcW w:w="992"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lastRenderedPageBreak/>
              <w:t xml:space="preserve">Supreme court: 3 </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Court of Appeal: 2</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High Court: 20</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Magistrate courts: 32</w:t>
            </w: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Cadi Courts: 8</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Specialized Courts: 8</w:t>
            </w: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lastRenderedPageBreak/>
              <w:t>Tribunals: 31</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lastRenderedPageBreak/>
              <w:t xml:space="preserve">Court Registry/ Judicial Records </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2"/>
          <w:wAfter w:w="24" w:type="dxa"/>
          <w:trHeight w:val="77"/>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Proportion of local Judges and  Magistrates </w:t>
            </w:r>
          </w:p>
        </w:tc>
        <w:tc>
          <w:tcPr>
            <w:tcW w:w="1175"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Judges: 52%</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Magistrates:92%</w:t>
            </w:r>
          </w:p>
          <w:p w:rsidR="00D7018B" w:rsidRPr="00B06331" w:rsidRDefault="00D7018B">
            <w:pPr>
              <w:spacing w:after="0" w:line="240" w:lineRule="auto"/>
              <w:jc w:val="center"/>
              <w:rPr>
                <w:rFonts w:ascii="Times New Roman" w:hAnsi="Times New Roman"/>
                <w:sz w:val="20"/>
                <w:szCs w:val="20"/>
                <w:lang w:val="en-GB" w:bidi="en-US"/>
              </w:rPr>
            </w:pP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100%</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Judiciary Payroll/ MoJ Payroll</w:t>
            </w:r>
          </w:p>
        </w:tc>
        <w:tc>
          <w:tcPr>
            <w:tcW w:w="614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83"/>
        </w:trPr>
        <w:tc>
          <w:tcPr>
            <w:tcW w:w="14401" w:type="dxa"/>
            <w:gridSpan w:val="14"/>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 xml:space="preserve">Strategic Priority 2:    Macroeconomic stabilization and economic management </w:t>
                  </w:r>
                </w:p>
              </w:tc>
            </w:tr>
            <w:tr w:rsidR="00D7018B" w:rsidRPr="00B06331">
              <w:trPr>
                <w:trHeight w:val="51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Goal:   To enhance macroeconomic management for sustainable, inclusive economic growth and poverty reduction</w:t>
                  </w:r>
                </w:p>
              </w:tc>
            </w:tr>
          </w:tbl>
          <w:p w:rsidR="00D7018B" w:rsidRPr="00B06331" w:rsidRDefault="00D7018B">
            <w:pPr>
              <w:spacing w:after="0" w:line="240" w:lineRule="auto"/>
              <w:jc w:val="center"/>
              <w:rPr>
                <w:rFonts w:ascii="Times New Roman" w:eastAsiaTheme="minorHAnsi" w:hAnsi="Times New Roman"/>
                <w:sz w:val="20"/>
                <w:szCs w:val="20"/>
              </w:rPr>
            </w:pPr>
          </w:p>
        </w:tc>
      </w:tr>
      <w:tr w:rsidR="00D7018B" w:rsidRPr="00B06331" w:rsidTr="00D7018B">
        <w:trPr>
          <w:gridAfter w:val="1"/>
          <w:wAfter w:w="16" w:type="dxa"/>
          <w:trHeight w:val="704"/>
        </w:trPr>
        <w:tc>
          <w:tcPr>
            <w:tcW w:w="2473"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contextualSpacing/>
              <w:rPr>
                <w:rFonts w:ascii="Times New Roman" w:hAnsi="Times New Roman"/>
                <w:sz w:val="20"/>
                <w:szCs w:val="20"/>
                <w:lang w:val="en-GB" w:bidi="en-US"/>
              </w:rPr>
            </w:pPr>
            <w:r w:rsidRPr="00B06331">
              <w:rPr>
                <w:rFonts w:ascii="Times New Roman" w:hAnsi="Times New Roman"/>
                <w:sz w:val="20"/>
                <w:szCs w:val="20"/>
                <w:lang w:val="en-GB" w:bidi="en-US"/>
              </w:rPr>
              <w:t>Prudent fiscal management for debt sustainability and enhanced resource alignment</w:t>
            </w: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Overall Deficit as % of GDP</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 xml:space="preserve">9.8 </w:t>
            </w:r>
          </w:p>
        </w:tc>
        <w:tc>
          <w:tcPr>
            <w:tcW w:w="992"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3.0</w:t>
            </w:r>
          </w:p>
          <w:p w:rsidR="00D7018B" w:rsidRPr="00B06331" w:rsidRDefault="00D7018B">
            <w:pPr>
              <w:spacing w:after="0" w:line="240" w:lineRule="auto"/>
              <w:jc w:val="center"/>
              <w:rPr>
                <w:rFonts w:ascii="Times New Roman" w:hAnsi="Times New Roman"/>
                <w:sz w:val="20"/>
                <w:szCs w:val="20"/>
                <w:lang w:val="en-GB" w:bidi="en-US"/>
              </w:rPr>
            </w:pP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126" w:type="dxa"/>
            <w:gridSpan w:val="2"/>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numPr>
                <w:ilvl w:val="0"/>
                <w:numId w:val="161"/>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 xml:space="preserve">Stable economic growth </w:t>
            </w:r>
          </w:p>
          <w:p w:rsidR="00D7018B" w:rsidRPr="00B06331" w:rsidRDefault="00D7018B" w:rsidP="00764ED7">
            <w:pPr>
              <w:numPr>
                <w:ilvl w:val="0"/>
                <w:numId w:val="161"/>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 xml:space="preserve">Fiscal Discipline </w:t>
            </w:r>
          </w:p>
          <w:p w:rsidR="00D7018B" w:rsidRPr="00B06331" w:rsidRDefault="00D7018B" w:rsidP="00764ED7">
            <w:pPr>
              <w:numPr>
                <w:ilvl w:val="0"/>
                <w:numId w:val="161"/>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Improve efficiency in tax administration and management</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numPr>
                <w:ilvl w:val="0"/>
                <w:numId w:val="161"/>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Economic shocks from erratic rainfall patterns</w:t>
            </w:r>
          </w:p>
          <w:p w:rsidR="00D7018B" w:rsidRPr="00B06331" w:rsidRDefault="00D7018B">
            <w:pPr>
              <w:spacing w:after="0" w:line="240" w:lineRule="auto"/>
              <w:ind w:left="720"/>
              <w:contextualSpacing/>
              <w:rPr>
                <w:rFonts w:ascii="Times New Roman" w:hAnsi="Times New Roman"/>
                <w:b/>
                <w:sz w:val="20"/>
                <w:szCs w:val="20"/>
                <w:lang w:val="en-GB" w:bidi="en-US"/>
              </w:rPr>
            </w:pPr>
          </w:p>
        </w:tc>
      </w:tr>
      <w:tr w:rsidR="00D7018B" w:rsidRPr="00B06331" w:rsidTr="00D7018B">
        <w:trPr>
          <w:gridAfter w:val="1"/>
          <w:wAfter w:w="16" w:type="dxa"/>
          <w:trHeight w:val="70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Total Government Revenue  (Tax and non-tax) by source as % of GDP</w:t>
            </w:r>
          </w:p>
        </w:tc>
        <w:tc>
          <w:tcPr>
            <w:tcW w:w="1175"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Tax:16.7</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Non-tax:1.5</w:t>
            </w:r>
          </w:p>
          <w:p w:rsidR="00D7018B" w:rsidRPr="00B06331" w:rsidRDefault="00D7018B">
            <w:pPr>
              <w:rPr>
                <w:rFonts w:ascii="Times New Roman" w:hAnsi="Times New Roman"/>
                <w:sz w:val="20"/>
                <w:szCs w:val="20"/>
                <w:lang w:val="en-GB" w:bidi="en-US"/>
              </w:rPr>
            </w:pPr>
          </w:p>
          <w:p w:rsidR="00D7018B" w:rsidRPr="00B06331" w:rsidRDefault="00D7018B">
            <w:pPr>
              <w:tabs>
                <w:tab w:val="left" w:pos="848"/>
              </w:tabs>
              <w:rPr>
                <w:rFonts w:ascii="Times New Roman" w:hAnsi="Times New Roman"/>
                <w:sz w:val="20"/>
                <w:szCs w:val="20"/>
                <w:lang w:val="en-GB" w:bidi="en-US"/>
              </w:rPr>
            </w:pPr>
            <w:r w:rsidRPr="00B06331">
              <w:rPr>
                <w:rFonts w:ascii="Times New Roman" w:hAnsi="Times New Roman"/>
                <w:sz w:val="20"/>
                <w:szCs w:val="20"/>
                <w:lang w:val="en-GB" w:bidi="en-US"/>
              </w:rPr>
              <w:tab/>
            </w:r>
          </w:p>
        </w:tc>
        <w:tc>
          <w:tcPr>
            <w:tcW w:w="992"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20</w:t>
            </w:r>
          </w:p>
          <w:p w:rsidR="00D7018B" w:rsidRPr="00B06331" w:rsidRDefault="00D7018B">
            <w:pPr>
              <w:spacing w:after="0" w:line="240" w:lineRule="auto"/>
              <w:jc w:val="center"/>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gridAfter w:val="1"/>
          <w:wAfter w:w="16" w:type="dxa"/>
          <w:trHeight w:val="70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Net Domestic Borrowing as % of GDP</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11.4</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1</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gridAfter w:val="1"/>
          <w:wAfter w:w="16" w:type="dxa"/>
          <w:trHeight w:val="70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Present Value of debt as % of GDP</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100.4</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gridAfter w:val="1"/>
          <w:wAfter w:w="16" w:type="dxa"/>
          <w:trHeight w:val="70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Total public  debt stock as  % of GDP</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120.3</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87.1</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 Debt Sustainability Analysis</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gridAfter w:val="1"/>
          <w:wAfter w:w="16" w:type="dxa"/>
          <w:trHeight w:val="70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Domestic debt stock as % of GDP</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67.9</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45.1</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gridAfter w:val="1"/>
          <w:wAfter w:w="16" w:type="dxa"/>
          <w:trHeight w:val="345"/>
        </w:trPr>
        <w:tc>
          <w:tcPr>
            <w:tcW w:w="2473"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Transparent and accountable public financial management</w:t>
            </w: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Budget variance (aggregate outturns compared to original approved budget)</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0</w:t>
            </w:r>
          </w:p>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(+-3%)</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126"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numPr>
                <w:ilvl w:val="0"/>
                <w:numId w:val="16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Capacity in budgeting and procurement</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numPr>
                <w:ilvl w:val="0"/>
                <w:numId w:val="16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 xml:space="preserve">Economic shocks from erratic rainfall pattern </w:t>
            </w:r>
          </w:p>
          <w:p w:rsidR="00D7018B" w:rsidRPr="00B06331" w:rsidRDefault="00D7018B" w:rsidP="00764ED7">
            <w:pPr>
              <w:numPr>
                <w:ilvl w:val="0"/>
                <w:numId w:val="16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Global economic shocks</w:t>
            </w:r>
          </w:p>
        </w:tc>
      </w:tr>
      <w:tr w:rsidR="00D7018B" w:rsidRPr="00B06331" w:rsidTr="00D7018B">
        <w:trPr>
          <w:gridAfter w:val="1"/>
          <w:wAfter w:w="16" w:type="dxa"/>
          <w:trHeight w:val="34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HAnsi" w:hAnsi="Times New Roman"/>
                <w:sz w:val="20"/>
                <w:szCs w:val="20"/>
              </w:rPr>
            </w:pPr>
            <w:r w:rsidRPr="00B06331">
              <w:rPr>
                <w:rFonts w:ascii="Times New Roman" w:eastAsiaTheme="minorHAnsi" w:hAnsi="Times New Roman"/>
                <w:sz w:val="20"/>
                <w:szCs w:val="20"/>
              </w:rPr>
              <w:t>Stock of accumulated arrears as % of domestic revenues</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34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Procurement violations as % of total procurement </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TBD (Procurement)</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 (Procurement)</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Annual Budget and government financial statement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34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Use of competitive procurement methods (grade)</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eastAsia="MS Mincho" w:hAnsi="Times New Roman"/>
                <w:sz w:val="20"/>
                <w:szCs w:val="20"/>
              </w:rPr>
            </w:pPr>
            <w:r w:rsidRPr="00B06331">
              <w:rPr>
                <w:rFonts w:ascii="Times New Roman" w:eastAsia="MS Mincho" w:hAnsi="Times New Roman"/>
                <w:sz w:val="20"/>
                <w:szCs w:val="20"/>
              </w:rPr>
              <w:t>D (2014)</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B</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PEFA Report</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474"/>
        </w:trPr>
        <w:tc>
          <w:tcPr>
            <w:tcW w:w="247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Sound monetary policies in place for price and exchange rate stability</w:t>
            </w:r>
          </w:p>
        </w:tc>
        <w:tc>
          <w:tcPr>
            <w:tcW w:w="1974"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Price Stability measured by CPI</w:t>
            </w:r>
          </w:p>
        </w:tc>
        <w:tc>
          <w:tcPr>
            <w:tcW w:w="1175"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eastAsia="MS Mincho" w:hAnsi="Times New Roman"/>
                <w:sz w:val="20"/>
                <w:szCs w:val="20"/>
              </w:rPr>
            </w:pPr>
            <w:r w:rsidRPr="00B06331">
              <w:rPr>
                <w:rFonts w:ascii="Times New Roman" w:eastAsia="MS Mincho" w:hAnsi="Times New Roman"/>
                <w:sz w:val="20"/>
                <w:szCs w:val="20"/>
              </w:rPr>
              <w:t>7.1%</w:t>
            </w:r>
          </w:p>
        </w:tc>
        <w:tc>
          <w:tcPr>
            <w:tcW w:w="992"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center"/>
              <w:rPr>
                <w:rFonts w:ascii="Times New Roman" w:hAnsi="Times New Roman"/>
                <w:sz w:val="20"/>
                <w:szCs w:val="20"/>
                <w:lang w:val="en-GB" w:bidi="en-US"/>
              </w:rPr>
            </w:pPr>
            <w:r w:rsidRPr="00B06331">
              <w:rPr>
                <w:rFonts w:ascii="Times New Roman" w:hAnsi="Times New Roman"/>
                <w:sz w:val="20"/>
                <w:szCs w:val="20"/>
                <w:lang w:val="en-GB" w:bidi="en-US"/>
              </w:rPr>
              <w:t>&lt;=5%</w:t>
            </w:r>
          </w:p>
        </w:tc>
        <w:tc>
          <w:tcPr>
            <w:tcW w:w="1661"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 (Report TBD)</w:t>
            </w:r>
          </w:p>
        </w:tc>
        <w:tc>
          <w:tcPr>
            <w:tcW w:w="6126"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numPr>
                <w:ilvl w:val="0"/>
                <w:numId w:val="16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 xml:space="preserve">CBG  operational independence </w:t>
            </w:r>
          </w:p>
          <w:p w:rsidR="00D7018B" w:rsidRPr="00B06331" w:rsidRDefault="00D7018B" w:rsidP="00764ED7">
            <w:pPr>
              <w:numPr>
                <w:ilvl w:val="0"/>
                <w:numId w:val="16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Continued existence of flexible exchange rate regime</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numPr>
                <w:ilvl w:val="0"/>
                <w:numId w:val="162"/>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Global economic shocks</w:t>
            </w:r>
          </w:p>
          <w:p w:rsidR="00D7018B" w:rsidRPr="00B06331" w:rsidRDefault="00D7018B" w:rsidP="00764ED7">
            <w:pPr>
              <w:numPr>
                <w:ilvl w:val="0"/>
                <w:numId w:val="162"/>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Economic shocks due to erratic rainfall pattern</w:t>
            </w: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gridAfter w:val="1"/>
          <w:wAfter w:w="16" w:type="dxa"/>
          <w:trHeight w:val="474"/>
        </w:trPr>
        <w:tc>
          <w:tcPr>
            <w:tcW w:w="2473"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rPr>
            </w:pPr>
            <w:r w:rsidRPr="00B06331">
              <w:rPr>
                <w:rFonts w:ascii="Times New Roman" w:hAnsi="Times New Roman"/>
                <w:sz w:val="20"/>
                <w:szCs w:val="20"/>
              </w:rPr>
              <w:t xml:space="preserve">Well-governed and financially viable SOEs for enhanced </w:t>
            </w:r>
            <w:r w:rsidRPr="00B06331">
              <w:rPr>
                <w:rFonts w:ascii="Times New Roman" w:hAnsi="Times New Roman"/>
                <w:sz w:val="20"/>
                <w:szCs w:val="20"/>
              </w:rPr>
              <w:lastRenderedPageBreak/>
              <w:t>macroeconomic stability and service delivery</w:t>
            </w:r>
          </w:p>
        </w:tc>
        <w:tc>
          <w:tcPr>
            <w:tcW w:w="1974"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lastRenderedPageBreak/>
              <w:t>Net profit margin of SoEs</w:t>
            </w:r>
          </w:p>
        </w:tc>
        <w:tc>
          <w:tcPr>
            <w:tcW w:w="1175" w:type="dxa"/>
            <w:gridSpan w:val="4"/>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TBD</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TBD</w:t>
            </w: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6126" w:type="dxa"/>
            <w:gridSpan w:val="2"/>
            <w:vMerge w:val="restart"/>
            <w:tcBorders>
              <w:top w:val="single" w:sz="4" w:space="0" w:color="auto"/>
              <w:left w:val="single" w:sz="4" w:space="0" w:color="auto"/>
              <w:bottom w:val="single" w:sz="4" w:space="0" w:color="auto"/>
              <w:right w:val="single" w:sz="4" w:space="0" w:color="auto"/>
            </w:tcBorders>
          </w:tcPr>
          <w:p w:rsidR="00D7018B" w:rsidRPr="00B06331" w:rsidRDefault="00D7018B">
            <w:pPr>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Assumption: </w:t>
            </w:r>
          </w:p>
          <w:p w:rsidR="00D7018B" w:rsidRPr="00B06331" w:rsidRDefault="00D7018B" w:rsidP="00764ED7">
            <w:pPr>
              <w:pStyle w:val="ListParagraph"/>
              <w:numPr>
                <w:ilvl w:val="0"/>
                <w:numId w:val="163"/>
              </w:numPr>
              <w:jc w:val="both"/>
              <w:rPr>
                <w:rFonts w:ascii="Times New Roman" w:hAnsi="Times New Roman"/>
                <w:sz w:val="20"/>
                <w:szCs w:val="20"/>
                <w:lang w:val="en-GB" w:bidi="en-US"/>
              </w:rPr>
            </w:pPr>
            <w:r w:rsidRPr="00B06331">
              <w:rPr>
                <w:rFonts w:ascii="Times New Roman" w:hAnsi="Times New Roman"/>
                <w:sz w:val="20"/>
                <w:szCs w:val="20"/>
                <w:lang w:val="en-GB" w:bidi="en-US"/>
              </w:rPr>
              <w:lastRenderedPageBreak/>
              <w:t xml:space="preserve">Political buy-in and commitment to implement the reform agenda at a comprehensive level </w:t>
            </w:r>
          </w:p>
          <w:p w:rsidR="00D7018B" w:rsidRPr="00B06331" w:rsidRDefault="00D7018B">
            <w:pPr>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Risk: </w:t>
            </w:r>
          </w:p>
          <w:p w:rsidR="00D7018B" w:rsidRPr="00B06331" w:rsidRDefault="00D7018B" w:rsidP="00764ED7">
            <w:pPr>
              <w:pStyle w:val="ListParagraph"/>
              <w:numPr>
                <w:ilvl w:val="0"/>
                <w:numId w:val="164"/>
              </w:numPr>
              <w:jc w:val="both"/>
              <w:rPr>
                <w:rFonts w:ascii="Times New Roman" w:hAnsi="Times New Roman"/>
                <w:sz w:val="20"/>
                <w:szCs w:val="20"/>
                <w:lang w:val="en-GB" w:bidi="en-US"/>
              </w:rPr>
            </w:pPr>
            <w:r w:rsidRPr="00B06331">
              <w:rPr>
                <w:rFonts w:ascii="Times New Roman" w:hAnsi="Times New Roman"/>
                <w:sz w:val="20"/>
                <w:szCs w:val="20"/>
                <w:lang w:val="en-GB" w:bidi="en-US"/>
              </w:rPr>
              <w:t>Unstable macro-economy due to increased debt (fiscal risk)</w:t>
            </w:r>
          </w:p>
          <w:p w:rsidR="00D7018B" w:rsidRPr="00B06331" w:rsidRDefault="00D7018B" w:rsidP="00764ED7">
            <w:pPr>
              <w:pStyle w:val="ListParagraph"/>
              <w:numPr>
                <w:ilvl w:val="0"/>
                <w:numId w:val="164"/>
              </w:numPr>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Non Compliance </w:t>
            </w:r>
          </w:p>
          <w:p w:rsidR="00D7018B" w:rsidRPr="00B06331" w:rsidRDefault="00D7018B" w:rsidP="00764ED7">
            <w:pPr>
              <w:pStyle w:val="ListParagraph"/>
              <w:numPr>
                <w:ilvl w:val="0"/>
                <w:numId w:val="164"/>
              </w:numPr>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Inefficiency in delivery of public services  </w:t>
            </w:r>
          </w:p>
          <w:p w:rsidR="00D7018B" w:rsidRPr="00B06331" w:rsidRDefault="00D7018B">
            <w:pPr>
              <w:spacing w:after="0" w:line="240" w:lineRule="auto"/>
              <w:rPr>
                <w:rFonts w:ascii="Times New Roman" w:hAnsi="Times New Roman"/>
                <w:sz w:val="20"/>
                <w:szCs w:val="20"/>
                <w:lang w:val="en-GB" w:bidi="en-US"/>
              </w:rPr>
            </w:pPr>
          </w:p>
        </w:tc>
      </w:tr>
      <w:tr w:rsidR="00D7018B" w:rsidRPr="00B06331" w:rsidTr="00D7018B">
        <w:trPr>
          <w:gridAfter w:val="1"/>
          <w:wAfter w:w="16" w:type="dxa"/>
          <w:trHeight w:val="47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Proportion of dividend paid to Government</w:t>
            </w:r>
          </w:p>
        </w:tc>
        <w:tc>
          <w:tcPr>
            <w:tcW w:w="1175" w:type="dxa"/>
            <w:gridSpan w:val="4"/>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TBD</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TBD</w:t>
            </w: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47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 xml:space="preserve">Existence of  an Updated SOE/PE Act </w:t>
            </w:r>
          </w:p>
        </w:tc>
        <w:tc>
          <w:tcPr>
            <w:tcW w:w="1175" w:type="dxa"/>
            <w:gridSpan w:val="4"/>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 xml:space="preserve">No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Yes</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Government Gazette</w:t>
            </w: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47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Total SOEs’ tax arrears as % of revenues excluding grants</w:t>
            </w:r>
          </w:p>
        </w:tc>
        <w:tc>
          <w:tcPr>
            <w:tcW w:w="1175" w:type="dxa"/>
            <w:gridSpan w:val="4"/>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TBD</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TBD</w:t>
            </w: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570"/>
        </w:trPr>
        <w:tc>
          <w:tcPr>
            <w:tcW w:w="2473"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rPr>
            </w:pPr>
            <w:r w:rsidRPr="00B06331">
              <w:rPr>
                <w:rFonts w:ascii="Times New Roman" w:hAnsi="Times New Roman"/>
                <w:sz w:val="20"/>
                <w:szCs w:val="20"/>
              </w:rPr>
              <w:t>Enhanced, independent and autonomous Economic Governance  institutions for effective macroeconomic management and stability</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1175" w:type="dxa"/>
            <w:gridSpan w:val="4"/>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126" w:type="dxa"/>
            <w:gridSpan w:val="2"/>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r>
      <w:tr w:rsidR="00D7018B" w:rsidRPr="00B06331" w:rsidTr="00D7018B">
        <w:trPr>
          <w:gridAfter w:val="1"/>
          <w:wAfter w:w="16" w:type="dxa"/>
          <w:trHeight w:val="57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1175" w:type="dxa"/>
            <w:gridSpan w:val="4"/>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57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1175" w:type="dxa"/>
            <w:gridSpan w:val="4"/>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eastAsia="MS Mincho" w:hAnsi="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286"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gridAfter w:val="1"/>
          <w:wAfter w:w="16" w:type="dxa"/>
          <w:trHeight w:val="570"/>
        </w:trPr>
        <w:tc>
          <w:tcPr>
            <w:tcW w:w="14401" w:type="dxa"/>
            <w:gridSpan w:val="14"/>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028"/>
              <w:gridCol w:w="1974"/>
              <w:gridCol w:w="1172"/>
              <w:gridCol w:w="992"/>
              <w:gridCol w:w="2039"/>
              <w:gridCol w:w="6210"/>
            </w:tblGrid>
            <w:tr w:rsidR="00D7018B" w:rsidRPr="00B06331">
              <w:trPr>
                <w:trHeight w:val="78"/>
              </w:trPr>
              <w:tc>
                <w:tcPr>
                  <w:tcW w:w="14417" w:type="dxa"/>
                  <w:gridSpan w:val="6"/>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2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4210"/>
                  </w:tblGrid>
                  <w:tr w:rsidR="00D7018B" w:rsidRPr="00B06331">
                    <w:trPr>
                      <w:trHeight w:val="511"/>
                    </w:trPr>
                    <w:tc>
                      <w:tcPr>
                        <w:tcW w:w="1539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MS Mincho" w:hAnsi="Times New Roman"/>
                            <w:sz w:val="20"/>
                            <w:szCs w:val="20"/>
                          </w:rPr>
                        </w:pPr>
                        <w:r w:rsidRPr="00B06331">
                          <w:rPr>
                            <w:rFonts w:ascii="Times New Roman" w:eastAsia="MS Mincho" w:hAnsi="Times New Roman"/>
                            <w:sz w:val="20"/>
                            <w:szCs w:val="20"/>
                          </w:rPr>
                          <w:t xml:space="preserve">Strategic Priority 3:   Modernize agriculture, agribusiness and fisheries </w:t>
                        </w:r>
                      </w:p>
                    </w:tc>
                  </w:tr>
                  <w:tr w:rsidR="00D7018B" w:rsidRPr="00B06331">
                    <w:trPr>
                      <w:trHeight w:val="510"/>
                    </w:trPr>
                    <w:tc>
                      <w:tcPr>
                        <w:tcW w:w="1539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 xml:space="preserve">Goal 1.: A modern, sustainable and market oriented Agriculture and livestock for increased food and nutrition security, income and employment generation, </w:t>
                        </w:r>
                      </w:p>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poverty reduction and economic transformation</w:t>
                        </w:r>
                      </w:p>
                      <w:p w:rsidR="00D7018B" w:rsidRPr="00B06331" w:rsidRDefault="00D7018B">
                        <w:pPr>
                          <w:rPr>
                            <w:rFonts w:ascii="Times New Roman" w:eastAsia="MS Mincho" w:hAnsi="Times New Roman"/>
                            <w:sz w:val="20"/>
                            <w:szCs w:val="20"/>
                          </w:rPr>
                        </w:pPr>
                        <w:r w:rsidRPr="00B06331">
                          <w:rPr>
                            <w:rFonts w:ascii="Times New Roman" w:eastAsia="MS Mincho" w:hAnsi="Times New Roman"/>
                            <w:sz w:val="20"/>
                            <w:szCs w:val="20"/>
                          </w:rPr>
                          <w:t xml:space="preserve">Goal2: To promote a vibrant fisheries and aquaculture sector through research, sustainable management and utilization of the fisheries resources to enhance </w:t>
                        </w:r>
                      </w:p>
                      <w:p w:rsidR="00D7018B" w:rsidRPr="00B06331" w:rsidRDefault="00D7018B">
                        <w:pPr>
                          <w:rPr>
                            <w:rFonts w:ascii="Times New Roman" w:eastAsia="MS Mincho" w:hAnsi="Times New Roman"/>
                            <w:sz w:val="20"/>
                            <w:szCs w:val="20"/>
                          </w:rPr>
                        </w:pPr>
                        <w:r w:rsidRPr="00B06331">
                          <w:rPr>
                            <w:rFonts w:ascii="Times New Roman" w:eastAsia="MS Mincho" w:hAnsi="Times New Roman"/>
                            <w:sz w:val="20"/>
                            <w:szCs w:val="20"/>
                          </w:rPr>
                          <w:t>employment and  livelihood opportunities, income and foreign exchange earnings, food and nutrition security.</w:t>
                        </w:r>
                      </w:p>
                    </w:tc>
                  </w:tr>
                </w:tbl>
                <w:p w:rsidR="00D7018B" w:rsidRPr="00B06331" w:rsidRDefault="00D7018B">
                  <w:pPr>
                    <w:spacing w:after="0" w:line="240" w:lineRule="auto"/>
                    <w:jc w:val="center"/>
                    <w:rPr>
                      <w:rFonts w:ascii="Times New Roman" w:eastAsia="MS Mincho" w:hAnsi="Times New Roman"/>
                      <w:sz w:val="20"/>
                      <w:szCs w:val="20"/>
                    </w:rPr>
                  </w:pPr>
                </w:p>
              </w:tc>
            </w:tr>
            <w:tr w:rsidR="00D7018B" w:rsidRPr="00B06331">
              <w:trPr>
                <w:trHeight w:val="294"/>
              </w:trPr>
              <w:tc>
                <w:tcPr>
                  <w:tcW w:w="202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eastAsiaTheme="minorHAnsi" w:hAnsi="Times New Roman"/>
                      <w:sz w:val="20"/>
                      <w:szCs w:val="20"/>
                    </w:rPr>
                  </w:pPr>
                  <w:r w:rsidRPr="00B06331">
                    <w:rPr>
                      <w:rFonts w:ascii="Avenir Book" w:hAnsi="Avenir Book"/>
                      <w:sz w:val="20"/>
                      <w:szCs w:val="20"/>
                    </w:rPr>
                    <w:lastRenderedPageBreak/>
                    <w:t>Modern and market led agricultural Sector Policy with appropriate sub-sector policies.</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both"/>
                    <w:rPr>
                      <w:rFonts w:ascii="Avenir Book" w:eastAsiaTheme="minorEastAsia" w:hAnsi="Avenir Book" w:cstheme="minorBidi"/>
                      <w:sz w:val="20"/>
                      <w:szCs w:val="20"/>
                    </w:rPr>
                  </w:pPr>
                  <w:r w:rsidRPr="00B06331">
                    <w:rPr>
                      <w:rFonts w:ascii="Avenir Book" w:hAnsi="Avenir Book"/>
                      <w:sz w:val="20"/>
                      <w:szCs w:val="20"/>
                    </w:rPr>
                    <w:t>Proportion of sub-sectors with costed strategic plans</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20</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100</w:t>
                  </w:r>
                  <w:r w:rsidRPr="00B06331">
                    <w:rPr>
                      <w:rStyle w:val="FootnoteReference"/>
                      <w:rFonts w:ascii="Times New Roman" w:hAnsi="Times New Roman"/>
                      <w:sz w:val="20"/>
                      <w:szCs w:val="20"/>
                      <w:lang w:val="en-GB" w:bidi="en-US"/>
                    </w:rPr>
                    <w:footnoteReference w:id="24"/>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Sector Annual Report</w:t>
                  </w:r>
                </w:p>
              </w:tc>
              <w:tc>
                <w:tcPr>
                  <w:tcW w:w="6211"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6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Sustained government and donor commitment to agriculture sector reforms</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6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Conflicting roles in the sectors </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trPr>
                <w:trHeight w:val="294"/>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eastAsiaTheme="minorHAnsi"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jc w:val="both"/>
                    <w:rPr>
                      <w:rFonts w:ascii="Avenir Book" w:eastAsiaTheme="minorEastAsia" w:hAnsi="Avenir Book" w:cstheme="minorBidi"/>
                      <w:sz w:val="20"/>
                      <w:szCs w:val="20"/>
                    </w:rPr>
                  </w:pPr>
                  <w:r w:rsidRPr="00B06331">
                    <w:rPr>
                      <w:rFonts w:ascii="Avenir Book" w:hAnsi="Avenir Book"/>
                      <w:sz w:val="20"/>
                      <w:szCs w:val="20"/>
                    </w:rPr>
                    <w:t>Existence of an animal health Act</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Government Gazette</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294"/>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eastAsiaTheme="minorHAnsi"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Avenir Book" w:eastAsiaTheme="minorEastAsia" w:hAnsi="Avenir Book" w:cstheme="minorBidi"/>
                      <w:sz w:val="20"/>
                      <w:szCs w:val="20"/>
                    </w:rPr>
                  </w:pPr>
                  <w:r w:rsidRPr="00B06331">
                    <w:rPr>
                      <w:rFonts w:ascii="Avenir Book" w:hAnsi="Avenir Book"/>
                      <w:sz w:val="20"/>
                      <w:szCs w:val="20"/>
                    </w:rPr>
                    <w:t>Existence of Phytosanitary Act</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Avenir Book" w:eastAsiaTheme="minorEastAsia" w:hAnsi="Avenir Book" w:cstheme="minorBidi"/>
                      <w:sz w:val="20"/>
                      <w:szCs w:val="20"/>
                    </w:rPr>
                  </w:pPr>
                  <w:r w:rsidRPr="00B06331">
                    <w:rPr>
                      <w:rFonts w:ascii="Times New Roman" w:hAnsi="Times New Roman"/>
                      <w:sz w:val="20"/>
                      <w:szCs w:val="20"/>
                      <w:lang w:val="en-GB" w:bidi="en-US"/>
                    </w:rPr>
                    <w:t>Government Gazette</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78"/>
              </w:trPr>
              <w:tc>
                <w:tcPr>
                  <w:tcW w:w="202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hAnsi="Times New Roman"/>
                      <w:sz w:val="20"/>
                      <w:szCs w:val="20"/>
                      <w:lang w:val="en-GB" w:bidi="en-US"/>
                    </w:rPr>
                  </w:pPr>
                  <w:r w:rsidRPr="00B06331">
                    <w:rPr>
                      <w:rFonts w:ascii="Times New Roman" w:eastAsiaTheme="minorHAnsi" w:hAnsi="Times New Roman"/>
                      <w:sz w:val="20"/>
                      <w:szCs w:val="20"/>
                    </w:rPr>
                    <w:t>Value chains enhanced for Agriculture and Livestock Transformation</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Avenir Book" w:eastAsiaTheme="minorEastAsia" w:hAnsi="Avenir Book" w:cstheme="minorBidi"/>
                      <w:sz w:val="20"/>
                      <w:szCs w:val="20"/>
                    </w:rPr>
                  </w:pPr>
                  <w:r w:rsidRPr="00B06331">
                    <w:rPr>
                      <w:rFonts w:ascii="Avenir Book" w:hAnsi="Avenir Book"/>
                      <w:sz w:val="20"/>
                      <w:szCs w:val="20"/>
                    </w:rPr>
                    <w:t>Volume of agro-processed products by type  (000’ Mt)</w:t>
                  </w:r>
                </w:p>
              </w:tc>
              <w:tc>
                <w:tcPr>
                  <w:tcW w:w="1172"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Fruits           =127</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Veg.                  =  34</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Rice             =  69</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Livestock       </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-Dairy         =0.811 </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-Honey      =5</w:t>
                  </w:r>
                </w:p>
              </w:tc>
              <w:tc>
                <w:tcPr>
                  <w:tcW w:w="992"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Fruits                 =162</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Veg.                  = 50 </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Rice              =  122</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Livestock       </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-Dairy                 = 30</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-Honey                = 6.5</w:t>
                  </w:r>
                </w:p>
              </w:tc>
              <w:tc>
                <w:tcPr>
                  <w:tcW w:w="2039"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Agricultural Sample Survey</w:t>
                  </w:r>
                </w:p>
              </w:tc>
              <w:tc>
                <w:tcPr>
                  <w:tcW w:w="6211"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both"/>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65"/>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Government continues to provide the enabling environment for private sector participation in the agriculture sector</w:t>
                  </w:r>
                </w:p>
                <w:p w:rsidR="00D7018B" w:rsidRPr="00B06331" w:rsidRDefault="00D7018B" w:rsidP="00764ED7">
                  <w:pPr>
                    <w:pStyle w:val="ListParagraph"/>
                    <w:numPr>
                      <w:ilvl w:val="0"/>
                      <w:numId w:val="165"/>
                    </w:numPr>
                    <w:spacing w:after="0" w:line="240" w:lineRule="auto"/>
                    <w:rPr>
                      <w:rFonts w:ascii="Times New Roman" w:hAnsi="Times New Roman"/>
                      <w:b/>
                      <w:sz w:val="20"/>
                      <w:szCs w:val="20"/>
                      <w:lang w:val="en-GB" w:bidi="en-US"/>
                    </w:rPr>
                  </w:pPr>
                  <w:r w:rsidRPr="00B06331">
                    <w:rPr>
                      <w:rFonts w:ascii="Times New Roman" w:hAnsi="Times New Roman"/>
                      <w:sz w:val="20"/>
                      <w:szCs w:val="20"/>
                      <w:lang w:val="en-GB" w:bidi="en-US"/>
                    </w:rPr>
                    <w:t>Private sector buys into government led initiatives to commercialize agriculture.</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6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Natural environment disasters</w:t>
                  </w:r>
                </w:p>
                <w:p w:rsidR="00D7018B" w:rsidRPr="00B06331" w:rsidRDefault="00D7018B" w:rsidP="00764ED7">
                  <w:pPr>
                    <w:pStyle w:val="ListParagraph"/>
                    <w:numPr>
                      <w:ilvl w:val="0"/>
                      <w:numId w:val="16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Unfavourable trade policies</w:t>
                  </w:r>
                </w:p>
                <w:p w:rsidR="00D7018B" w:rsidRPr="00B06331" w:rsidRDefault="00D7018B">
                  <w:pPr>
                    <w:spacing w:after="0" w:line="240" w:lineRule="auto"/>
                    <w:rPr>
                      <w:rFonts w:ascii="Times New Roman" w:hAnsi="Times New Roman"/>
                      <w:b/>
                      <w:sz w:val="20"/>
                      <w:szCs w:val="20"/>
                      <w:lang w:val="en-GB" w:bidi="en-US"/>
                    </w:rPr>
                  </w:pPr>
                </w:p>
              </w:tc>
            </w:tr>
            <w:tr w:rsidR="00D7018B" w:rsidRPr="00B06331">
              <w:trPr>
                <w:trHeight w:val="77"/>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Avenir Book" w:hAnsi="Avenir Book"/>
                      <w:sz w:val="20"/>
                      <w:szCs w:val="20"/>
                    </w:rPr>
                    <w:t xml:space="preserve">% of farmers graduating into commercial farming </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Gambia National Agricultural Database</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77"/>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Avenir Book" w:eastAsiaTheme="minorEastAsia" w:hAnsi="Avenir Book" w:cstheme="minorBidi"/>
                      <w:sz w:val="20"/>
                      <w:szCs w:val="20"/>
                    </w:rPr>
                  </w:pPr>
                  <w:r w:rsidRPr="00B06331">
                    <w:rPr>
                      <w:rFonts w:ascii="Avenir Book" w:hAnsi="Avenir Book"/>
                      <w:sz w:val="20"/>
                      <w:szCs w:val="20"/>
                    </w:rPr>
                    <w:t>% of post-harvest losses in major crops (cereal)</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30%</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20%</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GANAD</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6669"/>
              </w:trPr>
              <w:tc>
                <w:tcPr>
                  <w:tcW w:w="202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hAnsi="Times New Roman"/>
                      <w:sz w:val="20"/>
                      <w:szCs w:val="20"/>
                      <w:lang w:val="en-GB" w:bidi="en-US"/>
                    </w:rPr>
                  </w:pPr>
                  <w:r w:rsidRPr="00B06331">
                    <w:rPr>
                      <w:rFonts w:ascii="Times New Roman" w:eastAsiaTheme="minorHAnsi" w:hAnsi="Times New Roman"/>
                      <w:sz w:val="20"/>
                      <w:szCs w:val="20"/>
                    </w:rPr>
                    <w:lastRenderedPageBreak/>
                    <w:t>Increased production of basic agricultural commodities for enhanced food and nutrition security</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Avenir Book" w:hAnsi="Avenir Book"/>
                      <w:sz w:val="20"/>
                      <w:szCs w:val="20"/>
                    </w:rPr>
                    <w:t>Volume of total production  by commodity</w:t>
                  </w:r>
                  <w:r w:rsidRPr="00B06331">
                    <w:rPr>
                      <w:rFonts w:ascii="Avenir Book" w:hAnsi="Avenir Book"/>
                      <w:sz w:val="20"/>
                      <w:szCs w:val="20"/>
                      <w:vertAlign w:val="superscript"/>
                    </w:rPr>
                    <w:footnoteReference w:id="25"/>
                  </w:r>
                  <w:r w:rsidRPr="00B06331">
                    <w:rPr>
                      <w:rFonts w:ascii="Avenir Book" w:hAnsi="Avenir Book"/>
                      <w:sz w:val="20"/>
                      <w:szCs w:val="20"/>
                    </w:rPr>
                    <w:t xml:space="preserve"> (000’ Mt)</w:t>
                  </w:r>
                </w:p>
              </w:tc>
              <w:tc>
                <w:tcPr>
                  <w:tcW w:w="1172"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-Rice              =69</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-Maize           =38</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-Groundnut   =89</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-Onion         =6</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-Tomato       =4</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eastAsia="MS Mincho"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-Rice              =122</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-Maize           =43 </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Groundnut   =100</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-Onion           =19</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-Tomato        =15</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Avenir Book" w:hAnsi="Avenir Book"/>
                      <w:sz w:val="20"/>
                      <w:szCs w:val="20"/>
                    </w:rPr>
                    <w:t>NASS</w:t>
                  </w:r>
                </w:p>
              </w:tc>
              <w:tc>
                <w:tcPr>
                  <w:tcW w:w="6211"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before="100" w:beforeAutospacing="1" w:after="100" w:afterAutospacing="1" w:line="240" w:lineRule="auto"/>
                    <w:jc w:val="both"/>
                    <w:rPr>
                      <w:rFonts w:ascii="Times New Roman" w:eastAsiaTheme="minorEastAsia" w:hAnsi="Times New Roman" w:cstheme="minorBidi"/>
                      <w:b/>
                      <w:sz w:val="20"/>
                      <w:szCs w:val="16"/>
                    </w:rPr>
                  </w:pPr>
                  <w:r w:rsidRPr="00B06331">
                    <w:rPr>
                      <w:rFonts w:ascii="Times New Roman" w:hAnsi="Times New Roman"/>
                      <w:b/>
                      <w:sz w:val="20"/>
                      <w:szCs w:val="16"/>
                    </w:rPr>
                    <w:t>Assumptions:</w:t>
                  </w:r>
                </w:p>
                <w:p w:rsidR="00D7018B" w:rsidRPr="00B06331" w:rsidRDefault="00D7018B" w:rsidP="00764ED7">
                  <w:pPr>
                    <w:pStyle w:val="ListParagraph"/>
                    <w:numPr>
                      <w:ilvl w:val="0"/>
                      <w:numId w:val="167"/>
                    </w:numPr>
                    <w:spacing w:before="100" w:beforeAutospacing="1" w:after="100" w:afterAutospacing="1" w:line="240" w:lineRule="auto"/>
                    <w:jc w:val="both"/>
                    <w:rPr>
                      <w:rFonts w:ascii="Times New Roman" w:hAnsi="Times New Roman"/>
                      <w:sz w:val="20"/>
                      <w:szCs w:val="16"/>
                    </w:rPr>
                  </w:pPr>
                  <w:r w:rsidRPr="00B06331">
                    <w:rPr>
                      <w:rFonts w:ascii="Times New Roman" w:hAnsi="Times New Roman"/>
                      <w:sz w:val="20"/>
                      <w:szCs w:val="16"/>
                    </w:rPr>
                    <w:t xml:space="preserve">Continuous commitment of government and donors to priority interventions for food self- sufficiency. </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rsidP="00764ED7">
                  <w:pPr>
                    <w:pStyle w:val="ListParagraph"/>
                    <w:numPr>
                      <w:ilvl w:val="0"/>
                      <w:numId w:val="16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Climate and climate change effects</w:t>
                  </w:r>
                </w:p>
                <w:p w:rsidR="00D7018B" w:rsidRPr="00B06331" w:rsidRDefault="00D7018B">
                  <w:pPr>
                    <w:pStyle w:val="ListParagraph"/>
                    <w:spacing w:after="0" w:line="240" w:lineRule="auto"/>
                    <w:rPr>
                      <w:rFonts w:ascii="Times New Roman" w:hAnsi="Times New Roman"/>
                      <w:b/>
                      <w:sz w:val="20"/>
                      <w:szCs w:val="20"/>
                      <w:lang w:val="en-GB" w:bidi="en-US"/>
                    </w:rPr>
                  </w:pPr>
                </w:p>
              </w:tc>
            </w:tr>
            <w:tr w:rsidR="00D7018B" w:rsidRPr="00B06331">
              <w:trPr>
                <w:trHeight w:val="77"/>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change in yield/ha disaggregated by commodity(000’ Mt)</w:t>
                  </w:r>
                </w:p>
              </w:tc>
              <w:tc>
                <w:tcPr>
                  <w:tcW w:w="1172" w:type="dxa"/>
                  <w:tcBorders>
                    <w:top w:val="single" w:sz="4" w:space="0" w:color="auto"/>
                    <w:left w:val="single" w:sz="4" w:space="0" w:color="auto"/>
                    <w:bottom w:val="single" w:sz="4" w:space="0" w:color="auto"/>
                    <w:right w:val="single" w:sz="4" w:space="0" w:color="auto"/>
                  </w:tcBorders>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-Rice              =2.4</w:t>
                  </w: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-Maize           =1.08</w:t>
                  </w:r>
                </w:p>
                <w:p w:rsidR="00D7018B" w:rsidRPr="00B06331" w:rsidRDefault="00D7018B" w:rsidP="00D7018B">
                  <w:pPr>
                    <w:spacing w:after="0" w:line="240" w:lineRule="auto"/>
                    <w:rPr>
                      <w:rFonts w:ascii="Times New Roman" w:hAnsi="Times New Roman"/>
                      <w:sz w:val="20"/>
                      <w:szCs w:val="20"/>
                      <w:lang w:val="en-GB" w:bidi="en-US"/>
                    </w:rPr>
                  </w:pP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-Groundnut   </w:t>
                  </w:r>
                  <w:r w:rsidRPr="00B06331">
                    <w:rPr>
                      <w:rFonts w:ascii="Times New Roman" w:hAnsi="Times New Roman"/>
                      <w:sz w:val="20"/>
                      <w:szCs w:val="20"/>
                      <w:lang w:val="en-GB" w:bidi="en-US"/>
                    </w:rPr>
                    <w:lastRenderedPageBreak/>
                    <w:t>=0.98</w:t>
                  </w:r>
                </w:p>
                <w:p w:rsidR="00D7018B" w:rsidRPr="00B06331" w:rsidRDefault="00D7018B" w:rsidP="00D7018B">
                  <w:pPr>
                    <w:spacing w:after="0" w:line="240" w:lineRule="auto"/>
                    <w:rPr>
                      <w:rFonts w:ascii="Times New Roman" w:hAnsi="Times New Roman"/>
                      <w:sz w:val="20"/>
                      <w:szCs w:val="20"/>
                      <w:lang w:val="en-GB" w:bidi="en-US"/>
                    </w:rPr>
                  </w:pP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-Onion         =5</w:t>
                  </w: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-Tomato       =7</w:t>
                  </w:r>
                </w:p>
                <w:p w:rsidR="00D7018B" w:rsidRPr="00B06331" w:rsidRDefault="00D7018B" w:rsidP="00D7018B">
                  <w:pPr>
                    <w:spacing w:after="0" w:line="240" w:lineRule="auto"/>
                    <w:rPr>
                      <w:rFonts w:ascii="Times New Roman" w:hAnsi="Times New Roman"/>
                      <w:sz w:val="20"/>
                      <w:szCs w:val="20"/>
                      <w:lang w:val="en-GB" w:bidi="en-US"/>
                    </w:rPr>
                  </w:pPr>
                </w:p>
              </w:tc>
              <w:tc>
                <w:tcPr>
                  <w:tcW w:w="992" w:type="dxa"/>
                  <w:tcBorders>
                    <w:top w:val="single" w:sz="4" w:space="0" w:color="auto"/>
                    <w:left w:val="single" w:sz="4" w:space="0" w:color="auto"/>
                    <w:bottom w:val="single" w:sz="4" w:space="0" w:color="auto"/>
                    <w:right w:val="single" w:sz="4" w:space="0" w:color="auto"/>
                  </w:tcBorders>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-Rice              =3.5</w:t>
                  </w: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-Maize           =2</w:t>
                  </w: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-Groundnu</w:t>
                  </w:r>
                  <w:r w:rsidRPr="00B06331">
                    <w:rPr>
                      <w:rFonts w:ascii="Times New Roman" w:hAnsi="Times New Roman"/>
                      <w:sz w:val="20"/>
                      <w:szCs w:val="20"/>
                      <w:lang w:val="en-GB" w:bidi="en-US"/>
                    </w:rPr>
                    <w:lastRenderedPageBreak/>
                    <w:t>t   =1.2</w:t>
                  </w:r>
                </w:p>
                <w:p w:rsidR="00D7018B" w:rsidRPr="00B06331" w:rsidRDefault="00D7018B" w:rsidP="00D7018B">
                  <w:pPr>
                    <w:spacing w:after="0" w:line="240" w:lineRule="auto"/>
                    <w:rPr>
                      <w:rFonts w:ascii="Times New Roman" w:hAnsi="Times New Roman"/>
                      <w:sz w:val="20"/>
                      <w:szCs w:val="20"/>
                      <w:lang w:val="en-GB" w:bidi="en-US"/>
                    </w:rPr>
                  </w:pP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-Onion         =7</w:t>
                  </w:r>
                </w:p>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-Tomato       =10</w:t>
                  </w:r>
                </w:p>
                <w:p w:rsidR="00D7018B" w:rsidRPr="00B06331" w:rsidRDefault="00D7018B" w:rsidP="00D7018B">
                  <w:pPr>
                    <w:spacing w:after="0" w:line="240" w:lineRule="auto"/>
                    <w:rPr>
                      <w:rFonts w:ascii="Times New Roman" w:hAnsi="Times New Roman"/>
                      <w:sz w:val="20"/>
                      <w:szCs w:val="20"/>
                      <w:lang w:val="en-GB" w:bidi="en-US"/>
                    </w:rPr>
                  </w:pP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NASS</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78"/>
              </w:trPr>
              <w:tc>
                <w:tcPr>
                  <w:tcW w:w="202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hAnsi="Times New Roman"/>
                      <w:sz w:val="20"/>
                      <w:szCs w:val="20"/>
                      <w:lang w:val="en-GB" w:bidi="en-US"/>
                    </w:rPr>
                  </w:pPr>
                  <w:r w:rsidRPr="00B06331">
                    <w:rPr>
                      <w:rFonts w:ascii="Times New Roman" w:eastAsiaTheme="minorHAnsi" w:hAnsi="Times New Roman"/>
                      <w:sz w:val="20"/>
                      <w:szCs w:val="20"/>
                    </w:rPr>
                    <w:lastRenderedPageBreak/>
                    <w:t>Increased livestock production for food self-sufficiency in animal and animal products</w:t>
                  </w:r>
                </w:p>
              </w:tc>
              <w:tc>
                <w:tcPr>
                  <w:tcW w:w="1974"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Avenir Book" w:eastAsiaTheme="minorEastAsia" w:hAnsi="Avenir Book" w:cstheme="minorBidi"/>
                      <w:sz w:val="20"/>
                      <w:szCs w:val="20"/>
                    </w:rPr>
                  </w:pPr>
                  <w:r w:rsidRPr="00B06331">
                    <w:rPr>
                      <w:rFonts w:ascii="Avenir Book" w:hAnsi="Avenir Book"/>
                      <w:sz w:val="20"/>
                      <w:szCs w:val="20"/>
                    </w:rPr>
                    <w:t>Volume of total production  by commodity</w:t>
                  </w:r>
                  <w:r w:rsidRPr="00B06331">
                    <w:rPr>
                      <w:rFonts w:ascii="Avenir Book" w:hAnsi="Avenir Book"/>
                      <w:sz w:val="20"/>
                      <w:szCs w:val="20"/>
                      <w:vertAlign w:val="superscript"/>
                    </w:rPr>
                    <w:footnoteReference w:id="26"/>
                  </w:r>
                  <w:r w:rsidRPr="00B06331">
                    <w:rPr>
                      <w:rFonts w:ascii="Avenir Book" w:hAnsi="Avenir Book"/>
                      <w:sz w:val="20"/>
                      <w:szCs w:val="20"/>
                    </w:rPr>
                    <w:t xml:space="preserve"> (000’ Mt)</w:t>
                  </w:r>
                </w:p>
                <w:p w:rsidR="00D7018B" w:rsidRPr="00B06331" w:rsidRDefault="00D7018B">
                  <w:pPr>
                    <w:spacing w:after="0" w:line="240" w:lineRule="auto"/>
                    <w:rPr>
                      <w:rFonts w:ascii="Avenir Book" w:hAnsi="Avenir Book"/>
                      <w:sz w:val="20"/>
                      <w:szCs w:val="20"/>
                    </w:rPr>
                  </w:pP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-Sheep   =449</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-Goat      =988</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-Pigs    =1166</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-Poultry    (Local =1282 </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-Sheep           =750</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-Goat             =1600</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-Pigs              =1400</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-Poultry    (Local =2350 </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jc w:val="both"/>
                    <w:rPr>
                      <w:rFonts w:ascii="Times New Roman" w:hAnsi="Times New Roman"/>
                      <w:sz w:val="20"/>
                      <w:szCs w:val="20"/>
                      <w:lang w:val="en-GB" w:bidi="en-US"/>
                    </w:rPr>
                  </w:pPr>
                  <w:r w:rsidRPr="00B06331">
                    <w:rPr>
                      <w:rFonts w:ascii="Avenir Book" w:hAnsi="Avenir Book"/>
                      <w:sz w:val="20"/>
                      <w:szCs w:val="20"/>
                    </w:rPr>
                    <w:t>GANAD</w:t>
                  </w:r>
                </w:p>
              </w:tc>
              <w:tc>
                <w:tcPr>
                  <w:tcW w:w="6211"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both"/>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pPr>
                    <w:spacing w:after="0" w:line="240" w:lineRule="auto"/>
                    <w:jc w:val="both"/>
                    <w:rPr>
                      <w:rFonts w:ascii="Times New Roman" w:hAnsi="Times New Roman"/>
                      <w:b/>
                      <w:sz w:val="20"/>
                      <w:szCs w:val="20"/>
                      <w:lang w:val="en-GB" w:bidi="en-US"/>
                    </w:rPr>
                  </w:pPr>
                </w:p>
                <w:p w:rsidR="00D7018B" w:rsidRPr="00B06331" w:rsidRDefault="00D7018B" w:rsidP="00764ED7">
                  <w:pPr>
                    <w:pStyle w:val="ListParagraph"/>
                    <w:numPr>
                      <w:ilvl w:val="0"/>
                      <w:numId w:val="169"/>
                    </w:numPr>
                    <w:spacing w:after="0" w:line="240" w:lineRule="auto"/>
                    <w:ind w:left="360"/>
                    <w:rPr>
                      <w:rFonts w:ascii="Times New Roman" w:hAnsi="Times New Roman"/>
                      <w:sz w:val="20"/>
                      <w:szCs w:val="20"/>
                      <w:lang w:val="en-GB" w:bidi="en-US"/>
                    </w:rPr>
                  </w:pPr>
                  <w:r w:rsidRPr="00B06331">
                    <w:rPr>
                      <w:rFonts w:ascii="Times New Roman" w:hAnsi="Times New Roman"/>
                      <w:sz w:val="20"/>
                      <w:szCs w:val="20"/>
                      <w:lang w:val="en-GB" w:bidi="en-US"/>
                    </w:rPr>
                    <w:t xml:space="preserve">Availability of Veterinary services. </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rsidP="00764ED7">
                  <w:pPr>
                    <w:pStyle w:val="ListParagraph"/>
                    <w:numPr>
                      <w:ilvl w:val="0"/>
                      <w:numId w:val="169"/>
                    </w:numPr>
                    <w:spacing w:after="0" w:line="240" w:lineRule="auto"/>
                    <w:ind w:left="360"/>
                    <w:rPr>
                      <w:rFonts w:ascii="Times New Roman" w:hAnsi="Times New Roman"/>
                      <w:sz w:val="20"/>
                      <w:szCs w:val="20"/>
                      <w:lang w:val="en-GB" w:bidi="en-US"/>
                    </w:rPr>
                  </w:pPr>
                  <w:r w:rsidRPr="00B06331">
                    <w:rPr>
                      <w:rFonts w:ascii="Times New Roman" w:hAnsi="Times New Roman"/>
                      <w:sz w:val="20"/>
                      <w:szCs w:val="20"/>
                      <w:lang w:val="en-GB" w:bidi="en-US"/>
                    </w:rPr>
                    <w:t xml:space="preserve">Government ability to respond to outbreak of endemic/TADs diseases. </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rsidP="00764ED7">
                  <w:pPr>
                    <w:pStyle w:val="ListParagraph"/>
                    <w:numPr>
                      <w:ilvl w:val="0"/>
                      <w:numId w:val="169"/>
                    </w:numPr>
                    <w:spacing w:after="0" w:line="240" w:lineRule="auto"/>
                    <w:ind w:left="360"/>
                    <w:rPr>
                      <w:rFonts w:ascii="Times New Roman" w:hAnsi="Times New Roman"/>
                      <w:b/>
                      <w:sz w:val="20"/>
                      <w:szCs w:val="20"/>
                      <w:lang w:val="en-GB" w:bidi="en-US"/>
                    </w:rPr>
                  </w:pPr>
                  <w:r w:rsidRPr="00B06331">
                    <w:rPr>
                      <w:rFonts w:ascii="Times New Roman" w:hAnsi="Times New Roman"/>
                      <w:sz w:val="20"/>
                      <w:szCs w:val="20"/>
                      <w:lang w:val="en-GB" w:bidi="en-US"/>
                    </w:rPr>
                    <w:t>Willingness of livestock owners to adopt sustainable livestock management practices</w:t>
                  </w:r>
                </w:p>
                <w:p w:rsidR="00D7018B" w:rsidRPr="00B06331" w:rsidRDefault="00D7018B">
                  <w:pPr>
                    <w:pStyle w:val="ListParagraph"/>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7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Outbreaks of TADs and Endemic</w:t>
                  </w:r>
                </w:p>
                <w:p w:rsidR="00D7018B" w:rsidRPr="00B06331" w:rsidRDefault="00D7018B" w:rsidP="00764ED7">
                  <w:pPr>
                    <w:pStyle w:val="ListParagraph"/>
                    <w:numPr>
                      <w:ilvl w:val="0"/>
                      <w:numId w:val="17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Climate change impact</w:t>
                  </w:r>
                </w:p>
              </w:tc>
            </w:tr>
            <w:tr w:rsidR="00D7018B" w:rsidRPr="00B06331">
              <w:trPr>
                <w:trHeight w:val="77"/>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Average milk production  per/annum (</w:t>
                  </w:r>
                  <w:r w:rsidRPr="00B06331">
                    <w:rPr>
                      <w:rFonts w:ascii="Avenir Book" w:hAnsi="Avenir Book"/>
                      <w:sz w:val="20"/>
                      <w:szCs w:val="20"/>
                    </w:rPr>
                    <w:t>000’ Mt</w:t>
                  </w:r>
                  <w:r w:rsidRPr="00B06331">
                    <w:rPr>
                      <w:rFonts w:ascii="Times New Roman" w:hAnsi="Times New Roman"/>
                      <w:sz w:val="20"/>
                      <w:szCs w:val="20"/>
                      <w:lang w:val="en-GB" w:bidi="en-US"/>
                    </w:rPr>
                    <w:t xml:space="preserve"> )</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 25,882</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rPr>
                      <w:rFonts w:eastAsiaTheme="minorEastAsia" w:cstheme="minorBidi"/>
                    </w:rPr>
                  </w:pPr>
                  <w:r w:rsidRPr="00B06331">
                    <w:rPr>
                      <w:rFonts w:ascii="Times New Roman" w:hAnsi="Times New Roman"/>
                      <w:sz w:val="20"/>
                      <w:szCs w:val="20"/>
                      <w:lang w:val="en-GB" w:bidi="en-US"/>
                    </w:rPr>
                    <w:t>28,470</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rPr>
                      <w:rFonts w:asciiTheme="minorHAnsi" w:hAnsiTheme="minorHAnsi"/>
                    </w:rPr>
                  </w:pPr>
                  <w:r w:rsidRPr="00B06331">
                    <w:rPr>
                      <w:rFonts w:ascii="Avenir Book" w:hAnsi="Avenir Book"/>
                      <w:sz w:val="20"/>
                      <w:szCs w:val="20"/>
                    </w:rPr>
                    <w:t>GANAD</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r>
            <w:tr w:rsidR="00D7018B" w:rsidRPr="00B06331">
              <w:trPr>
                <w:trHeight w:val="77"/>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Quantity of eggs produced  per/annum (000’Mt)</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675</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rPr>
                      <w:rFonts w:eastAsiaTheme="minorEastAsia" w:cstheme="minorBidi"/>
                    </w:rPr>
                  </w:pPr>
                  <w:r w:rsidRPr="00B06331">
                    <w:t xml:space="preserve">   1,148 </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rPr>
                      <w:rFonts w:asciiTheme="minorHAnsi" w:hAnsiTheme="minorHAnsi"/>
                    </w:rPr>
                  </w:pPr>
                  <w:r w:rsidRPr="00B06331">
                    <w:rPr>
                      <w:rFonts w:ascii="Avenir Book" w:hAnsi="Avenir Book"/>
                      <w:sz w:val="20"/>
                      <w:szCs w:val="20"/>
                    </w:rPr>
                    <w:t>GANAD</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r>
            <w:tr w:rsidR="00D7018B" w:rsidRPr="00B06331">
              <w:trPr>
                <w:trHeight w:val="490"/>
              </w:trPr>
              <w:tc>
                <w:tcPr>
                  <w:tcW w:w="202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hAnsi="Times New Roman"/>
                      <w:sz w:val="20"/>
                      <w:szCs w:val="20"/>
                      <w:lang w:val="en-GB" w:bidi="en-US"/>
                    </w:rPr>
                  </w:pPr>
                  <w:r w:rsidRPr="00B06331">
                    <w:rPr>
                      <w:rFonts w:ascii="Times New Roman" w:eastAsiaTheme="minorHAnsi" w:hAnsi="Times New Roman"/>
                      <w:sz w:val="20"/>
                      <w:szCs w:val="20"/>
                    </w:rPr>
                    <w:t>Enhanced Institutional efficiency and effectiveness in the fisheries sector</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Availability of a revised fisheries and policy, Act and  regulations </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No</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Yes</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Fisheries Annual progress Reports</w:t>
                  </w:r>
                </w:p>
              </w:tc>
              <w:tc>
                <w:tcPr>
                  <w:tcW w:w="6211"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numPr>
                      <w:ilvl w:val="0"/>
                      <w:numId w:val="17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Adequate resources in place</w:t>
                  </w:r>
                </w:p>
                <w:p w:rsidR="00D7018B" w:rsidRPr="00B06331" w:rsidRDefault="00D7018B" w:rsidP="00764ED7">
                  <w:pPr>
                    <w:numPr>
                      <w:ilvl w:val="0"/>
                      <w:numId w:val="171"/>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Enforcement of fishing licences and regulations</w:t>
                  </w:r>
                </w:p>
                <w:p w:rsidR="00D7018B" w:rsidRPr="00B06331" w:rsidRDefault="00D7018B">
                  <w:pPr>
                    <w:spacing w:after="0" w:line="240" w:lineRule="auto"/>
                    <w:ind w:left="720"/>
                    <w:contextualSpacing/>
                    <w:rPr>
                      <w:rFonts w:ascii="Times New Roman" w:hAnsi="Times New Roman"/>
                      <w:b/>
                      <w:sz w:val="20"/>
                      <w:szCs w:val="20"/>
                      <w:lang w:val="en-GB" w:bidi="en-US"/>
                    </w:rPr>
                  </w:pPr>
                </w:p>
                <w:p w:rsidR="00D7018B" w:rsidRPr="00B06331" w:rsidRDefault="00D7018B">
                  <w:pPr>
                    <w:spacing w:after="0" w:line="240" w:lineRule="auto"/>
                    <w:ind w:left="720"/>
                    <w:contextualSpacing/>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numPr>
                      <w:ilvl w:val="0"/>
                      <w:numId w:val="172"/>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Inadequate comparative advantage in bilateral agreements</w:t>
                  </w:r>
                </w:p>
                <w:p w:rsidR="00D7018B" w:rsidRPr="00B06331" w:rsidRDefault="00D7018B" w:rsidP="00764ED7">
                  <w:pPr>
                    <w:numPr>
                      <w:ilvl w:val="0"/>
                      <w:numId w:val="173"/>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Inadequate surveillance</w:t>
                  </w:r>
                </w:p>
              </w:tc>
            </w:tr>
            <w:tr w:rsidR="00D7018B" w:rsidRPr="00B06331">
              <w:trPr>
                <w:trHeight w:val="490"/>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tbl>
                  <w:tblPr>
                    <w:tblW w:w="2850" w:type="dxa"/>
                    <w:tblLayout w:type="fixed"/>
                    <w:tblLook w:val="04A0"/>
                  </w:tblPr>
                  <w:tblGrid>
                    <w:gridCol w:w="2850"/>
                  </w:tblGrid>
                  <w:tr w:rsidR="00D7018B" w:rsidRPr="00B06331">
                    <w:trPr>
                      <w:trHeight w:val="90"/>
                    </w:trPr>
                    <w:tc>
                      <w:tcPr>
                        <w:tcW w:w="2849" w:type="dxa"/>
                        <w:tcBorders>
                          <w:top w:val="nil"/>
                          <w:left w:val="nil"/>
                          <w:bottom w:val="nil"/>
                          <w:right w:val="nil"/>
                        </w:tcBorders>
                        <w:hideMark/>
                      </w:tcPr>
                      <w:p w:rsidR="00D7018B" w:rsidRPr="00B06331" w:rsidRDefault="00D7018B" w:rsidP="00FD4AC6">
                        <w:pPr>
                          <w:framePr w:hSpace="180" w:wrap="around" w:vAnchor="text" w:hAnchor="margin" w:xAlign="center" w:y="100"/>
                          <w:autoSpaceDE w:val="0"/>
                          <w:autoSpaceDN w:val="0"/>
                          <w:adjustRightInd w:val="0"/>
                          <w:spacing w:after="0" w:line="240" w:lineRule="auto"/>
                          <w:suppressOverlap/>
                          <w:jc w:val="both"/>
                          <w:rPr>
                            <w:rFonts w:ascii="Times New Roman" w:eastAsia="MS Mincho" w:hAnsi="Times New Roman"/>
                            <w:sz w:val="20"/>
                            <w:szCs w:val="20"/>
                          </w:rPr>
                        </w:pPr>
                        <w:r w:rsidRPr="00B06331">
                          <w:rPr>
                            <w:rFonts w:ascii="Times New Roman" w:eastAsia="MS Mincho" w:hAnsi="Times New Roman"/>
                            <w:sz w:val="20"/>
                            <w:szCs w:val="20"/>
                          </w:rPr>
                          <w:t>Fisheries as a</w:t>
                        </w:r>
                      </w:p>
                      <w:p w:rsidR="00D7018B" w:rsidRPr="00B06331" w:rsidRDefault="00D7018B" w:rsidP="00FD4AC6">
                        <w:pPr>
                          <w:framePr w:hSpace="180" w:wrap="around" w:vAnchor="text" w:hAnchor="margin" w:xAlign="center" w:y="100"/>
                          <w:autoSpaceDE w:val="0"/>
                          <w:autoSpaceDN w:val="0"/>
                          <w:adjustRightInd w:val="0"/>
                          <w:spacing w:after="0" w:line="240" w:lineRule="auto"/>
                          <w:suppressOverlap/>
                          <w:jc w:val="both"/>
                          <w:rPr>
                            <w:rFonts w:ascii="Times New Roman" w:eastAsia="MS Mincho" w:hAnsi="Times New Roman"/>
                            <w:sz w:val="20"/>
                            <w:szCs w:val="20"/>
                          </w:rPr>
                        </w:pPr>
                        <w:r w:rsidRPr="00B06331">
                          <w:rPr>
                            <w:rFonts w:ascii="Times New Roman" w:eastAsia="MS Mincho" w:hAnsi="Times New Roman"/>
                            <w:sz w:val="20"/>
                            <w:szCs w:val="20"/>
                          </w:rPr>
                          <w:t xml:space="preserve">percentage of GDP </w:t>
                        </w:r>
                      </w:p>
                    </w:tc>
                  </w:tr>
                </w:tbl>
                <w:p w:rsidR="00D7018B" w:rsidRPr="00B06331" w:rsidRDefault="00D7018B" w:rsidP="00D7018B">
                  <w:pPr>
                    <w:spacing w:after="0" w:line="240" w:lineRule="auto"/>
                    <w:rPr>
                      <w:rFonts w:ascii="Times New Roman" w:eastAsia="MS Mincho" w:hAnsi="Times New Roman"/>
                      <w:sz w:val="20"/>
                      <w:szCs w:val="20"/>
                    </w:rPr>
                  </w:pP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6.4%</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15%</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Budget Estimates</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490"/>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Proportion of fish stocks within biologically sustainable levels</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Fisheries Survey 2017</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r w:rsidR="00D7018B" w:rsidRPr="00B06331">
              <w:trPr>
                <w:trHeight w:val="405"/>
              </w:trPr>
              <w:tc>
                <w:tcPr>
                  <w:tcW w:w="202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eastAsiaTheme="minorHAnsi" w:hAnsi="Times New Roman"/>
                      <w:sz w:val="20"/>
                      <w:szCs w:val="20"/>
                    </w:rPr>
                  </w:pPr>
                  <w:r w:rsidRPr="00B06331">
                    <w:rPr>
                      <w:rFonts w:ascii="Times New Roman" w:eastAsiaTheme="minorHAnsi" w:hAnsi="Times New Roman"/>
                      <w:sz w:val="20"/>
                      <w:szCs w:val="20"/>
                    </w:rPr>
                    <w:lastRenderedPageBreak/>
                    <w:t xml:space="preserve">Improved value chain for    fisheries and aqua culture transformation </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Total production of Fish resources</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Fisheries Department report</w:t>
                  </w:r>
                </w:p>
              </w:tc>
              <w:tc>
                <w:tcPr>
                  <w:tcW w:w="6211"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numPr>
                      <w:ilvl w:val="0"/>
                      <w:numId w:val="174"/>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Adequate fish processing plants</w:t>
                  </w:r>
                </w:p>
                <w:p w:rsidR="00D7018B" w:rsidRPr="00B06331" w:rsidRDefault="00D7018B" w:rsidP="00764ED7">
                  <w:pPr>
                    <w:numPr>
                      <w:ilvl w:val="0"/>
                      <w:numId w:val="174"/>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Active participation of indigenous actors in the fisheries</w:t>
                  </w:r>
                  <w:r w:rsidRPr="00B06331">
                    <w:rPr>
                      <w:rFonts w:ascii="Times New Roman" w:hAnsi="Times New Roman"/>
                      <w:b/>
                      <w:sz w:val="20"/>
                      <w:szCs w:val="20"/>
                      <w:lang w:val="en-GB" w:bidi="en-US"/>
                    </w:rPr>
                    <w:t xml:space="preserve"> sector </w:t>
                  </w: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numPr>
                      <w:ilvl w:val="0"/>
                      <w:numId w:val="17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Inadequate inputs for aqua culture development</w:t>
                  </w:r>
                </w:p>
                <w:p w:rsidR="00D7018B" w:rsidRPr="00B06331" w:rsidRDefault="00D7018B" w:rsidP="00764ED7">
                  <w:pPr>
                    <w:numPr>
                      <w:ilvl w:val="0"/>
                      <w:numId w:val="175"/>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Supply imbalance between fish meal plants and human consumption</w:t>
                  </w:r>
                </w:p>
              </w:tc>
            </w:tr>
            <w:tr w:rsidR="00D7018B" w:rsidRPr="00B06331">
              <w:trPr>
                <w:trHeight w:val="405"/>
              </w:trPr>
              <w:tc>
                <w:tcPr>
                  <w:tcW w:w="202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contextualSpacing/>
                    <w:rPr>
                      <w:rFonts w:ascii="Times New Roman" w:eastAsia="MS Mincho"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Budget allocation to Aqua culture development </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hAnsi="Times New Roman"/>
                      <w:sz w:val="20"/>
                      <w:szCs w:val="20"/>
                      <w:lang w:val="en-GB" w:bidi="en-US"/>
                    </w:rPr>
                    <w:t>D2,000,000</w:t>
                  </w:r>
                </w:p>
              </w:tc>
              <w:tc>
                <w:tcPr>
                  <w:tcW w:w="992"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D10,000,000</w:t>
                  </w:r>
                </w:p>
                <w:p w:rsidR="00D7018B" w:rsidRPr="00B06331" w:rsidRDefault="00D7018B">
                  <w:pPr>
                    <w:spacing w:after="0" w:line="240" w:lineRule="auto"/>
                    <w:rPr>
                      <w:rFonts w:ascii="Times New Roman" w:eastAsia="MS Mincho" w:hAnsi="Times New Roman"/>
                      <w:sz w:val="20"/>
                      <w:szCs w:val="20"/>
                    </w:rPr>
                  </w:pP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Budget estimates</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trPr>
                <w:trHeight w:val="405"/>
              </w:trPr>
              <w:tc>
                <w:tcPr>
                  <w:tcW w:w="1441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eastAsia="MS Mincho"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Percentage of fish resources exported</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hAnsi="Times New Roman"/>
                      <w:sz w:val="20"/>
                      <w:szCs w:val="20"/>
                      <w:lang w:val="en-GB" w:bidi="en-US"/>
                    </w:rPr>
                    <w:t>32%</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eastAsia="MS Mincho" w:hAnsi="Times New Roman"/>
                      <w:sz w:val="20"/>
                      <w:szCs w:val="20"/>
                    </w:rPr>
                  </w:pPr>
                  <w:r w:rsidRPr="00B06331">
                    <w:rPr>
                      <w:rFonts w:ascii="Times New Roman" w:hAnsi="Times New Roman"/>
                      <w:sz w:val="20"/>
                      <w:szCs w:val="20"/>
                      <w:lang w:val="en-GB" w:bidi="en-US"/>
                    </w:rPr>
                    <w:t>43%</w:t>
                  </w:r>
                </w:p>
              </w:tc>
              <w:tc>
                <w:tcPr>
                  <w:tcW w:w="2039"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Food Safety and Quality Authority</w:t>
                  </w:r>
                </w:p>
              </w:tc>
              <w:tc>
                <w:tcPr>
                  <w:tcW w:w="6211"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b/>
                      <w:sz w:val="20"/>
                      <w:szCs w:val="20"/>
                      <w:lang w:val="en-GB" w:bidi="en-US"/>
                    </w:rPr>
                  </w:pPr>
                </w:p>
              </w:tc>
            </w:tr>
          </w:tbl>
          <w:p w:rsidR="00D7018B" w:rsidRPr="00B06331" w:rsidRDefault="00D7018B">
            <w:pPr>
              <w:spacing w:after="0" w:line="240" w:lineRule="auto"/>
              <w:rPr>
                <w:rFonts w:ascii="Times New Roman" w:hAnsi="Times New Roman"/>
                <w:sz w:val="20"/>
                <w:szCs w:val="20"/>
                <w:lang w:val="en-GB" w:bidi="en-US"/>
              </w:rPr>
            </w:pPr>
          </w:p>
        </w:tc>
      </w:tr>
      <w:tr w:rsidR="00D7018B" w:rsidRPr="00B06331" w:rsidTr="00D7018B">
        <w:trPr>
          <w:trHeight w:val="78"/>
        </w:trPr>
        <w:tc>
          <w:tcPr>
            <w:tcW w:w="14417" w:type="dxa"/>
            <w:gridSpan w:val="15"/>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00"/>
            </w:tblGrid>
            <w:tr w:rsidR="00D7018B" w:rsidRPr="00B06331">
              <w:trPr>
                <w:trHeight w:val="511"/>
              </w:trPr>
              <w:tc>
                <w:tcPr>
                  <w:tcW w:w="1530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D7018B" w:rsidRPr="00B06331" w:rsidRDefault="00D7018B">
                  <w:pPr>
                    <w:rPr>
                      <w:rFonts w:ascii="Times New Roman" w:eastAsia="MS Mincho" w:hAnsi="Times New Roman"/>
                      <w:sz w:val="20"/>
                      <w:szCs w:val="20"/>
                    </w:rPr>
                  </w:pPr>
                  <w:r w:rsidRPr="00B06331">
                    <w:rPr>
                      <w:rFonts w:ascii="Times New Roman" w:eastAsia="MS Mincho" w:hAnsi="Times New Roman"/>
                      <w:sz w:val="20"/>
                      <w:szCs w:val="20"/>
                    </w:rPr>
                    <w:lastRenderedPageBreak/>
                    <w:t>Strategic Priority 4:  Human Capital development (education, health and social protection)</w:t>
                  </w:r>
                </w:p>
              </w:tc>
            </w:tr>
            <w:tr w:rsidR="00D7018B" w:rsidRPr="00B06331">
              <w:trPr>
                <w:trHeight w:val="510"/>
              </w:trPr>
              <w:tc>
                <w:tcPr>
                  <w:tcW w:w="1530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Goal:Quality health, education and basic social services accessible and affordable to all and improved social and</w:t>
                  </w:r>
                </w:p>
                <w:p w:rsidR="00D7018B" w:rsidRPr="00B06331" w:rsidRDefault="00D7018B">
                  <w:pPr>
                    <w:jc w:val="both"/>
                    <w:rPr>
                      <w:rFonts w:ascii="Times New Roman" w:eastAsia="MS Mincho" w:hAnsi="Times New Roman"/>
                      <w:sz w:val="20"/>
                      <w:szCs w:val="20"/>
                    </w:rPr>
                  </w:pPr>
                  <w:r w:rsidRPr="00B06331">
                    <w:rPr>
                      <w:rFonts w:ascii="Times New Roman" w:eastAsia="MS Mincho" w:hAnsi="Times New Roman"/>
                      <w:sz w:val="20"/>
                      <w:szCs w:val="20"/>
                    </w:rPr>
                    <w:t xml:space="preserve"> child protection systems in place for the most vulnerable</w:t>
                  </w:r>
                </w:p>
              </w:tc>
            </w:tr>
          </w:tbl>
          <w:p w:rsidR="00D7018B" w:rsidRPr="00B06331" w:rsidRDefault="00D7018B">
            <w:pPr>
              <w:spacing w:after="0" w:line="240" w:lineRule="auto"/>
              <w:jc w:val="center"/>
              <w:rPr>
                <w:rFonts w:ascii="Times New Roman" w:eastAsia="MS Mincho" w:hAnsi="Times New Roman"/>
                <w:sz w:val="20"/>
                <w:szCs w:val="20"/>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rPr>
                <w:rFonts w:asciiTheme="minorHAnsi" w:eastAsiaTheme="minorEastAsia" w:hAnsiTheme="minorHAnsi" w:cstheme="minorBidi"/>
                <w:sz w:val="28"/>
                <w:szCs w:val="28"/>
              </w:rPr>
            </w:pPr>
            <w:r w:rsidRPr="00B06331">
              <w:rPr>
                <w:rFonts w:ascii="Times New Roman" w:hAnsi="Times New Roman"/>
                <w:sz w:val="20"/>
                <w:szCs w:val="20"/>
              </w:rPr>
              <w:t>Enhanced access to quality and affordable early childhood education nationwide</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Proportion of ECD permanent  Structures meeting the minimum standards</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57.5%</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(2017)</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62.5%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EastAsia" w:hAnsi="Times New Roman"/>
                <w:sz w:val="20"/>
                <w:szCs w:val="20"/>
              </w:rPr>
            </w:pPr>
            <w:r w:rsidRPr="00B06331">
              <w:rPr>
                <w:rFonts w:ascii="Times New Roman" w:hAnsi="Times New Roman"/>
                <w:sz w:val="20"/>
                <w:szCs w:val="20"/>
              </w:rPr>
              <w:t>EMIS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contextualSpacing/>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7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Resource availability</w:t>
            </w:r>
          </w:p>
          <w:p w:rsidR="00D7018B" w:rsidRPr="00B06331" w:rsidRDefault="00D7018B" w:rsidP="00764ED7">
            <w:pPr>
              <w:pStyle w:val="ListParagraph"/>
              <w:numPr>
                <w:ilvl w:val="0"/>
                <w:numId w:val="17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Prioritisation of ECD in national agenda</w:t>
            </w:r>
          </w:p>
          <w:p w:rsidR="00D7018B" w:rsidRPr="00B06331" w:rsidRDefault="00D7018B">
            <w:pPr>
              <w:spacing w:after="0" w:line="240" w:lineRule="auto"/>
              <w:ind w:left="720"/>
              <w:contextualSpacing/>
              <w:rPr>
                <w:rFonts w:ascii="Times New Roman" w:hAnsi="Times New Roman"/>
                <w:b/>
                <w:sz w:val="20"/>
                <w:szCs w:val="20"/>
                <w:lang w:val="en-GB" w:bidi="en-US"/>
              </w:rPr>
            </w:pPr>
          </w:p>
          <w:p w:rsidR="00D7018B" w:rsidRPr="00B06331" w:rsidRDefault="00D7018B">
            <w:pPr>
              <w:spacing w:after="0" w:line="240" w:lineRule="auto"/>
              <w:contextualSpacing/>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7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Attrition</w:t>
            </w:r>
          </w:p>
          <w:p w:rsidR="00D7018B" w:rsidRPr="00B06331" w:rsidRDefault="00D7018B" w:rsidP="00764ED7">
            <w:pPr>
              <w:pStyle w:val="ListParagraph"/>
              <w:numPr>
                <w:ilvl w:val="0"/>
                <w:numId w:val="17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Posting Apathy</w:t>
            </w:r>
          </w:p>
          <w:p w:rsidR="00D7018B" w:rsidRPr="00B06331" w:rsidRDefault="00D7018B">
            <w:pPr>
              <w:spacing w:after="0" w:line="240" w:lineRule="auto"/>
              <w:ind w:left="720"/>
              <w:contextualSpacing/>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eastAsiaTheme="minorEastAsia"/>
                <w:sz w:val="28"/>
                <w:szCs w:val="28"/>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Goss enrollment Rate by gender</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45.2%</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Girls 47.9%</w:t>
            </w: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Boys 50.2%</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Girls 52,9%</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eastAsiaTheme="minorEastAsia"/>
                <w:sz w:val="28"/>
                <w:szCs w:val="28"/>
              </w:rPr>
            </w:pPr>
          </w:p>
        </w:tc>
        <w:tc>
          <w:tcPr>
            <w:tcW w:w="2096"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of trained ECD teachers ( Public)</w:t>
            </w:r>
          </w:p>
          <w:p w:rsidR="00D7018B" w:rsidRPr="00B06331" w:rsidRDefault="00D7018B">
            <w:pPr>
              <w:spacing w:after="0" w:line="240" w:lineRule="auto"/>
              <w:rPr>
                <w:rFonts w:ascii="Times New Roman" w:eastAsia="MS Mincho" w:hAnsi="Times New Roman"/>
                <w:sz w:val="20"/>
                <w:szCs w:val="20"/>
              </w:rPr>
            </w:pP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73%</w:t>
            </w:r>
          </w:p>
          <w:p w:rsidR="00D7018B" w:rsidRPr="00B06331" w:rsidRDefault="00D7018B">
            <w:pPr>
              <w:spacing w:after="0" w:line="240" w:lineRule="auto"/>
              <w:rPr>
                <w:rFonts w:ascii="Times New Roman" w:eastAsia="MS Mincho" w:hAnsi="Times New Roman"/>
                <w:sz w:val="20"/>
                <w:szCs w:val="20"/>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eastAsiaTheme="minorEastAsia"/>
                <w:sz w:val="28"/>
                <w:szCs w:val="28"/>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of pupils in grade 1 with ECD experience</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62%</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3680"/>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rPr>
                <w:rFonts w:ascii="Times New Roman" w:eastAsiaTheme="minorEastAsia" w:hAnsi="Times New Roman"/>
                <w:sz w:val="20"/>
                <w:szCs w:val="20"/>
              </w:rPr>
            </w:pPr>
            <w:r w:rsidRPr="00B06331">
              <w:rPr>
                <w:rFonts w:ascii="Times New Roman" w:hAnsi="Times New Roman"/>
                <w:sz w:val="20"/>
                <w:szCs w:val="20"/>
              </w:rPr>
              <w:lastRenderedPageBreak/>
              <w:t xml:space="preserve">Improved quality learning and relevant life and livelihoods skills </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Gross Enrolment rate </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LBS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w:t>
            </w:r>
            <w:r w:rsidRPr="00B06331">
              <w:rPr>
                <w:rFonts w:ascii="GAMBIA SILSOPHIA" w:eastAsia="MS Mincho" w:hAnsi="GAMBIA SILSOPHIA"/>
                <w:sz w:val="20"/>
                <w:szCs w:val="20"/>
              </w:rPr>
              <w:t>national</w:t>
            </w:r>
            <w:r w:rsidRPr="00B06331">
              <w:rPr>
                <w:rFonts w:ascii="Times New Roman" w:eastAsia="MS Mincho" w:hAnsi="Times New Roman"/>
                <w:sz w:val="20"/>
                <w:szCs w:val="20"/>
              </w:rPr>
              <w:t xml:space="preserve"> 108.6%)</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105.4%</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111.8%</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UBS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67.4%)</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65.0%</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69.7%</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SSS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45.9%)</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44.5%</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47.1%</w:t>
            </w:r>
          </w:p>
          <w:p w:rsidR="00D7018B" w:rsidRPr="00B06331" w:rsidRDefault="00D7018B">
            <w:pPr>
              <w:spacing w:after="0" w:line="240" w:lineRule="auto"/>
              <w:rPr>
                <w:rFonts w:ascii="Times New Roman" w:eastAsia="MS Mincho" w:hAnsi="Times New Roman"/>
                <w:sz w:val="20"/>
                <w:szCs w:val="20"/>
              </w:rPr>
            </w:pP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 LBS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(National:117%)</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114</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116%</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UBS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84%)</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73%</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76%</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SSS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46%)</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46%</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46%</w:t>
            </w:r>
          </w:p>
          <w:p w:rsidR="00D7018B" w:rsidRPr="00B06331" w:rsidRDefault="00D7018B">
            <w:pPr>
              <w:spacing w:after="0" w:line="240" w:lineRule="auto"/>
              <w:rPr>
                <w:rFonts w:ascii="Times New Roman" w:hAnsi="Times New Roman"/>
                <w:sz w:val="20"/>
                <w:szCs w:val="20"/>
                <w:lang w:val="en-GB" w:bidi="en-US"/>
              </w:rPr>
            </w:pP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EMIS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contextualSpacing/>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numPr>
                <w:ilvl w:val="0"/>
                <w:numId w:val="17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Resource availability</w:t>
            </w:r>
          </w:p>
          <w:p w:rsidR="00D7018B" w:rsidRPr="00B06331" w:rsidRDefault="00D7018B" w:rsidP="00764ED7">
            <w:pPr>
              <w:numPr>
                <w:ilvl w:val="0"/>
                <w:numId w:val="17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Sound policies and M &amp; E systems in place</w:t>
            </w:r>
          </w:p>
          <w:p w:rsidR="00D7018B" w:rsidRPr="00B06331" w:rsidRDefault="00D7018B" w:rsidP="00764ED7">
            <w:pPr>
              <w:numPr>
                <w:ilvl w:val="0"/>
                <w:numId w:val="17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Political commitment</w:t>
            </w:r>
          </w:p>
          <w:p w:rsidR="00D7018B" w:rsidRPr="00B06331" w:rsidRDefault="00D7018B">
            <w:pPr>
              <w:spacing w:after="0" w:line="240" w:lineRule="auto"/>
              <w:ind w:left="720"/>
              <w:contextualSpacing/>
              <w:rPr>
                <w:rFonts w:ascii="Times New Roman" w:hAnsi="Times New Roman"/>
                <w:b/>
                <w:sz w:val="20"/>
                <w:szCs w:val="20"/>
                <w:lang w:val="en-GB" w:bidi="en-US"/>
              </w:rPr>
            </w:pPr>
          </w:p>
          <w:p w:rsidR="00D7018B" w:rsidRPr="00B06331" w:rsidRDefault="00D7018B">
            <w:pPr>
              <w:spacing w:after="0" w:line="240" w:lineRule="auto"/>
              <w:contextualSpacing/>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numPr>
                <w:ilvl w:val="0"/>
                <w:numId w:val="17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Brain-drain</w:t>
            </w:r>
          </w:p>
          <w:p w:rsidR="00D7018B" w:rsidRPr="00B06331" w:rsidRDefault="00D7018B" w:rsidP="00764ED7">
            <w:pPr>
              <w:numPr>
                <w:ilvl w:val="0"/>
                <w:numId w:val="175"/>
              </w:numPr>
              <w:spacing w:after="0" w:line="240" w:lineRule="auto"/>
              <w:contextualSpacing/>
              <w:rPr>
                <w:rFonts w:ascii="Times New Roman" w:hAnsi="Times New Roman"/>
                <w:sz w:val="20"/>
                <w:szCs w:val="20"/>
                <w:lang w:val="en-GB" w:bidi="en-US"/>
              </w:rPr>
            </w:pPr>
            <w:r w:rsidRPr="00B06331">
              <w:rPr>
                <w:rFonts w:ascii="Times New Roman" w:hAnsi="Times New Roman"/>
                <w:sz w:val="20"/>
                <w:szCs w:val="20"/>
                <w:lang w:val="en-GB" w:bidi="en-US"/>
              </w:rPr>
              <w:t>Donor fatigue</w:t>
            </w:r>
          </w:p>
          <w:p w:rsidR="00D7018B" w:rsidRPr="00B06331" w:rsidRDefault="00D7018B" w:rsidP="00764ED7">
            <w:pPr>
              <w:numPr>
                <w:ilvl w:val="0"/>
                <w:numId w:val="175"/>
              </w:numPr>
              <w:spacing w:after="0" w:line="240" w:lineRule="auto"/>
              <w:contextualSpacing/>
              <w:rPr>
                <w:rFonts w:ascii="Times New Roman" w:hAnsi="Times New Roman"/>
                <w:b/>
                <w:sz w:val="20"/>
                <w:szCs w:val="20"/>
                <w:lang w:val="en-GB" w:bidi="en-US"/>
              </w:rPr>
            </w:pPr>
            <w:r w:rsidRPr="00B06331">
              <w:rPr>
                <w:rFonts w:ascii="Times New Roman" w:hAnsi="Times New Roman"/>
                <w:sz w:val="20"/>
                <w:szCs w:val="20"/>
                <w:lang w:val="en-GB" w:bidi="en-US"/>
              </w:rPr>
              <w:t>Apathy against TVET</w:t>
            </w: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Completion Rate</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LBS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78.7%</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77.4%</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80.0%</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UBS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58.9%)</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57.5%</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lastRenderedPageBreak/>
              <w:t>Girl 60.2%</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SSS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37.7%)</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37.7%</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37.7%</w:t>
            </w:r>
          </w:p>
          <w:p w:rsidR="00D7018B" w:rsidRPr="00B06331" w:rsidRDefault="00D7018B">
            <w:pPr>
              <w:spacing w:after="0" w:line="240" w:lineRule="auto"/>
              <w:rPr>
                <w:rFonts w:ascii="Times New Roman" w:eastAsia="MS Mincho" w:hAnsi="Times New Roman"/>
                <w:sz w:val="20"/>
                <w:szCs w:val="20"/>
              </w:rPr>
            </w:pP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lastRenderedPageBreak/>
              <w:t>LBS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97%)</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95%</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97%</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UBS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79%</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65%</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68%</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SSS</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41%)</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41%</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 41 %</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 competency rate by Level</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b/>
                <w:sz w:val="20"/>
                <w:szCs w:val="20"/>
              </w:rPr>
            </w:pPr>
            <w:r w:rsidRPr="00B06331">
              <w:rPr>
                <w:rFonts w:ascii="Times New Roman" w:eastAsia="MS Mincho" w:hAnsi="Times New Roman"/>
                <w:b/>
                <w:sz w:val="20"/>
                <w:szCs w:val="20"/>
              </w:rPr>
              <w:t>NAT 3 -2016</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English  54%</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Mathematics 45.8%</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b/>
                <w:sz w:val="20"/>
                <w:szCs w:val="20"/>
              </w:rPr>
            </w:pPr>
            <w:r w:rsidRPr="00B06331">
              <w:rPr>
                <w:rFonts w:ascii="Times New Roman" w:eastAsia="MS Mincho" w:hAnsi="Times New Roman"/>
                <w:b/>
                <w:sz w:val="20"/>
                <w:szCs w:val="20"/>
              </w:rPr>
              <w:t>NAT 5-2016</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English  55.4%</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Mathematics 49.7%</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Science</w:t>
            </w:r>
          </w:p>
          <w:p w:rsidR="00D7018B" w:rsidRPr="00B06331" w:rsidRDefault="00D7018B">
            <w:pPr>
              <w:spacing w:after="0" w:line="240" w:lineRule="auto"/>
              <w:rPr>
                <w:rFonts w:ascii="Times New Roman" w:eastAsia="MS Mincho" w:hAnsi="Times New Roman"/>
                <w:sz w:val="20"/>
                <w:szCs w:val="20"/>
              </w:rPr>
            </w:pPr>
            <w:r w:rsidRPr="00B06331">
              <w:rPr>
                <w:sz w:val="20"/>
              </w:rPr>
              <w:t>48.9%</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b/>
                <w:sz w:val="20"/>
                <w:szCs w:val="20"/>
              </w:rPr>
            </w:pPr>
            <w:r w:rsidRPr="00B06331">
              <w:rPr>
                <w:rFonts w:ascii="Times New Roman" w:eastAsia="MS Mincho" w:hAnsi="Times New Roman"/>
                <w:b/>
                <w:sz w:val="20"/>
                <w:szCs w:val="20"/>
              </w:rPr>
              <w:t>NAT 8 -2016</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English  </w:t>
            </w:r>
            <w:r w:rsidRPr="00B06331">
              <w:rPr>
                <w:rFonts w:ascii="Times New Roman" w:eastAsia="MS Mincho" w:hAnsi="Times New Roman"/>
                <w:sz w:val="20"/>
                <w:szCs w:val="20"/>
              </w:rPr>
              <w:lastRenderedPageBreak/>
              <w:t>50.3%</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Mathematics 38.9%</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Science 41.7%</w:t>
            </w:r>
          </w:p>
          <w:p w:rsidR="00D7018B" w:rsidRPr="00B06331" w:rsidRDefault="00D7018B">
            <w:pPr>
              <w:spacing w:before="100" w:beforeAutospacing="1" w:after="0" w:line="240" w:lineRule="auto"/>
              <w:rPr>
                <w:rFonts w:ascii="Times New Roman" w:eastAsia="MS Mincho" w:hAnsi="Times New Roman"/>
                <w:sz w:val="20"/>
                <w:szCs w:val="20"/>
              </w:rPr>
            </w:pP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b/>
                <w:sz w:val="20"/>
                <w:szCs w:val="20"/>
              </w:rPr>
            </w:pPr>
          </w:p>
          <w:p w:rsidR="00D7018B" w:rsidRPr="00B06331" w:rsidRDefault="00D7018B">
            <w:pPr>
              <w:spacing w:before="100" w:beforeAutospacing="1" w:after="100" w:afterAutospacing="1" w:line="240" w:lineRule="auto"/>
              <w:rPr>
                <w:rFonts w:ascii="Times New Roman" w:eastAsiaTheme="minorEastAsia"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English 59%</w:t>
            </w: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Mathematics 50%</w:t>
            </w:r>
          </w:p>
          <w:p w:rsidR="00D7018B" w:rsidRPr="00B06331" w:rsidRDefault="00D7018B">
            <w:pPr>
              <w:spacing w:before="100" w:beforeAutospacing="1" w:after="100" w:afterAutospacing="1" w:line="240" w:lineRule="auto"/>
              <w:rPr>
                <w:rFonts w:ascii="Times New Roman"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English 60%</w:t>
            </w: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Mathematics 54%</w:t>
            </w: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Science 53%</w:t>
            </w:r>
          </w:p>
          <w:p w:rsidR="00D7018B" w:rsidRPr="00B06331" w:rsidRDefault="00D7018B">
            <w:pPr>
              <w:spacing w:before="100" w:beforeAutospacing="1" w:after="100" w:afterAutospacing="1" w:line="240" w:lineRule="auto"/>
              <w:rPr>
                <w:rFonts w:ascii="Times New Roman"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 xml:space="preserve">English </w:t>
            </w:r>
            <w:r w:rsidRPr="00B06331">
              <w:rPr>
                <w:rFonts w:ascii="Times New Roman" w:hAnsi="Times New Roman"/>
                <w:sz w:val="20"/>
                <w:szCs w:val="20"/>
              </w:rPr>
              <w:lastRenderedPageBreak/>
              <w:t>55%</w:t>
            </w: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Mathematics 43% Science 46 %</w:t>
            </w:r>
          </w:p>
          <w:p w:rsidR="00D7018B" w:rsidRPr="00B06331" w:rsidRDefault="00D7018B">
            <w:pPr>
              <w:spacing w:before="100" w:beforeAutospacing="1" w:after="100" w:afterAutospacing="1" w:line="240" w:lineRule="auto"/>
              <w:rPr>
                <w:rFonts w:ascii="Times New Roman" w:hAnsi="Times New Roman"/>
                <w:sz w:val="20"/>
                <w:szCs w:val="20"/>
              </w:rPr>
            </w:pP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rPr>
            </w:pPr>
            <w:r w:rsidRPr="00B06331">
              <w:rPr>
                <w:rFonts w:ascii="Times New Roman" w:hAnsi="Times New Roman"/>
                <w:sz w:val="20"/>
                <w:szCs w:val="20"/>
              </w:rPr>
              <w:lastRenderedPageBreak/>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GABECE pass rate by gender</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GABECE Percentage of  students  with 4 credits including Mathematics and English.</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pStyle w:val="NoSpacing"/>
              <w:spacing w:line="256" w:lineRule="auto"/>
              <w:rPr>
                <w:rFonts w:ascii="Calibri" w:eastAsia="Calibri" w:hAnsi="Calibri" w:cs="Times New Roman"/>
                <w:b/>
              </w:rPr>
            </w:pPr>
            <w:r w:rsidRPr="00B06331">
              <w:rPr>
                <w:b/>
              </w:rPr>
              <w:t>GABECE 2016</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19%)</w:t>
            </w:r>
          </w:p>
          <w:p w:rsidR="00D7018B" w:rsidRPr="00B06331" w:rsidRDefault="00D7018B">
            <w:pPr>
              <w:pStyle w:val="NoSpacing"/>
              <w:spacing w:line="256" w:lineRule="auto"/>
              <w:rPr>
                <w:rFonts w:ascii="Times New Roman" w:eastAsia="MS Mincho" w:hAnsi="Times New Roman" w:cs="Times New Roman"/>
                <w:sz w:val="20"/>
                <w:szCs w:val="20"/>
              </w:rPr>
            </w:pPr>
          </w:p>
          <w:p w:rsidR="00D7018B" w:rsidRPr="00B06331" w:rsidRDefault="00D7018B">
            <w:pPr>
              <w:pStyle w:val="NoSpacing"/>
              <w:spacing w:line="256" w:lineRule="auto"/>
              <w:rPr>
                <w:rFonts w:ascii="Times New Roman" w:eastAsia="MS Mincho" w:hAnsi="Times New Roman"/>
                <w:sz w:val="20"/>
                <w:szCs w:val="20"/>
              </w:rPr>
            </w:pPr>
          </w:p>
          <w:p w:rsidR="00D7018B" w:rsidRPr="00B06331" w:rsidRDefault="00D7018B">
            <w:pPr>
              <w:pStyle w:val="NoSpacing"/>
              <w:spacing w:line="256" w:lineRule="auto"/>
              <w:rPr>
                <w:rFonts w:ascii="Times New Roman" w:eastAsia="MS Mincho" w:hAnsi="Times New Roman"/>
                <w:sz w:val="20"/>
                <w:szCs w:val="20"/>
              </w:rPr>
            </w:pPr>
          </w:p>
          <w:p w:rsidR="00D7018B" w:rsidRPr="00B06331" w:rsidRDefault="00D7018B">
            <w:pPr>
              <w:pStyle w:val="NoSpacing"/>
              <w:spacing w:line="256" w:lineRule="auto"/>
              <w:rPr>
                <w:rFonts w:ascii="Calibri" w:eastAsia="Calibri" w:hAnsi="Calibri"/>
                <w:b/>
              </w:rPr>
            </w:pPr>
            <w:r w:rsidRPr="00B06331">
              <w:rPr>
                <w:b/>
              </w:rPr>
              <w:t>GABECE 2016</w:t>
            </w:r>
          </w:p>
          <w:p w:rsidR="00D7018B" w:rsidRPr="00B06331" w:rsidRDefault="00D7018B">
            <w:pPr>
              <w:pStyle w:val="NoSpacing"/>
              <w:spacing w:line="256" w:lineRule="auto"/>
            </w:pPr>
            <w:r w:rsidRPr="00B06331">
              <w:t>National 5%</w:t>
            </w:r>
          </w:p>
          <w:p w:rsidR="00D7018B" w:rsidRPr="00B06331" w:rsidRDefault="00D7018B">
            <w:pPr>
              <w:spacing w:after="0" w:line="240" w:lineRule="auto"/>
              <w:rPr>
                <w:rFonts w:ascii="Times New Roman" w:eastAsia="MS Mincho" w:hAnsi="Times New Roman"/>
                <w:sz w:val="20"/>
                <w:szCs w:val="20"/>
              </w:rPr>
            </w:pP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before="100" w:beforeAutospacing="1" w:after="100" w:afterAutospacing="1" w:line="240" w:lineRule="auto"/>
              <w:rPr>
                <w:rFonts w:ascii="Times New Roman" w:eastAsiaTheme="minorEastAsia"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24%</w:t>
            </w:r>
          </w:p>
          <w:p w:rsidR="00D7018B" w:rsidRPr="00B06331" w:rsidRDefault="00D7018B">
            <w:pPr>
              <w:spacing w:before="100" w:beforeAutospacing="1" w:after="100" w:afterAutospacing="1" w:line="240" w:lineRule="auto"/>
              <w:rPr>
                <w:rFonts w:ascii="Times New Roman"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p>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7%</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rPr>
            </w:pPr>
            <w:r w:rsidRPr="00B06331">
              <w:rPr>
                <w:rFonts w:ascii="Times New Roman" w:hAnsi="Times New Roman"/>
                <w:sz w:val="20"/>
                <w:szCs w:val="20"/>
              </w:rPr>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WASSCE Percentage students with 5 credits including English and Mathematics</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(National 4%)</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Boys 5%</w:t>
            </w:r>
          </w:p>
          <w:p w:rsidR="00D7018B" w:rsidRPr="00B06331" w:rsidRDefault="00D7018B">
            <w:pPr>
              <w:spacing w:after="0" w:line="240" w:lineRule="auto"/>
              <w:rPr>
                <w:rFonts w:ascii="Times New Roman" w:eastAsia="MS Mincho" w:hAnsi="Times New Roman"/>
                <w:sz w:val="20"/>
                <w:szCs w:val="20"/>
              </w:rPr>
            </w:pP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Girls 3%</w:t>
            </w:r>
          </w:p>
          <w:p w:rsidR="00D7018B" w:rsidRPr="00B06331" w:rsidRDefault="00D7018B">
            <w:pPr>
              <w:spacing w:before="100" w:beforeAutospacing="1" w:after="0" w:line="240" w:lineRule="auto"/>
              <w:rPr>
                <w:rFonts w:ascii="Times New Roman" w:eastAsia="MS Mincho" w:hAnsi="Times New Roman"/>
                <w:sz w:val="20"/>
                <w:szCs w:val="20"/>
              </w:rPr>
            </w:pP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before="100" w:beforeAutospacing="1" w:after="100" w:afterAutospacing="1" w:line="240" w:lineRule="auto"/>
              <w:rPr>
                <w:rFonts w:ascii="Times New Roman" w:eastAsiaTheme="minorEastAsia" w:hAnsi="Times New Roman"/>
                <w:sz w:val="20"/>
                <w:szCs w:val="20"/>
              </w:rPr>
            </w:pPr>
            <w:r w:rsidRPr="00B06331">
              <w:rPr>
                <w:rFonts w:ascii="Times New Roman" w:hAnsi="Times New Roman"/>
                <w:sz w:val="20"/>
                <w:szCs w:val="20"/>
              </w:rPr>
              <w:t>6%</w:t>
            </w:r>
          </w:p>
          <w:p w:rsidR="00D7018B" w:rsidRPr="00B06331" w:rsidRDefault="00D7018B">
            <w:pPr>
              <w:spacing w:before="100" w:beforeAutospacing="1" w:after="100" w:afterAutospacing="1" w:line="240" w:lineRule="auto"/>
              <w:rPr>
                <w:rFonts w:ascii="Times New Roman" w:hAnsi="Times New Roman"/>
                <w:sz w:val="20"/>
                <w:szCs w:val="20"/>
              </w:rPr>
            </w:pP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rPr>
            </w:pPr>
            <w:r w:rsidRPr="00B06331">
              <w:rPr>
                <w:rFonts w:ascii="Times New Roman" w:hAnsi="Times New Roman"/>
                <w:sz w:val="20"/>
                <w:szCs w:val="20"/>
              </w:rPr>
              <w:t>EMIS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Gross enrolment rates in post-secondary (19-</w:t>
            </w:r>
            <w:r w:rsidRPr="00B06331">
              <w:rPr>
                <w:rFonts w:ascii="Times New Roman" w:eastAsia="MS Mincho" w:hAnsi="Times New Roman"/>
                <w:sz w:val="20"/>
                <w:szCs w:val="20"/>
              </w:rPr>
              <w:lastRenderedPageBreak/>
              <w:t>25 year olds)</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0" w:line="240" w:lineRule="auto"/>
              <w:rPr>
                <w:rFonts w:ascii="Times New Roman" w:eastAsia="MS Mincho" w:hAnsi="Times New Roman"/>
                <w:sz w:val="20"/>
                <w:szCs w:val="20"/>
              </w:rPr>
            </w:pPr>
            <w:r w:rsidRPr="00B06331">
              <w:rPr>
                <w:rFonts w:ascii="Times New Roman" w:eastAsia="MS Mincho" w:hAnsi="Times New Roman"/>
                <w:sz w:val="20"/>
                <w:szCs w:val="20"/>
              </w:rPr>
              <w:lastRenderedPageBreak/>
              <w:t xml:space="preserve">9.7% </w:t>
            </w:r>
          </w:p>
          <w:p w:rsidR="00D7018B" w:rsidRPr="00B06331" w:rsidRDefault="00D7018B">
            <w:pPr>
              <w:spacing w:before="100" w:beforeAutospacing="1" w:after="0" w:line="240" w:lineRule="auto"/>
              <w:rPr>
                <w:rFonts w:ascii="Times New Roman" w:eastAsia="MS Mincho" w:hAnsi="Times New Roman"/>
                <w:sz w:val="20"/>
                <w:szCs w:val="20"/>
              </w:rPr>
            </w:pPr>
            <w:r w:rsidRPr="00B06331">
              <w:rPr>
                <w:rFonts w:ascii="Times New Roman" w:eastAsia="MS Mincho" w:hAnsi="Times New Roman"/>
                <w:sz w:val="20"/>
                <w:szCs w:val="20"/>
              </w:rPr>
              <w:lastRenderedPageBreak/>
              <w:t>(F:8.5%; M: 11.0%)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Theme="minorEastAsia" w:hAnsi="Times New Roman"/>
                <w:sz w:val="20"/>
                <w:szCs w:val="20"/>
              </w:rPr>
            </w:pPr>
            <w:r w:rsidRPr="00B06331">
              <w:rPr>
                <w:rFonts w:ascii="Times New Roman" w:hAnsi="Times New Roman"/>
                <w:sz w:val="20"/>
                <w:szCs w:val="20"/>
              </w:rPr>
              <w:lastRenderedPageBreak/>
              <w:t>11%</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rPr>
            </w:pPr>
            <w:r w:rsidRPr="00B06331">
              <w:rPr>
                <w:rFonts w:ascii="Times New Roman" w:hAnsi="Times New Roman"/>
                <w:sz w:val="20"/>
                <w:szCs w:val="20"/>
              </w:rPr>
              <w:t xml:space="preserve">MoHERST </w:t>
            </w:r>
            <w:r w:rsidRPr="00B06331">
              <w:rPr>
                <w:rFonts w:ascii="Times New Roman" w:hAnsi="Times New Roman"/>
                <w:sz w:val="20"/>
                <w:szCs w:val="20"/>
              </w:rPr>
              <w:lastRenderedPageBreak/>
              <w:t>Database; Census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Percentage of graduates as proportion of total gross enrolment by levels</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Higher education: 14</w:t>
            </w:r>
          </w:p>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Tertiary: 43.4%</w:t>
            </w:r>
          </w:p>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Non-tertiary 42.7%</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Higher education: 30</w:t>
            </w:r>
          </w:p>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Tertiary: 50%</w:t>
            </w:r>
          </w:p>
          <w:p w:rsidR="00D7018B" w:rsidRPr="00B06331" w:rsidRDefault="00D7018B">
            <w:pPr>
              <w:spacing w:before="100" w:beforeAutospacing="1" w:after="100" w:afterAutospacing="1" w:line="240" w:lineRule="auto"/>
              <w:rPr>
                <w:rFonts w:ascii="Times New Roman" w:eastAsiaTheme="minorEastAsia" w:hAnsi="Times New Roman"/>
                <w:sz w:val="20"/>
                <w:szCs w:val="20"/>
              </w:rPr>
            </w:pPr>
            <w:r w:rsidRPr="00B06331">
              <w:rPr>
                <w:rFonts w:ascii="Times New Roman" w:eastAsia="MS Mincho" w:hAnsi="Times New Roman"/>
                <w:sz w:val="20"/>
                <w:szCs w:val="20"/>
              </w:rPr>
              <w:t>Non-tertiary 20%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MoHERST Database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Number of graduates in STEM, Health and Agriculture  </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AGRICULTURE</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MSc: 0 </w:t>
            </w:r>
          </w:p>
          <w:p w:rsidR="00D7018B" w:rsidRPr="00B06331" w:rsidRDefault="00D7018B">
            <w:pPr>
              <w:spacing w:line="240" w:lineRule="auto"/>
              <w:rPr>
                <w:rFonts w:ascii="Times New Roman" w:eastAsia="MS Mincho" w:hAnsi="Times New Roman"/>
                <w:sz w:val="20"/>
                <w:szCs w:val="20"/>
              </w:rPr>
            </w:pPr>
            <w:r w:rsidRPr="00B06331">
              <w:rPr>
                <w:rFonts w:ascii="Times New Roman" w:eastAsia="MS Mincho" w:hAnsi="Times New Roman"/>
                <w:sz w:val="20"/>
                <w:szCs w:val="20"/>
              </w:rPr>
              <w:t>PhD: 0</w:t>
            </w:r>
          </w:p>
          <w:p w:rsidR="00D7018B" w:rsidRPr="00B06331" w:rsidRDefault="00D7018B">
            <w:pPr>
              <w:spacing w:before="100" w:beforeAutospacing="1" w:after="0" w:line="240" w:lineRule="auto"/>
              <w:rPr>
                <w:rFonts w:ascii="Times New Roman" w:eastAsia="MS Mincho" w:hAnsi="Times New Roman"/>
                <w:sz w:val="20"/>
                <w:szCs w:val="20"/>
              </w:rPr>
            </w:pPr>
            <w:r w:rsidRPr="00B06331">
              <w:rPr>
                <w:rFonts w:ascii="Times New Roman" w:eastAsia="MS Mincho" w:hAnsi="Times New Roman"/>
                <w:sz w:val="20"/>
                <w:szCs w:val="20"/>
              </w:rPr>
              <w:t>STEM</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MSc: 0</w:t>
            </w:r>
          </w:p>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PhD: 0</w:t>
            </w:r>
          </w:p>
          <w:p w:rsidR="00D7018B" w:rsidRPr="00B06331" w:rsidRDefault="00D7018B">
            <w:pPr>
              <w:spacing w:before="100" w:beforeAutospacing="1" w:after="0" w:line="240" w:lineRule="auto"/>
              <w:rPr>
                <w:rFonts w:ascii="Times New Roman" w:eastAsia="MS Mincho" w:hAnsi="Times New Roman"/>
                <w:sz w:val="20"/>
                <w:szCs w:val="20"/>
              </w:rPr>
            </w:pPr>
            <w:r w:rsidRPr="00B06331">
              <w:rPr>
                <w:rFonts w:ascii="Times New Roman" w:eastAsia="MS Mincho" w:hAnsi="Times New Roman"/>
                <w:sz w:val="20"/>
                <w:szCs w:val="20"/>
              </w:rPr>
              <w:t>HEALTH</w:t>
            </w:r>
          </w:p>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MSc: 0</w:t>
            </w:r>
          </w:p>
          <w:p w:rsidR="00D7018B" w:rsidRPr="00B06331" w:rsidRDefault="00D7018B">
            <w:pPr>
              <w:spacing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PhD: 0</w:t>
            </w: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Theme="minorEastAsia" w:hAnsi="Times New Roman"/>
                <w:b/>
                <w:sz w:val="20"/>
                <w:szCs w:val="20"/>
              </w:rPr>
            </w:pPr>
            <w:r w:rsidRPr="00B06331">
              <w:rPr>
                <w:rFonts w:ascii="Times New Roman" w:hAnsi="Times New Roman"/>
                <w:b/>
                <w:sz w:val="20"/>
                <w:szCs w:val="20"/>
              </w:rPr>
              <w:t>AGRICULTURE</w:t>
            </w:r>
          </w:p>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 xml:space="preserve">MSc: 50 </w:t>
            </w:r>
          </w:p>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PhD: 10</w:t>
            </w:r>
          </w:p>
          <w:p w:rsidR="00D7018B" w:rsidRPr="00B06331" w:rsidRDefault="00D7018B">
            <w:pPr>
              <w:spacing w:after="0" w:line="240" w:lineRule="auto"/>
              <w:rPr>
                <w:rFonts w:ascii="Times New Roman" w:hAnsi="Times New Roman"/>
                <w:b/>
                <w:sz w:val="20"/>
                <w:szCs w:val="20"/>
              </w:rPr>
            </w:pPr>
          </w:p>
          <w:p w:rsidR="00D7018B" w:rsidRPr="00B06331" w:rsidRDefault="00D7018B">
            <w:pPr>
              <w:spacing w:after="0" w:line="240" w:lineRule="auto"/>
              <w:rPr>
                <w:rFonts w:ascii="Times New Roman" w:hAnsi="Times New Roman"/>
                <w:b/>
                <w:sz w:val="20"/>
                <w:szCs w:val="20"/>
              </w:rPr>
            </w:pPr>
            <w:r w:rsidRPr="00B06331">
              <w:rPr>
                <w:rFonts w:ascii="Times New Roman" w:hAnsi="Times New Roman"/>
                <w:b/>
                <w:sz w:val="20"/>
                <w:szCs w:val="20"/>
              </w:rPr>
              <w:t>STEM</w:t>
            </w:r>
          </w:p>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MSc: 140</w:t>
            </w:r>
          </w:p>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PhD: 32</w:t>
            </w:r>
          </w:p>
          <w:p w:rsidR="00D7018B" w:rsidRPr="00B06331" w:rsidRDefault="00D7018B">
            <w:pPr>
              <w:spacing w:after="0" w:line="240" w:lineRule="auto"/>
              <w:rPr>
                <w:rFonts w:ascii="Times New Roman" w:hAnsi="Times New Roman"/>
                <w:b/>
                <w:sz w:val="20"/>
                <w:szCs w:val="20"/>
              </w:rPr>
            </w:pPr>
          </w:p>
          <w:p w:rsidR="00D7018B" w:rsidRPr="00B06331" w:rsidRDefault="00D7018B">
            <w:pPr>
              <w:spacing w:after="0" w:line="240" w:lineRule="auto"/>
              <w:rPr>
                <w:rFonts w:ascii="Times New Roman" w:hAnsi="Times New Roman"/>
                <w:b/>
                <w:sz w:val="20"/>
                <w:szCs w:val="20"/>
              </w:rPr>
            </w:pPr>
          </w:p>
          <w:p w:rsidR="00D7018B" w:rsidRPr="00B06331" w:rsidRDefault="00D7018B">
            <w:pPr>
              <w:spacing w:after="0" w:line="240" w:lineRule="auto"/>
              <w:rPr>
                <w:rFonts w:ascii="Times New Roman" w:hAnsi="Times New Roman"/>
                <w:b/>
                <w:sz w:val="20"/>
                <w:szCs w:val="20"/>
              </w:rPr>
            </w:pPr>
            <w:r w:rsidRPr="00B06331">
              <w:rPr>
                <w:rFonts w:ascii="Times New Roman" w:hAnsi="Times New Roman"/>
                <w:b/>
                <w:sz w:val="20"/>
                <w:szCs w:val="20"/>
              </w:rPr>
              <w:t>HEALTH</w:t>
            </w:r>
          </w:p>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MSc: 40</w:t>
            </w:r>
          </w:p>
          <w:p w:rsidR="00D7018B" w:rsidRPr="00B06331" w:rsidRDefault="00D7018B">
            <w:pPr>
              <w:spacing w:after="0" w:line="240" w:lineRule="auto"/>
              <w:rPr>
                <w:rFonts w:ascii="Times New Roman" w:hAnsi="Times New Roman"/>
                <w:b/>
                <w:sz w:val="20"/>
                <w:szCs w:val="20"/>
              </w:rPr>
            </w:pPr>
            <w:r w:rsidRPr="00B06331">
              <w:rPr>
                <w:rFonts w:ascii="Times New Roman" w:hAnsi="Times New Roman"/>
                <w:sz w:val="20"/>
                <w:szCs w:val="20"/>
              </w:rPr>
              <w:t>PhD: 10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MoHERST Database</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rsidTr="00D7018B">
        <w:trPr>
          <w:trHeight w:val="56"/>
        </w:trPr>
        <w:tc>
          <w:tcPr>
            <w:tcW w:w="2399"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Proportion of post-secondary  institutions accredited</w:t>
            </w:r>
          </w:p>
          <w:p w:rsidR="00D7018B" w:rsidRPr="00B06331" w:rsidRDefault="00D7018B">
            <w:pPr>
              <w:ind w:firstLine="720"/>
              <w:rPr>
                <w:rFonts w:ascii="Times New Roman" w:eastAsia="MS Mincho" w:hAnsi="Times New Roman"/>
                <w:sz w:val="20"/>
                <w:szCs w:val="20"/>
              </w:rPr>
            </w:pP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0" w:line="240" w:lineRule="auto"/>
              <w:rPr>
                <w:rFonts w:ascii="Times New Roman" w:eastAsia="MS Mincho" w:hAnsi="Times New Roman"/>
                <w:sz w:val="20"/>
                <w:szCs w:val="20"/>
              </w:rPr>
            </w:pPr>
            <w:r w:rsidRPr="00B06331">
              <w:rPr>
                <w:rFonts w:ascii="Times New Roman" w:eastAsia="MS Mincho" w:hAnsi="Times New Roman"/>
                <w:sz w:val="20"/>
                <w:szCs w:val="20"/>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EastAsia" w:hAnsi="Times New Roman"/>
                <w:b/>
                <w:sz w:val="20"/>
                <w:szCs w:val="20"/>
              </w:rPr>
            </w:pPr>
            <w:r w:rsidRPr="00B06331">
              <w:rPr>
                <w:rFonts w:ascii="Times New Roman" w:hAnsi="Times New Roman"/>
                <w:b/>
                <w:sz w:val="20"/>
                <w:szCs w:val="20"/>
              </w:rPr>
              <w:t>90%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hAnsi="Times New Roman"/>
                <w:sz w:val="20"/>
                <w:szCs w:val="20"/>
              </w:rPr>
            </w:pPr>
            <w:r w:rsidRPr="00B06331">
              <w:rPr>
                <w:rFonts w:ascii="Times New Roman" w:hAnsi="Times New Roman"/>
                <w:sz w:val="20"/>
                <w:szCs w:val="20"/>
              </w:rPr>
              <w:t>NAQAA Database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7"/>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rPr>
            </w:pPr>
            <w:r w:rsidRPr="00B06331">
              <w:rPr>
                <w:rFonts w:ascii="Times New Roman" w:hAnsi="Times New Roman"/>
                <w:sz w:val="20"/>
                <w:szCs w:val="20"/>
              </w:rPr>
              <w:t xml:space="preserve">Improved access to non-formal education and literacy programmes  for Out </w:t>
            </w:r>
            <w:r w:rsidRPr="00B06331">
              <w:rPr>
                <w:rFonts w:ascii="Times New Roman" w:hAnsi="Times New Roman"/>
                <w:sz w:val="20"/>
                <w:szCs w:val="20"/>
              </w:rPr>
              <w:lastRenderedPageBreak/>
              <w:t>of school children, youth and non-lettered adults</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lastRenderedPageBreak/>
              <w:t>Adult literacy rates by gender</w:t>
            </w:r>
          </w:p>
        </w:tc>
        <w:tc>
          <w:tcPr>
            <w:tcW w:w="1053"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Census, IHS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Resource availability</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Sound policies and M &amp; E systems in place</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Back-way syndrome</w:t>
            </w:r>
          </w:p>
          <w:p w:rsidR="00D7018B" w:rsidRPr="00B06331" w:rsidRDefault="00D7018B" w:rsidP="00764ED7">
            <w:pPr>
              <w:pStyle w:val="ListParagraph"/>
              <w:numPr>
                <w:ilvl w:val="0"/>
                <w:numId w:val="176"/>
              </w:numPr>
              <w:spacing w:after="0" w:line="240" w:lineRule="auto"/>
              <w:rPr>
                <w:rFonts w:ascii="Times New Roman" w:hAnsi="Times New Roman"/>
                <w:b/>
                <w:sz w:val="20"/>
                <w:szCs w:val="20"/>
                <w:lang w:val="en-GB" w:bidi="en-US"/>
              </w:rPr>
            </w:pPr>
            <w:r w:rsidRPr="00B06331">
              <w:rPr>
                <w:rFonts w:ascii="Times New Roman" w:hAnsi="Times New Roman"/>
                <w:sz w:val="20"/>
                <w:szCs w:val="20"/>
                <w:lang w:val="en-GB" w:bidi="en-US"/>
              </w:rPr>
              <w:t>Perception on non-formal and cultural issues</w:t>
            </w: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096"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 xml:space="preserve">Proportion of graduates as percentage of total </w:t>
            </w:r>
            <w:r w:rsidRPr="00B06331">
              <w:rPr>
                <w:rFonts w:ascii="Times New Roman" w:eastAsia="MS Mincho" w:hAnsi="Times New Roman"/>
                <w:sz w:val="20"/>
                <w:szCs w:val="20"/>
              </w:rPr>
              <w:lastRenderedPageBreak/>
              <w:t>apprenticeship enrolment</w:t>
            </w:r>
          </w:p>
          <w:p w:rsidR="00D7018B" w:rsidRPr="00B06331" w:rsidRDefault="00D7018B">
            <w:pPr>
              <w:spacing w:after="0" w:line="240" w:lineRule="auto"/>
              <w:rPr>
                <w:rFonts w:ascii="Times New Roman" w:eastAsia="MS Mincho" w:hAnsi="Times New Roman"/>
                <w:sz w:val="20"/>
                <w:szCs w:val="20"/>
              </w:rPr>
            </w:pPr>
          </w:p>
        </w:tc>
        <w:tc>
          <w:tcPr>
            <w:tcW w:w="1053"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lastRenderedPageBreak/>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NAQAA Database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MS Mincho" w:hAnsi="Times New Roman"/>
                <w:sz w:val="20"/>
                <w:szCs w:val="20"/>
              </w:rPr>
            </w:pPr>
            <w:r w:rsidRPr="00B06331">
              <w:rPr>
                <w:rFonts w:ascii="Times New Roman" w:eastAsia="MS Mincho" w:hAnsi="Times New Roman"/>
                <w:sz w:val="20"/>
                <w:szCs w:val="20"/>
              </w:rPr>
              <w:t>Number of master craft persons trained</w:t>
            </w:r>
          </w:p>
        </w:tc>
        <w:tc>
          <w:tcPr>
            <w:tcW w:w="1053"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TBD</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before="100" w:beforeAutospacing="1" w:after="100" w:afterAutospacing="1" w:line="240" w:lineRule="auto"/>
              <w:rPr>
                <w:rFonts w:ascii="Times New Roman" w:eastAsia="MS Mincho" w:hAnsi="Times New Roman"/>
                <w:sz w:val="20"/>
                <w:szCs w:val="20"/>
              </w:rPr>
            </w:pPr>
            <w:r w:rsidRPr="00B06331">
              <w:rPr>
                <w:rFonts w:ascii="Times New Roman" w:eastAsia="MS Mincho" w:hAnsi="Times New Roman"/>
                <w:sz w:val="20"/>
                <w:szCs w:val="20"/>
              </w:rPr>
              <w:t>NAQAA Database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Strengthened quality health service delivery for  reduction of maternal, new-born and adolescent morbidity and mortality</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Maternal mortality ratio</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433/100000(DHS 2013)</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315/100000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Surveys </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ASSUMPTIONS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resources and proper coordination</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Strong political commitment</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jc w:val="both"/>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RISKS</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Increase in disease burden especially in NCDs</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Donor fatigue</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Low political commitment</w:t>
            </w:r>
          </w:p>
          <w:p w:rsidR="00D7018B" w:rsidRPr="00B06331" w:rsidRDefault="00D7018B">
            <w:pPr>
              <w:pStyle w:val="ListParagraph"/>
              <w:spacing w:after="0" w:line="240" w:lineRule="auto"/>
              <w:jc w:val="both"/>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Proportion of births attended by skilled health personnel</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57.2%(DHS 2013)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Urban:75.3 %</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 40.6 %</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rPr>
              <w:t xml:space="preserve">Under-five mortality rate </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54/1000(DHS 2013) </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44/1000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Neonatal mortality rate</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22/1000(DHS 2013)</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15/1000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Reduced burden of communicable and non-communicable diseases and enhanced capacity to respond to public health emergencies</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Mortality rate attributed to cardiovascular disease, cancer, diabetes or chronic respiratory disease</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1,147</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Health strategic Plan</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ASSUMPTIONS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resources and proper coordination</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Strong political commitment</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jc w:val="both"/>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RISKS</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Increase in disease burden especially in NCDs</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Donor fatigue</w:t>
            </w:r>
          </w:p>
          <w:p w:rsidR="00D7018B" w:rsidRPr="00B06331" w:rsidRDefault="00D7018B" w:rsidP="00764ED7">
            <w:pPr>
              <w:pStyle w:val="ListParagraph"/>
              <w:numPr>
                <w:ilvl w:val="0"/>
                <w:numId w:val="177"/>
              </w:numPr>
              <w:spacing w:after="0" w:line="240" w:lineRule="auto"/>
              <w:jc w:val="both"/>
              <w:rPr>
                <w:rFonts w:ascii="Times New Roman" w:hAnsi="Times New Roman"/>
                <w:b/>
                <w:sz w:val="20"/>
                <w:szCs w:val="20"/>
                <w:lang w:val="en-GB" w:bidi="en-US"/>
              </w:rPr>
            </w:pPr>
            <w:r w:rsidRPr="00B06331">
              <w:rPr>
                <w:rFonts w:ascii="Times New Roman" w:hAnsi="Times New Roman"/>
                <w:sz w:val="20"/>
                <w:szCs w:val="20"/>
                <w:lang w:val="en-GB" w:bidi="en-US"/>
              </w:rPr>
              <w:t>Low political commitment</w:t>
            </w:r>
          </w:p>
          <w:p w:rsidR="00D7018B" w:rsidRPr="00B06331" w:rsidRDefault="00D7018B">
            <w:pPr>
              <w:pStyle w:val="ListParagraph"/>
              <w:spacing w:after="0" w:line="240" w:lineRule="auto"/>
              <w:jc w:val="both"/>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HIV and Aids prevalence general population age 15-49 </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1.9</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DHS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of  eligible population with HIV having access to ARV</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86%(DHS 2013)</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881"/>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lastRenderedPageBreak/>
              <w:t>Improved equitable access to safe and affordable water and sanitation, good hygiene practices and environmental protection promoted for all</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of population with access to safe drinking water</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89.6% (DHS 2013)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95.3%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 84.7%</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MICS/DHS </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ASSUMPTIONS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resources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Strong political commitment</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jc w:val="both"/>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RISKS</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Donor fatigue</w:t>
            </w:r>
          </w:p>
          <w:p w:rsidR="00D7018B" w:rsidRPr="00B06331" w:rsidRDefault="00D7018B">
            <w:pPr>
              <w:spacing w:after="0" w:line="240" w:lineRule="auto"/>
              <w:jc w:val="both"/>
              <w:rPr>
                <w:rFonts w:ascii="Times New Roman" w:hAnsi="Times New Roman"/>
                <w:sz w:val="20"/>
                <w:szCs w:val="20"/>
                <w:lang w:val="en-GB" w:bidi="en-US"/>
              </w:rPr>
            </w:pP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High population growth/density</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Lapse in law enforcement for environmental regulations</w:t>
            </w:r>
          </w:p>
          <w:p w:rsidR="00D7018B" w:rsidRPr="00B06331" w:rsidRDefault="00D7018B">
            <w:pPr>
              <w:pStyle w:val="ListParagraph"/>
              <w:spacing w:after="0" w:line="240" w:lineRule="auto"/>
              <w:jc w:val="both"/>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of population with access to improved sanitation facilities</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39.8% (DHS 2013)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50.4%</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 29%</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MICS/DHS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30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4283"/>
            </w:tblGrid>
            <w:tr w:rsidR="00D7018B" w:rsidRPr="00B06331">
              <w:trPr>
                <w:trHeight w:val="210"/>
              </w:trPr>
              <w:tc>
                <w:tcPr>
                  <w:tcW w:w="4283" w:type="dxa"/>
                  <w:tcBorders>
                    <w:top w:val="nil"/>
                    <w:left w:val="nil"/>
                    <w:bottom w:val="nil"/>
                    <w:right w:val="nil"/>
                  </w:tcBorders>
                  <w:hideMark/>
                </w:tcPr>
                <w:p w:rsidR="00D7018B" w:rsidRPr="00B06331" w:rsidRDefault="00D7018B" w:rsidP="00FD4AC6">
                  <w:pPr>
                    <w:framePr w:hSpace="180" w:wrap="around" w:vAnchor="text" w:hAnchor="margin" w:xAlign="center" w:y="100"/>
                    <w:autoSpaceDE w:val="0"/>
                    <w:autoSpaceDN w:val="0"/>
                    <w:adjustRightInd w:val="0"/>
                    <w:spacing w:after="0" w:line="240" w:lineRule="auto"/>
                    <w:suppressOverlap/>
                    <w:rPr>
                      <w:rFonts w:ascii="Times New Roman" w:hAnsi="Times New Roman"/>
                      <w:sz w:val="20"/>
                      <w:szCs w:val="20"/>
                      <w:lang w:val="en-GB" w:bidi="en-US"/>
                    </w:rPr>
                  </w:pPr>
                  <w:r w:rsidRPr="00B06331">
                    <w:rPr>
                      <w:rFonts w:ascii="Times New Roman" w:hAnsi="Times New Roman"/>
                      <w:sz w:val="20"/>
                      <w:szCs w:val="20"/>
                      <w:lang w:val="en-GB" w:bidi="en-US"/>
                    </w:rPr>
                    <w:t>Percentage of</w:t>
                  </w:r>
                </w:p>
                <w:p w:rsidR="00D7018B" w:rsidRPr="00B06331" w:rsidRDefault="00D7018B" w:rsidP="00FD4AC6">
                  <w:pPr>
                    <w:framePr w:hSpace="180" w:wrap="around" w:vAnchor="text" w:hAnchor="margin" w:xAlign="center" w:y="100"/>
                    <w:autoSpaceDE w:val="0"/>
                    <w:autoSpaceDN w:val="0"/>
                    <w:adjustRightInd w:val="0"/>
                    <w:spacing w:after="0" w:line="240" w:lineRule="auto"/>
                    <w:suppressOverlap/>
                    <w:rPr>
                      <w:rFonts w:ascii="Times New Roman" w:hAnsi="Times New Roman"/>
                      <w:sz w:val="20"/>
                      <w:szCs w:val="20"/>
                      <w:lang w:val="en-GB" w:bidi="en-US"/>
                    </w:rPr>
                  </w:pPr>
                  <w:r w:rsidRPr="00B06331">
                    <w:rPr>
                      <w:rFonts w:ascii="Times New Roman" w:hAnsi="Times New Roman"/>
                      <w:sz w:val="20"/>
                      <w:szCs w:val="20"/>
                      <w:lang w:val="en-GB" w:bidi="en-US"/>
                    </w:rPr>
                    <w:t>urban and peri</w:t>
                  </w:r>
                </w:p>
                <w:p w:rsidR="00D7018B" w:rsidRPr="00B06331" w:rsidRDefault="00D7018B" w:rsidP="00FD4AC6">
                  <w:pPr>
                    <w:framePr w:hSpace="180" w:wrap="around" w:vAnchor="text" w:hAnchor="margin" w:xAlign="center" w:y="100"/>
                    <w:autoSpaceDE w:val="0"/>
                    <w:autoSpaceDN w:val="0"/>
                    <w:adjustRightInd w:val="0"/>
                    <w:spacing w:after="0" w:line="240" w:lineRule="auto"/>
                    <w:suppressOverlap/>
                    <w:rPr>
                      <w:rFonts w:ascii="Times New Roman" w:hAnsi="Times New Roman"/>
                      <w:sz w:val="20"/>
                      <w:szCs w:val="20"/>
                      <w:lang w:val="en-GB" w:bidi="en-US"/>
                    </w:rPr>
                  </w:pPr>
                  <w:r w:rsidRPr="00B06331">
                    <w:rPr>
                      <w:rFonts w:ascii="Times New Roman" w:hAnsi="Times New Roman"/>
                      <w:sz w:val="20"/>
                      <w:szCs w:val="20"/>
                      <w:lang w:val="en-GB" w:bidi="en-US"/>
                    </w:rPr>
                    <w:t>urban solid</w:t>
                  </w:r>
                </w:p>
                <w:p w:rsidR="00D7018B" w:rsidRPr="00B06331" w:rsidRDefault="00D7018B" w:rsidP="00FD4AC6">
                  <w:pPr>
                    <w:framePr w:hSpace="180" w:wrap="around" w:vAnchor="text" w:hAnchor="margin" w:xAlign="center" w:y="100"/>
                    <w:autoSpaceDE w:val="0"/>
                    <w:autoSpaceDN w:val="0"/>
                    <w:adjustRightInd w:val="0"/>
                    <w:spacing w:after="0" w:line="240" w:lineRule="auto"/>
                    <w:suppressOverlap/>
                    <w:rPr>
                      <w:rFonts w:ascii="Times New Roman" w:hAnsi="Times New Roman"/>
                      <w:sz w:val="20"/>
                      <w:szCs w:val="20"/>
                      <w:lang w:val="en-GB" w:bidi="en-US"/>
                    </w:rPr>
                  </w:pPr>
                  <w:r w:rsidRPr="00B06331">
                    <w:rPr>
                      <w:rFonts w:ascii="Times New Roman" w:hAnsi="Times New Roman"/>
                      <w:sz w:val="20"/>
                      <w:szCs w:val="20"/>
                      <w:lang w:val="en-GB" w:bidi="en-US"/>
                    </w:rPr>
                    <w:t>waste regularly</w:t>
                  </w:r>
                </w:p>
                <w:p w:rsidR="00D7018B" w:rsidRPr="00B06331" w:rsidRDefault="00D7018B" w:rsidP="00FD4AC6">
                  <w:pPr>
                    <w:framePr w:hSpace="180" w:wrap="around" w:vAnchor="text" w:hAnchor="margin" w:xAlign="center" w:y="100"/>
                    <w:autoSpaceDE w:val="0"/>
                    <w:autoSpaceDN w:val="0"/>
                    <w:adjustRightInd w:val="0"/>
                    <w:spacing w:after="0" w:line="240" w:lineRule="auto"/>
                    <w:suppressOverlap/>
                    <w:rPr>
                      <w:rFonts w:ascii="Times New Roman" w:hAnsi="Times New Roman"/>
                      <w:sz w:val="20"/>
                      <w:szCs w:val="20"/>
                      <w:lang w:val="en-GB" w:bidi="en-US"/>
                    </w:rPr>
                  </w:pPr>
                  <w:r w:rsidRPr="00B06331">
                    <w:rPr>
                      <w:rFonts w:ascii="Times New Roman" w:hAnsi="Times New Roman"/>
                      <w:sz w:val="20"/>
                      <w:szCs w:val="20"/>
                      <w:lang w:val="en-GB" w:bidi="en-US"/>
                    </w:rPr>
                    <w:t>collected</w:t>
                  </w:r>
                </w:p>
              </w:tc>
            </w:tr>
          </w:tbl>
          <w:p w:rsidR="00D7018B" w:rsidRPr="00B06331" w:rsidRDefault="00D7018B">
            <w:pPr>
              <w:spacing w:after="0" w:line="240" w:lineRule="auto"/>
              <w:rPr>
                <w:rFonts w:ascii="Times New Roman" w:hAnsi="Times New Roman"/>
                <w:sz w:val="20"/>
                <w:szCs w:val="20"/>
                <w:lang w:val="en-GB" w:bidi="en-US"/>
              </w:rPr>
            </w:pP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598"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of household using soap and water for handwashing</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66%</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 26%</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80%</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DHS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7"/>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Improved nutritional well-being for all Gambians particularly mothers and children</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Prevalence of underweight among children under 5</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16% (DHS 2013)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10.6%</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 20.6 %</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ASSUMPTIONS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resources</w:t>
            </w:r>
          </w:p>
          <w:p w:rsidR="00D7018B" w:rsidRPr="00B06331" w:rsidRDefault="00D7018B" w:rsidP="00764ED7">
            <w:pPr>
              <w:pStyle w:val="ListParagraph"/>
              <w:numPr>
                <w:ilvl w:val="0"/>
                <w:numId w:val="17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Strong political commitment</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jc w:val="both"/>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RISKS</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Donor fatigue</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Low political commitment</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Food insecurity due to insufficient rain</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High population growth</w:t>
            </w:r>
          </w:p>
          <w:p w:rsidR="00D7018B" w:rsidRPr="00B06331" w:rsidRDefault="00D7018B" w:rsidP="00764ED7">
            <w:pPr>
              <w:pStyle w:val="ListParagraph"/>
              <w:numPr>
                <w:ilvl w:val="0"/>
                <w:numId w:val="17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lastRenderedPageBreak/>
              <w:t>Gender disparity in land acquisition</w:t>
            </w:r>
          </w:p>
          <w:p w:rsidR="00D7018B" w:rsidRPr="00B06331" w:rsidRDefault="00D7018B">
            <w:pPr>
              <w:pStyle w:val="ListParagraph"/>
              <w:spacing w:after="0" w:line="240" w:lineRule="auto"/>
              <w:jc w:val="both"/>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Pregnant women with anemia</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67.9% (DHS 2013)</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Prevalence of  underweight Non-pregnant women </w:t>
            </w:r>
          </w:p>
          <w:p w:rsidR="00D7018B" w:rsidRPr="00B06331" w:rsidRDefault="00D7018B">
            <w:pPr>
              <w:spacing w:after="0" w:line="240" w:lineRule="auto"/>
              <w:rPr>
                <w:rFonts w:ascii="Times New Roman" w:hAnsi="Times New Roman"/>
                <w:sz w:val="20"/>
                <w:szCs w:val="20"/>
                <w:lang w:val="en-GB" w:bidi="en-US"/>
              </w:rPr>
            </w:pP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16.7% (DHS 2013)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13.4%</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Rural:21.4 %</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Surveys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of the population who are food insecure</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37.2% (CFSVA 2016)</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Comprehensive food security and vulnerability Assessment </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1223"/>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The poor and most vulnerable benefit from improved social safety nets and social security</w:t>
            </w:r>
          </w:p>
          <w:p w:rsidR="00D7018B" w:rsidRPr="00B06331" w:rsidRDefault="00D7018B">
            <w:pPr>
              <w:pStyle w:val="ListParagraph"/>
              <w:spacing w:after="0" w:line="240" w:lineRule="auto"/>
              <w:ind w:left="360"/>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children whose births are registered in the first year</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35.3% (MICS 2010)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MICS/DHS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pStyle w:val="ListParagraph"/>
              <w:spacing w:after="0" w:line="240" w:lineRule="auto"/>
              <w:ind w:left="0"/>
              <w:jc w:val="both"/>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Assumptions</w:t>
            </w:r>
          </w:p>
          <w:p w:rsidR="00D7018B" w:rsidRPr="00B06331" w:rsidRDefault="00D7018B" w:rsidP="00764ED7">
            <w:pPr>
              <w:pStyle w:val="ListParagraph"/>
              <w:numPr>
                <w:ilvl w:val="0"/>
                <w:numId w:val="178"/>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High donor interest</w:t>
            </w:r>
          </w:p>
          <w:p w:rsidR="00D7018B" w:rsidRPr="00B06331" w:rsidRDefault="00D7018B" w:rsidP="00764ED7">
            <w:pPr>
              <w:pStyle w:val="ListParagraph"/>
              <w:numPr>
                <w:ilvl w:val="0"/>
                <w:numId w:val="178"/>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Strong political Commitments</w:t>
            </w:r>
          </w:p>
          <w:p w:rsidR="00D7018B" w:rsidRPr="00B06331" w:rsidRDefault="00D7018B">
            <w:pPr>
              <w:pStyle w:val="ListParagraph"/>
              <w:spacing w:after="0" w:line="240" w:lineRule="auto"/>
              <w:jc w:val="both"/>
              <w:rPr>
                <w:rFonts w:ascii="Times New Roman" w:hAnsi="Times New Roman"/>
                <w:b/>
                <w:sz w:val="20"/>
                <w:szCs w:val="20"/>
                <w:lang w:val="en-GB" w:bidi="en-US"/>
              </w:rPr>
            </w:pPr>
          </w:p>
          <w:p w:rsidR="00D7018B" w:rsidRPr="00B06331" w:rsidRDefault="00D7018B">
            <w:pPr>
              <w:pStyle w:val="ListParagraph"/>
              <w:spacing w:after="0" w:line="240" w:lineRule="auto"/>
              <w:ind w:left="0"/>
              <w:jc w:val="both"/>
              <w:rPr>
                <w:rFonts w:ascii="Times New Roman" w:hAnsi="Times New Roman"/>
                <w:b/>
                <w:sz w:val="20"/>
                <w:szCs w:val="20"/>
                <w:u w:val="single"/>
                <w:lang w:val="en-GB" w:bidi="en-US"/>
              </w:rPr>
            </w:pPr>
            <w:r w:rsidRPr="00B06331">
              <w:rPr>
                <w:rFonts w:ascii="Times New Roman" w:hAnsi="Times New Roman"/>
                <w:b/>
                <w:sz w:val="20"/>
                <w:szCs w:val="20"/>
                <w:u w:val="single"/>
                <w:lang w:val="en-GB" w:bidi="en-US"/>
              </w:rPr>
              <w:t>Risks</w:t>
            </w:r>
          </w:p>
          <w:p w:rsidR="00D7018B" w:rsidRPr="00B06331" w:rsidRDefault="00D7018B" w:rsidP="00764ED7">
            <w:pPr>
              <w:pStyle w:val="ListParagraph"/>
              <w:numPr>
                <w:ilvl w:val="0"/>
                <w:numId w:val="179"/>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Limited donor funding  available </w:t>
            </w:r>
          </w:p>
          <w:p w:rsidR="00D7018B" w:rsidRPr="00B06331" w:rsidRDefault="00D7018B" w:rsidP="00764ED7">
            <w:pPr>
              <w:pStyle w:val="ListParagraph"/>
              <w:numPr>
                <w:ilvl w:val="0"/>
                <w:numId w:val="179"/>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Limited resources </w:t>
            </w:r>
          </w:p>
          <w:p w:rsidR="00D7018B" w:rsidRPr="00B06331" w:rsidRDefault="00D7018B" w:rsidP="00764ED7">
            <w:pPr>
              <w:pStyle w:val="ListParagraph"/>
              <w:numPr>
                <w:ilvl w:val="0"/>
                <w:numId w:val="179"/>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Limited coordination mechanisms</w:t>
            </w: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children under 5 whose births are registered</w:t>
            </w:r>
          </w:p>
        </w:tc>
        <w:tc>
          <w:tcPr>
            <w:tcW w:w="10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72% (DHS 2013)</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Urban: 71.7%</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Rural: 72.2%</w:t>
            </w:r>
          </w:p>
          <w:p w:rsidR="00D7018B" w:rsidRPr="00B06331" w:rsidRDefault="00D7018B">
            <w:pPr>
              <w:spacing w:after="0" w:line="240" w:lineRule="auto"/>
              <w:rPr>
                <w:rFonts w:ascii="Times New Roman" w:hAnsi="Times New Roman"/>
                <w:sz w:val="20"/>
                <w:szCs w:val="20"/>
                <w:lang w:val="en-GB" w:bidi="en-US"/>
              </w:rPr>
            </w:pP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90%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DHS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beneficiaries under the safety nets programme</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25%</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Beneficiary assessment and surveys </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11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Existence of a social health insurance scheme </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DSW Annual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Enhanced Inclusiveness and </w:t>
            </w:r>
            <w:r w:rsidRPr="00B06331">
              <w:rPr>
                <w:rFonts w:ascii="Times New Roman" w:hAnsi="Times New Roman"/>
                <w:sz w:val="20"/>
                <w:szCs w:val="20"/>
                <w:lang w:val="en-GB" w:bidi="en-US"/>
              </w:rPr>
              <w:lastRenderedPageBreak/>
              <w:t>participation of Persons with disabilities in the national development agenda</w:t>
            </w: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 xml:space="preserve">Number of representatives for persons with disabilities </w:t>
            </w:r>
            <w:r w:rsidRPr="00B06331">
              <w:rPr>
                <w:rFonts w:ascii="Times New Roman" w:hAnsi="Times New Roman"/>
                <w:sz w:val="20"/>
                <w:szCs w:val="20"/>
                <w:lang w:val="en-GB" w:bidi="en-US"/>
              </w:rPr>
              <w:lastRenderedPageBreak/>
              <w:t>in the national assembly</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1</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Assemble report</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Number of special schools </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 Urban</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 rural</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 Urban</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 Rural</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MoBSE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Existence of a loan revolving fund </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Dept. of social welfare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Number of rehabilitation services facilities</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Dept. of social welfare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230"/>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Highly-skilled and well-motivated human resources available and retained for the health sector</w:t>
            </w:r>
          </w:p>
        </w:tc>
        <w:tc>
          <w:tcPr>
            <w:tcW w:w="2096" w:type="dxa"/>
            <w:gridSpan w:val="4"/>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Health worker density</w:t>
            </w:r>
          </w:p>
        </w:tc>
        <w:tc>
          <w:tcPr>
            <w:tcW w:w="1053"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1.03/1000 (MoHSW 2014/15</w:t>
            </w:r>
          </w:p>
        </w:tc>
        <w:tc>
          <w:tcPr>
            <w:tcW w:w="1017"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2.25/1000</w:t>
            </w:r>
          </w:p>
        </w:tc>
        <w:tc>
          <w:tcPr>
            <w:tcW w:w="1598" w:type="dxa"/>
            <w:gridSpan w:val="2"/>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Routine HRH Quarterly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4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96"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social welfare officers per capita</w:t>
            </w:r>
          </w:p>
        </w:tc>
        <w:tc>
          <w:tcPr>
            <w:tcW w:w="10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3/30,000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5/20,000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Nominal roll/Human resource report </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8"/>
        </w:trPr>
        <w:tc>
          <w:tcPr>
            <w:tcW w:w="14417" w:type="dxa"/>
            <w:gridSpan w:val="15"/>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trPr>
                <w:trHeight w:val="511"/>
              </w:trPr>
              <w:tc>
                <w:tcPr>
                  <w:tcW w:w="1539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sz w:val="20"/>
                      <w:szCs w:val="20"/>
                    </w:rPr>
                  </w:pPr>
                  <w:r w:rsidRPr="00B06331">
                    <w:rPr>
                      <w:rFonts w:ascii="Times New Roman" w:hAnsi="Times New Roman"/>
                      <w:bCs/>
                      <w:sz w:val="20"/>
                      <w:szCs w:val="20"/>
                      <w:lang w:val="en-GB" w:bidi="en-US"/>
                    </w:rPr>
                    <w:t xml:space="preserve"> Strategic Priority 5: </w:t>
                  </w:r>
                  <w:r w:rsidRPr="00B06331">
                    <w:rPr>
                      <w:rFonts w:ascii="Times New Roman" w:hAnsi="Times New Roman"/>
                      <w:sz w:val="20"/>
                      <w:szCs w:val="20"/>
                    </w:rPr>
                    <w:t xml:space="preserve"> Infrastructure and Energy</w:t>
                  </w:r>
                </w:p>
              </w:tc>
            </w:tr>
            <w:tr w:rsidR="00D7018B" w:rsidRPr="00B06331">
              <w:trPr>
                <w:trHeight w:val="510"/>
              </w:trPr>
              <w:tc>
                <w:tcPr>
                  <w:tcW w:w="1539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7018B" w:rsidRPr="00B06331" w:rsidRDefault="00D7018B">
                  <w:pPr>
                    <w:jc w:val="both"/>
                    <w:rPr>
                      <w:rFonts w:ascii="Times New Roman" w:hAnsi="Times New Roman"/>
                      <w:sz w:val="20"/>
                      <w:szCs w:val="20"/>
                    </w:rPr>
                  </w:pPr>
                  <w:r w:rsidRPr="00B06331">
                    <w:rPr>
                      <w:rFonts w:ascii="Times New Roman" w:hAnsi="Times New Roman"/>
                      <w:bCs/>
                      <w:sz w:val="20"/>
                      <w:szCs w:val="20"/>
                      <w:lang w:val="en-GB" w:bidi="en-US"/>
                    </w:rPr>
                    <w:t>Goal:</w:t>
                  </w:r>
                  <w:r w:rsidRPr="00B06331">
                    <w:rPr>
                      <w:rFonts w:ascii="Times New Roman" w:hAnsi="Times New Roman"/>
                      <w:sz w:val="20"/>
                      <w:szCs w:val="20"/>
                    </w:rPr>
                    <w:t xml:space="preserve">  Sustainable and improved energy, petroleum, transport sectors for a revitalized economy and wellbeing</w:t>
                  </w:r>
                </w:p>
                <w:p w:rsidR="00D7018B" w:rsidRPr="00B06331" w:rsidRDefault="00D7018B">
                  <w:pPr>
                    <w:jc w:val="both"/>
                    <w:rPr>
                      <w:rFonts w:ascii="Times New Roman" w:hAnsi="Times New Roman"/>
                      <w:sz w:val="20"/>
                      <w:szCs w:val="20"/>
                    </w:rPr>
                  </w:pPr>
                </w:p>
              </w:tc>
            </w:tr>
            <w:tr w:rsidR="00D7018B" w:rsidRPr="00B06331">
              <w:trPr>
                <w:trHeight w:val="510"/>
              </w:trPr>
              <w:tc>
                <w:tcPr>
                  <w:tcW w:w="15390" w:type="dxa"/>
                  <w:tcBorders>
                    <w:top w:val="single" w:sz="4" w:space="0" w:color="auto"/>
                    <w:left w:val="single" w:sz="4" w:space="0" w:color="auto"/>
                    <w:bottom w:val="single" w:sz="4" w:space="0" w:color="auto"/>
                    <w:right w:val="single" w:sz="4" w:space="0" w:color="auto"/>
                  </w:tcBorders>
                  <w:vAlign w:val="center"/>
                  <w:hideMark/>
                </w:tcPr>
                <w:tbl>
                  <w:tblPr>
                    <w:tblpPr w:leftFromText="180" w:rightFromText="180" w:bottomFromText="160" w:vertAnchor="text" w:horzAnchor="margin" w:tblpXSpec="center" w:tblpY="100"/>
                    <w:tblOverlap w:val="neve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248"/>
                    <w:gridCol w:w="2249"/>
                    <w:gridCol w:w="990"/>
                    <w:gridCol w:w="990"/>
                    <w:gridCol w:w="1619"/>
                    <w:gridCol w:w="7009"/>
                  </w:tblGrid>
                  <w:tr w:rsidR="00D7018B" w:rsidRPr="00B06331">
                    <w:trPr>
                      <w:trHeight w:val="78"/>
                    </w:trPr>
                    <w:tc>
                      <w:tcPr>
                        <w:tcW w:w="2250"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Improved policy and regulatory framework and enhanced capacities for sustainable energy and petroleum  infrastructure</w:t>
                        </w:r>
                      </w:p>
                    </w:tc>
                    <w:tc>
                      <w:tcPr>
                        <w:tcW w:w="2250"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national energy and petroleum policy</w:t>
                        </w:r>
                      </w:p>
                    </w:tc>
                    <w:tc>
                      <w:tcPr>
                        <w:tcW w:w="990"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0"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20"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Ministry of Petroleum &amp; Energy annual report</w:t>
                        </w:r>
                      </w:p>
                    </w:tc>
                    <w:tc>
                      <w:tcPr>
                        <w:tcW w:w="7012"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Assumption: </w:t>
                        </w:r>
                      </w:p>
                      <w:p w:rsidR="00D7018B" w:rsidRPr="00B06331" w:rsidRDefault="00D7018B" w:rsidP="00764ED7">
                        <w:pPr>
                          <w:pStyle w:val="ListParagraph"/>
                          <w:numPr>
                            <w:ilvl w:val="0"/>
                            <w:numId w:val="18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 willingness to enforce regulatory framework</w:t>
                        </w:r>
                      </w:p>
                      <w:p w:rsidR="00D7018B" w:rsidRPr="00B06331" w:rsidRDefault="00D7018B" w:rsidP="00764ED7">
                        <w:pPr>
                          <w:pStyle w:val="ListParagraph"/>
                          <w:numPr>
                            <w:ilvl w:val="0"/>
                            <w:numId w:val="18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capacity in implementation</w:t>
                        </w:r>
                      </w:p>
                      <w:p w:rsidR="00D7018B" w:rsidRPr="00B06331" w:rsidRDefault="00D7018B">
                        <w:pPr>
                          <w:spacing w:after="0" w:line="240" w:lineRule="auto"/>
                          <w:ind w:left="360"/>
                          <w:rPr>
                            <w:rFonts w:ascii="Times New Roman" w:hAnsi="Times New Roman"/>
                            <w:sz w:val="20"/>
                            <w:szCs w:val="20"/>
                            <w:lang w:val="en-GB" w:bidi="en-US"/>
                          </w:rPr>
                        </w:pPr>
                      </w:p>
                      <w:p w:rsidR="00D7018B" w:rsidRPr="00B06331" w:rsidRDefault="00D7018B">
                        <w:pPr>
                          <w:spacing w:after="0" w:line="240" w:lineRule="auto"/>
                          <w:ind w:left="360"/>
                          <w:rPr>
                            <w:rFonts w:ascii="Times New Roman" w:hAnsi="Times New Roman"/>
                            <w:sz w:val="20"/>
                            <w:szCs w:val="20"/>
                            <w:lang w:val="en-GB" w:bidi="en-US"/>
                          </w:rPr>
                        </w:pPr>
                        <w:r w:rsidRPr="00B06331">
                          <w:rPr>
                            <w:rFonts w:ascii="Times New Roman" w:hAnsi="Times New Roman"/>
                            <w:sz w:val="20"/>
                            <w:szCs w:val="20"/>
                            <w:lang w:val="en-GB" w:bidi="en-US"/>
                          </w:rPr>
                          <w:t xml:space="preserve">Risk: </w:t>
                        </w:r>
                      </w:p>
                      <w:p w:rsidR="00D7018B" w:rsidRPr="00B06331" w:rsidRDefault="00D7018B" w:rsidP="00764ED7">
                        <w:pPr>
                          <w:pStyle w:val="ListParagraph"/>
                          <w:numPr>
                            <w:ilvl w:val="0"/>
                            <w:numId w:val="18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Limited time to develop  regulatory framework</w:t>
                        </w:r>
                      </w:p>
                      <w:p w:rsidR="00D7018B" w:rsidRPr="00B06331" w:rsidRDefault="00D7018B" w:rsidP="00764ED7">
                        <w:pPr>
                          <w:pStyle w:val="ListParagraph"/>
                          <w:numPr>
                            <w:ilvl w:val="0"/>
                            <w:numId w:val="18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Limited resources for M &amp; E</w:t>
                        </w:r>
                      </w:p>
                    </w:tc>
                  </w:tr>
                  <w:tr w:rsidR="00D7018B" w:rsidRPr="00B06331">
                    <w:trPr>
                      <w:trHeight w:val="77"/>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225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Existences of revised tariffs</w:t>
                        </w:r>
                      </w:p>
                    </w:tc>
                    <w:tc>
                      <w:tcPr>
                        <w:tcW w:w="99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2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PURA annual report</w:t>
                        </w:r>
                      </w:p>
                    </w:tc>
                    <w:tc>
                      <w:tcPr>
                        <w:tcW w:w="701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r>
                  <w:tr w:rsidR="00D7018B" w:rsidRPr="00B06331">
                    <w:trPr>
                      <w:trHeight w:val="77"/>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c>
                      <w:tcPr>
                        <w:tcW w:w="225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Number of regulations for </w:t>
                        </w:r>
                        <w:r w:rsidRPr="00B06331">
                          <w:rPr>
                            <w:rFonts w:ascii="Times New Roman" w:hAnsi="Times New Roman"/>
                            <w:sz w:val="20"/>
                            <w:szCs w:val="20"/>
                            <w:lang w:val="en-GB" w:bidi="en-US"/>
                          </w:rPr>
                          <w:lastRenderedPageBreak/>
                          <w:t>downstream operations</w:t>
                        </w:r>
                      </w:p>
                    </w:tc>
                    <w:tc>
                      <w:tcPr>
                        <w:tcW w:w="99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3</w:t>
                        </w:r>
                      </w:p>
                    </w:tc>
                    <w:tc>
                      <w:tcPr>
                        <w:tcW w:w="99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w:t>
                        </w:r>
                      </w:p>
                    </w:tc>
                    <w:tc>
                      <w:tcPr>
                        <w:tcW w:w="1620" w:type="dxa"/>
                        <w:tcBorders>
                          <w:top w:val="single" w:sz="4" w:space="0" w:color="auto"/>
                          <w:left w:val="single" w:sz="4" w:space="0" w:color="auto"/>
                          <w:bottom w:val="single" w:sz="4" w:space="0" w:color="auto"/>
                          <w:right w:val="single" w:sz="4" w:space="0" w:color="auto"/>
                        </w:tcBorders>
                        <w:hideMark/>
                      </w:tcPr>
                      <w:p w:rsidR="00D7018B" w:rsidRPr="00B06331" w:rsidRDefault="00D7018B" w:rsidP="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Cabinet Papers  </w:t>
                        </w:r>
                        <w:r w:rsidRPr="00B06331">
                          <w:rPr>
                            <w:rFonts w:ascii="Times New Roman" w:hAnsi="Times New Roman"/>
                            <w:sz w:val="20"/>
                            <w:szCs w:val="20"/>
                            <w:lang w:val="en-GB" w:bidi="en-US"/>
                          </w:rPr>
                          <w:lastRenderedPageBreak/>
                          <w:t>and MoPE annual progress report</w:t>
                        </w:r>
                      </w:p>
                    </w:tc>
                    <w:tc>
                      <w:tcPr>
                        <w:tcW w:w="7012"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rsidP="00D7018B">
                        <w:pPr>
                          <w:spacing w:after="0" w:line="256" w:lineRule="auto"/>
                          <w:rPr>
                            <w:rFonts w:ascii="Times New Roman" w:hAnsi="Times New Roman"/>
                            <w:sz w:val="20"/>
                            <w:szCs w:val="20"/>
                            <w:lang w:val="en-GB" w:bidi="en-US"/>
                          </w:rPr>
                        </w:pPr>
                      </w:p>
                    </w:tc>
                  </w:tr>
                </w:tbl>
                <w:p w:rsidR="00D7018B" w:rsidRPr="00B06331" w:rsidRDefault="00D7018B">
                  <w:pPr>
                    <w:rPr>
                      <w:rFonts w:ascii="Times New Roman" w:hAnsi="Times New Roman"/>
                      <w:bCs/>
                      <w:sz w:val="20"/>
                      <w:szCs w:val="20"/>
                      <w:lang w:val="en-GB" w:bidi="en-US"/>
                    </w:rPr>
                  </w:pPr>
                </w:p>
              </w:tc>
            </w:tr>
          </w:tbl>
          <w:p w:rsidR="00D7018B" w:rsidRPr="00B06331" w:rsidRDefault="00D7018B">
            <w:pPr>
              <w:spacing w:after="0" w:line="240" w:lineRule="auto"/>
              <w:jc w:val="center"/>
              <w:rPr>
                <w:rFonts w:ascii="Times New Roman" w:hAnsi="Times New Roman"/>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lastRenderedPageBreak/>
              <w:t>Improved access to electricity and enhanced household energy security for sustainable socio-economic development</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eastAsia="Times New Roman" w:hAnsi="Times New Roman"/>
                <w:sz w:val="20"/>
                <w:szCs w:val="20"/>
              </w:rPr>
              <w:t>% of population with access to electricity</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60%</w:t>
            </w:r>
          </w:p>
        </w:tc>
        <w:tc>
          <w:tcPr>
            <w:tcW w:w="1598"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NAWEC Annual Report</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 HS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Assumption:  </w:t>
            </w:r>
          </w:p>
          <w:p w:rsidR="00D7018B" w:rsidRPr="00B06331" w:rsidRDefault="00D7018B" w:rsidP="00764ED7">
            <w:pPr>
              <w:pStyle w:val="ListParagraph"/>
              <w:numPr>
                <w:ilvl w:val="0"/>
                <w:numId w:val="16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There is adequate investment</w:t>
            </w:r>
          </w:p>
          <w:p w:rsidR="00D7018B" w:rsidRPr="00B06331" w:rsidRDefault="00D7018B" w:rsidP="00764ED7">
            <w:pPr>
              <w:pStyle w:val="ListParagraph"/>
              <w:numPr>
                <w:ilvl w:val="0"/>
                <w:numId w:val="16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finance and human resources</w:t>
            </w:r>
          </w:p>
          <w:p w:rsidR="00D7018B" w:rsidRPr="00B06331" w:rsidRDefault="00D7018B" w:rsidP="00764ED7">
            <w:pPr>
              <w:pStyle w:val="ListParagraph"/>
              <w:numPr>
                <w:ilvl w:val="0"/>
                <w:numId w:val="16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Increase in IPPs participation in electricity generation</w:t>
            </w:r>
          </w:p>
          <w:p w:rsidR="00D7018B" w:rsidRPr="00B06331" w:rsidRDefault="00D7018B" w:rsidP="00764ED7">
            <w:pPr>
              <w:pStyle w:val="ListParagraph"/>
              <w:numPr>
                <w:ilvl w:val="0"/>
                <w:numId w:val="161"/>
              </w:numPr>
              <w:spacing w:after="0" w:line="240" w:lineRule="auto"/>
              <w:rPr>
                <w:rFonts w:ascii="Times New Roman" w:hAnsi="Times New Roman"/>
                <w:b/>
                <w:sz w:val="20"/>
                <w:szCs w:val="20"/>
                <w:lang w:val="en-GB" w:bidi="en-US"/>
              </w:rPr>
            </w:pPr>
            <w:r w:rsidRPr="00B06331">
              <w:rPr>
                <w:rFonts w:ascii="Times New Roman" w:hAnsi="Times New Roman"/>
                <w:sz w:val="20"/>
                <w:szCs w:val="20"/>
                <w:lang w:val="en-GB" w:bidi="en-US"/>
              </w:rPr>
              <w:t>OMVG and WAPP intervention in place</w:t>
            </w: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182"/>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Mismanagement of resources</w:t>
            </w:r>
          </w:p>
          <w:p w:rsidR="00D7018B" w:rsidRPr="00B06331" w:rsidRDefault="00D7018B" w:rsidP="00764ED7">
            <w:pPr>
              <w:pStyle w:val="ListParagraph"/>
              <w:numPr>
                <w:ilvl w:val="0"/>
                <w:numId w:val="182"/>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High defaulter rates ( consumer)</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Number of electricity installed capacity in MW</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102</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250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NAWEC Annual Report</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of electricity losses</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25%</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17%</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NAWEC Annual Report</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eastAsia="Times New Roman" w:hAnsi="Times New Roman"/>
                <w:sz w:val="20"/>
                <w:szCs w:val="20"/>
              </w:rPr>
              <w:t>Share of renewable energy in total electricity generation</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&lt;2%</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40%</w:t>
            </w:r>
          </w:p>
        </w:tc>
        <w:tc>
          <w:tcPr>
            <w:tcW w:w="1598"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SE4ALL action agenda</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NREAP</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395"/>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Petroleum resources and products developed for sustainable national development</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Existence of a National petroleum laboratory</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MoPE annual reports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83"/>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resources</w:t>
            </w:r>
          </w:p>
          <w:p w:rsidR="00D7018B" w:rsidRPr="00B06331" w:rsidRDefault="00D7018B" w:rsidP="00764ED7">
            <w:pPr>
              <w:pStyle w:val="ListParagraph"/>
              <w:numPr>
                <w:ilvl w:val="0"/>
                <w:numId w:val="183"/>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Favourable global outlook  for petroleum products</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83"/>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Inadequate geophysical data</w:t>
            </w:r>
          </w:p>
          <w:p w:rsidR="00D7018B" w:rsidRPr="00B06331" w:rsidRDefault="00D7018B" w:rsidP="00764ED7">
            <w:pPr>
              <w:pStyle w:val="ListParagraph"/>
              <w:numPr>
                <w:ilvl w:val="0"/>
                <w:numId w:val="183"/>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Unstable oil prices</w:t>
            </w:r>
          </w:p>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rsidTr="00D7018B">
        <w:trPr>
          <w:trHeight w:val="3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Existence of a refinery and storage Facility</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MoPE annual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7"/>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 xml:space="preserve">Enhanced land, river, </w:t>
            </w:r>
            <w:r w:rsidRPr="00B06331">
              <w:rPr>
                <w:rFonts w:ascii="Times New Roman" w:hAnsi="Times New Roman"/>
                <w:sz w:val="20"/>
                <w:szCs w:val="20"/>
              </w:rPr>
              <w:lastRenderedPageBreak/>
              <w:t>sea and air transport for affordability, accessibility and competitiveness</w:t>
            </w:r>
          </w:p>
        </w:tc>
        <w:tc>
          <w:tcPr>
            <w:tcW w:w="2186" w:type="dxa"/>
            <w:gridSpan w:val="5"/>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Times New Roman" w:hAnsi="Times New Roman"/>
                <w:sz w:val="20"/>
                <w:szCs w:val="20"/>
              </w:rPr>
            </w:pPr>
          </w:p>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lastRenderedPageBreak/>
              <w:t>% of the primary road network in good condition (paved)</w:t>
            </w:r>
          </w:p>
        </w:tc>
        <w:tc>
          <w:tcPr>
            <w:tcW w:w="963"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80%</w:t>
            </w:r>
          </w:p>
        </w:tc>
        <w:tc>
          <w:tcPr>
            <w:tcW w:w="1017"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100</w:t>
            </w:r>
          </w:p>
        </w:tc>
        <w:tc>
          <w:tcPr>
            <w:tcW w:w="1598"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NRA reports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84"/>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resources</w:t>
            </w:r>
          </w:p>
          <w:p w:rsidR="00D7018B" w:rsidRPr="00B06331" w:rsidRDefault="00D7018B" w:rsidP="00764ED7">
            <w:pPr>
              <w:pStyle w:val="ListParagraph"/>
              <w:numPr>
                <w:ilvl w:val="0"/>
                <w:numId w:val="184"/>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Services provided are competitive and safe</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8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Slow economic performance </w:t>
            </w:r>
          </w:p>
          <w:p w:rsidR="00D7018B" w:rsidRPr="00B06331" w:rsidRDefault="00D7018B">
            <w:pPr>
              <w:pStyle w:val="ListParagraph"/>
              <w:spacing w:after="0" w:line="240" w:lineRule="auto"/>
              <w:ind w:left="795"/>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rsidTr="00D7018B">
        <w:trPr>
          <w:trHeight w:val="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Operational capacity of air transport facilities in BIA</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326,757</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500,000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BIA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Improved management and provision of public works infrastructure for enhanced socio-economic development</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No of new roads and bridges constructed</w:t>
            </w:r>
          </w:p>
        </w:tc>
        <w:tc>
          <w:tcPr>
            <w:tcW w:w="963"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0</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 bridges</w:t>
            </w: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 roads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MoTWI reports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8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resources</w:t>
            </w:r>
          </w:p>
          <w:p w:rsidR="00D7018B" w:rsidRPr="00B06331" w:rsidRDefault="00D7018B" w:rsidP="00764ED7">
            <w:pPr>
              <w:pStyle w:val="ListParagraph"/>
              <w:numPr>
                <w:ilvl w:val="0"/>
                <w:numId w:val="18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Sector is prioritised in development agenda</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jc w:val="both"/>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87"/>
              </w:numPr>
              <w:spacing w:after="0"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Poor implementation of regulations</w:t>
            </w:r>
          </w:p>
          <w:p w:rsidR="00D7018B" w:rsidRPr="00B06331" w:rsidRDefault="00D7018B">
            <w:pPr>
              <w:pStyle w:val="ListParagraph"/>
              <w:spacing w:after="0" w:line="240" w:lineRule="auto"/>
              <w:jc w:val="both"/>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 xml:space="preserve">Existence of a national public buildings and facilities policy </w:t>
            </w:r>
          </w:p>
          <w:p w:rsidR="00D7018B" w:rsidRPr="00B06331" w:rsidRDefault="00D7018B">
            <w:pPr>
              <w:spacing w:after="0" w:line="240" w:lineRule="auto"/>
              <w:rPr>
                <w:rFonts w:ascii="Times New Roman" w:eastAsia="Times New Roman" w:hAnsi="Times New Roman"/>
                <w:sz w:val="20"/>
                <w:szCs w:val="20"/>
              </w:rPr>
            </w:pP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MoTWI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an updated National Transport Policy</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MoTWI reports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14417" w:type="dxa"/>
            <w:gridSpan w:val="15"/>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sz w:val="20"/>
                      <w:szCs w:val="20"/>
                    </w:rPr>
                  </w:pPr>
                  <w:r w:rsidRPr="00B06331">
                    <w:rPr>
                      <w:rFonts w:ascii="Times New Roman" w:hAnsi="Times New Roman"/>
                      <w:bCs/>
                      <w:sz w:val="20"/>
                      <w:szCs w:val="20"/>
                      <w:lang w:val="en-GB" w:bidi="en-US"/>
                    </w:rPr>
                    <w:t xml:space="preserve">Strategic Priority 6: </w:t>
                  </w:r>
                  <w:r w:rsidRPr="00B06331">
                    <w:rPr>
                      <w:rFonts w:ascii="Times New Roman" w:hAnsi="Times New Roman"/>
                      <w:sz w:val="20"/>
                      <w:szCs w:val="20"/>
                    </w:rPr>
                    <w:t xml:space="preserve">     Tourism and culture </w:t>
                  </w:r>
                </w:p>
              </w:tc>
            </w:tr>
            <w:tr w:rsidR="00D7018B" w:rsidRPr="00B06331">
              <w:trPr>
                <w:trHeight w:val="51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hAnsi="Times New Roman"/>
                      <w:sz w:val="20"/>
                      <w:szCs w:val="20"/>
                    </w:rPr>
                  </w:pPr>
                  <w:r w:rsidRPr="00B06331">
                    <w:rPr>
                      <w:rFonts w:ascii="Times New Roman" w:hAnsi="Times New Roman"/>
                      <w:bCs/>
                      <w:sz w:val="20"/>
                      <w:szCs w:val="20"/>
                      <w:lang w:val="en-GB" w:bidi="en-US"/>
                    </w:rPr>
                    <w:t>Goal:</w:t>
                  </w:r>
                  <w:r w:rsidRPr="00B06331">
                    <w:rPr>
                      <w:rFonts w:ascii="Times New Roman" w:hAnsi="Times New Roman"/>
                      <w:sz w:val="20"/>
                      <w:szCs w:val="20"/>
                    </w:rPr>
                    <w:t xml:space="preserve">  A highly competitive and sustainable tourism industry that is people centred, celebrates our rich and diverse cultural heritage, and contributes to socio-economic </w:t>
                  </w:r>
                </w:p>
                <w:p w:rsidR="00D7018B" w:rsidRPr="00B06331" w:rsidRDefault="00D7018B">
                  <w:pPr>
                    <w:jc w:val="both"/>
                    <w:rPr>
                      <w:rFonts w:ascii="Times New Roman" w:hAnsi="Times New Roman"/>
                      <w:sz w:val="20"/>
                      <w:szCs w:val="20"/>
                      <w:u w:val="single"/>
                    </w:rPr>
                  </w:pPr>
                  <w:r w:rsidRPr="00B06331">
                    <w:rPr>
                      <w:rFonts w:ascii="Times New Roman" w:hAnsi="Times New Roman"/>
                      <w:sz w:val="20"/>
                      <w:szCs w:val="20"/>
                    </w:rPr>
                    <w:t xml:space="preserve">development. </w:t>
                  </w:r>
                </w:p>
              </w:tc>
            </w:tr>
          </w:tbl>
          <w:p w:rsidR="00D7018B" w:rsidRPr="00B06331" w:rsidRDefault="00D7018B">
            <w:pPr>
              <w:spacing w:after="0" w:line="240" w:lineRule="auto"/>
              <w:jc w:val="center"/>
              <w:rPr>
                <w:rFonts w:ascii="Times New Roman" w:hAnsi="Times New Roman"/>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 xml:space="preserve">Enhanced contribution of tourism to economic growth and employment opportunities </w:t>
            </w:r>
          </w:p>
        </w:tc>
        <w:tc>
          <w:tcPr>
            <w:tcW w:w="201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eastAsia="Times New Roman" w:hAnsi="Times New Roman"/>
                <w:sz w:val="20"/>
                <w:szCs w:val="20"/>
              </w:rPr>
              <w:t>Tourism value added as a proportion of GDP</w:t>
            </w:r>
          </w:p>
        </w:tc>
        <w:tc>
          <w:tcPr>
            <w:tcW w:w="1131"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≥16 %</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GBoS/GTBoard</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8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Tourist season is extended to 10 months</w:t>
            </w:r>
          </w:p>
          <w:p w:rsidR="00D7018B" w:rsidRPr="00B06331" w:rsidRDefault="00D7018B" w:rsidP="00764ED7">
            <w:pPr>
              <w:pStyle w:val="ListParagraph"/>
              <w:numPr>
                <w:ilvl w:val="0"/>
                <w:numId w:val="18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and upgraded tourism infrastructure</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8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Global economic shocks</w:t>
            </w:r>
          </w:p>
          <w:p w:rsidR="00D7018B" w:rsidRPr="00B06331" w:rsidRDefault="00D7018B" w:rsidP="00764ED7">
            <w:pPr>
              <w:pStyle w:val="ListParagraph"/>
              <w:numPr>
                <w:ilvl w:val="0"/>
                <w:numId w:val="188"/>
              </w:numPr>
              <w:spacing w:after="0" w:line="240" w:lineRule="auto"/>
              <w:rPr>
                <w:rFonts w:ascii="Times New Roman" w:hAnsi="Times New Roman"/>
                <w:b/>
                <w:sz w:val="20"/>
                <w:szCs w:val="20"/>
                <w:lang w:val="en-GB" w:bidi="en-US"/>
              </w:rPr>
            </w:pPr>
            <w:r w:rsidRPr="00B06331">
              <w:rPr>
                <w:rFonts w:ascii="Times New Roman" w:hAnsi="Times New Roman"/>
                <w:sz w:val="20"/>
                <w:szCs w:val="20"/>
                <w:lang w:val="en-GB" w:bidi="en-US"/>
              </w:rPr>
              <w:t>Impact of crisis situations</w:t>
            </w:r>
          </w:p>
        </w:tc>
      </w:tr>
      <w:tr w:rsidR="00D7018B" w:rsidRPr="00B06331" w:rsidTr="00D7018B">
        <w:trPr>
          <w:trHeight w:val="2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1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Number of Tourist arrivals by source markets</w:t>
            </w:r>
          </w:p>
        </w:tc>
        <w:tc>
          <w:tcPr>
            <w:tcW w:w="1131"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161,127</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350,000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GTBoard</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1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Direct employment for Gambians</w:t>
            </w:r>
          </w:p>
        </w:tc>
        <w:tc>
          <w:tcPr>
            <w:tcW w:w="1131"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35,000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70,000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GTBoard</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01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Foreign exchange earnings </w:t>
            </w:r>
          </w:p>
        </w:tc>
        <w:tc>
          <w:tcPr>
            <w:tcW w:w="1131"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$85 million</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$170million</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CBG/GTBoard</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40"/>
        </w:trPr>
        <w:tc>
          <w:tcPr>
            <w:tcW w:w="2399" w:type="dxa"/>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Cultural assets integrated into the tourism industry and promoted</w:t>
            </w:r>
          </w:p>
          <w:p w:rsidR="00D7018B" w:rsidRPr="00B06331" w:rsidRDefault="00D7018B">
            <w:pPr>
              <w:spacing w:after="0" w:line="240" w:lineRule="auto"/>
              <w:rPr>
                <w:rFonts w:ascii="Times New Roman" w:hAnsi="Times New Roman"/>
                <w:sz w:val="20"/>
                <w:szCs w:val="20"/>
                <w:lang w:val="en-GB" w:bidi="en-US"/>
              </w:rPr>
            </w:pPr>
          </w:p>
        </w:tc>
        <w:tc>
          <w:tcPr>
            <w:tcW w:w="201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Amount of funds allocated to promotion of culture</w:t>
            </w:r>
          </w:p>
        </w:tc>
        <w:tc>
          <w:tcPr>
            <w:tcW w:w="1131" w:type="dxa"/>
            <w:gridSpan w:val="4"/>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D4.2million</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D10million</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National Budget estimates</w:t>
            </w:r>
          </w:p>
        </w:tc>
        <w:tc>
          <w:tcPr>
            <w:tcW w:w="6254" w:type="dxa"/>
            <w:gridSpan w:val="4"/>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8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resources</w:t>
            </w:r>
          </w:p>
          <w:p w:rsidR="00D7018B" w:rsidRPr="00B06331" w:rsidRDefault="00D7018B" w:rsidP="00764ED7">
            <w:pPr>
              <w:pStyle w:val="ListParagraph"/>
              <w:numPr>
                <w:ilvl w:val="0"/>
                <w:numId w:val="18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Interest of the indigenous industry</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89"/>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State of the tangible assets due to environmental hazards</w:t>
            </w:r>
          </w:p>
          <w:p w:rsidR="00D7018B" w:rsidRPr="00B06331" w:rsidRDefault="00D7018B" w:rsidP="00764ED7">
            <w:pPr>
              <w:pStyle w:val="ListParagraph"/>
              <w:numPr>
                <w:ilvl w:val="0"/>
                <w:numId w:val="189"/>
              </w:numPr>
              <w:spacing w:after="0" w:line="240" w:lineRule="auto"/>
              <w:rPr>
                <w:rFonts w:ascii="Times New Roman" w:hAnsi="Times New Roman"/>
                <w:b/>
                <w:sz w:val="20"/>
                <w:szCs w:val="20"/>
                <w:lang w:val="en-GB" w:bidi="en-US"/>
              </w:rPr>
            </w:pPr>
            <w:r w:rsidRPr="00B06331">
              <w:rPr>
                <w:rFonts w:ascii="Times New Roman" w:hAnsi="Times New Roman"/>
                <w:sz w:val="20"/>
                <w:szCs w:val="20"/>
                <w:lang w:val="en-GB" w:bidi="en-US"/>
              </w:rPr>
              <w:t>Diluted cultural practices</w:t>
            </w:r>
          </w:p>
          <w:p w:rsidR="00D7018B" w:rsidRPr="00B06331" w:rsidRDefault="00D7018B" w:rsidP="00764ED7">
            <w:pPr>
              <w:pStyle w:val="ListParagraph"/>
              <w:numPr>
                <w:ilvl w:val="0"/>
                <w:numId w:val="189"/>
              </w:numPr>
              <w:spacing w:after="0" w:line="240" w:lineRule="auto"/>
              <w:rPr>
                <w:rFonts w:ascii="Times New Roman" w:hAnsi="Times New Roman"/>
                <w:b/>
                <w:sz w:val="20"/>
                <w:szCs w:val="20"/>
                <w:lang w:val="en-GB" w:bidi="en-US"/>
              </w:rPr>
            </w:pPr>
          </w:p>
        </w:tc>
      </w:tr>
      <w:tr w:rsidR="00D7018B" w:rsidRPr="00B06331" w:rsidTr="00D7018B">
        <w:trPr>
          <w:trHeight w:val="77"/>
        </w:trPr>
        <w:tc>
          <w:tcPr>
            <w:tcW w:w="14417" w:type="dxa"/>
            <w:gridSpan w:val="15"/>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sz w:val="20"/>
                      <w:szCs w:val="20"/>
                    </w:rPr>
                  </w:pPr>
                  <w:r w:rsidRPr="00B06331">
                    <w:rPr>
                      <w:rFonts w:ascii="Times New Roman" w:hAnsi="Times New Roman"/>
                      <w:bCs/>
                      <w:sz w:val="20"/>
                      <w:szCs w:val="20"/>
                      <w:lang w:val="en-GB" w:bidi="en-US"/>
                    </w:rPr>
                    <w:t xml:space="preserve">Strategic Priority 7: </w:t>
                  </w:r>
                  <w:r w:rsidRPr="00B06331">
                    <w:rPr>
                      <w:rFonts w:ascii="Times New Roman" w:hAnsi="Times New Roman"/>
                      <w:sz w:val="20"/>
                      <w:szCs w:val="20"/>
                    </w:rPr>
                    <w:t xml:space="preserve"> Youth  Empowerment and Development</w:t>
                  </w:r>
                </w:p>
              </w:tc>
            </w:tr>
            <w:tr w:rsidR="00D7018B" w:rsidRPr="00B06331">
              <w:trPr>
                <w:trHeight w:val="51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Goal 1:  Secured sustainable livelihood for youths through skills development, descent work and excellence in sports.</w:t>
                  </w:r>
                </w:p>
              </w:tc>
            </w:tr>
          </w:tbl>
          <w:p w:rsidR="00D7018B" w:rsidRPr="00B06331" w:rsidRDefault="00D7018B">
            <w:pPr>
              <w:spacing w:after="0" w:line="240" w:lineRule="auto"/>
              <w:jc w:val="center"/>
              <w:rPr>
                <w:rFonts w:ascii="Times New Roman" w:hAnsi="Times New Roman"/>
                <w:sz w:val="20"/>
                <w:szCs w:val="20"/>
                <w:lang w:val="en-GB" w:bidi="en-US"/>
              </w:rPr>
            </w:pPr>
          </w:p>
        </w:tc>
      </w:tr>
      <w:tr w:rsidR="00D7018B" w:rsidRPr="00B06331" w:rsidTr="00D7018B">
        <w:trPr>
          <w:trHeight w:val="77"/>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 Harmonized rights based Policies, legislations and regulatory frameworks for youth empowerment and sports development.</w:t>
            </w:r>
          </w:p>
          <w:p w:rsidR="00D7018B" w:rsidRPr="00B06331" w:rsidRDefault="00D7018B">
            <w:pPr>
              <w:pStyle w:val="ListParagraph"/>
              <w:spacing w:after="0" w:line="240" w:lineRule="auto"/>
              <w:ind w:left="360"/>
              <w:rPr>
                <w:rFonts w:ascii="Times New Roman" w:hAnsi="Times New Roman"/>
                <w:sz w:val="20"/>
                <w:szCs w:val="20"/>
              </w:rPr>
            </w:pPr>
          </w:p>
          <w:p w:rsidR="00D7018B" w:rsidRPr="00B06331" w:rsidRDefault="00D7018B">
            <w:pPr>
              <w:spacing w:after="0" w:line="240" w:lineRule="auto"/>
              <w:rPr>
                <w:rFonts w:ascii="Times New Roman" w:hAnsi="Times New Roman"/>
                <w:sz w:val="20"/>
                <w:szCs w:val="20"/>
              </w:rPr>
            </w:pPr>
          </w:p>
          <w:p w:rsidR="00D7018B" w:rsidRPr="00B06331" w:rsidRDefault="00D7018B">
            <w:pPr>
              <w:pStyle w:val="ListParagraph"/>
              <w:spacing w:after="0" w:line="240" w:lineRule="auto"/>
              <w:ind w:left="360"/>
              <w:rPr>
                <w:rFonts w:ascii="Times New Roman" w:hAnsi="Times New Roman"/>
                <w:sz w:val="20"/>
                <w:szCs w:val="20"/>
              </w:rPr>
            </w:pPr>
          </w:p>
          <w:p w:rsidR="00D7018B" w:rsidRPr="00B06331" w:rsidRDefault="00D7018B">
            <w:pPr>
              <w:pStyle w:val="ListParagraph"/>
              <w:spacing w:after="0" w:line="240" w:lineRule="auto"/>
              <w:ind w:left="360"/>
              <w:rPr>
                <w:rFonts w:ascii="Times New Roman"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revised National Youth policy and Act</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reports</w:t>
            </w:r>
          </w:p>
        </w:tc>
        <w:tc>
          <w:tcPr>
            <w:tcW w:w="6142" w:type="dxa"/>
            <w:gridSpan w:val="3"/>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9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Active participation by all stakeholders</w:t>
            </w:r>
          </w:p>
          <w:p w:rsidR="00D7018B" w:rsidRPr="00B06331" w:rsidRDefault="00D7018B" w:rsidP="00764ED7">
            <w:pPr>
              <w:pStyle w:val="ListParagraph"/>
              <w:numPr>
                <w:ilvl w:val="0"/>
                <w:numId w:val="190"/>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The National assembly enact the legal frameworks</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9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Not having the support of the politicians</w:t>
            </w:r>
          </w:p>
          <w:p w:rsidR="00D7018B" w:rsidRPr="00B06331" w:rsidRDefault="00D7018B">
            <w:pPr>
              <w:pStyle w:val="ListParagraph"/>
              <w:spacing w:after="0" w:line="240" w:lineRule="auto"/>
              <w:ind w:left="360"/>
              <w:rPr>
                <w:rFonts w:ascii="Times New Roman" w:hAnsi="Times New Roman"/>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revised National Sports   policy and Act</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regulatory standards for Youth  organisations and facilities</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Existence of regulatory standard for  Sports </w:t>
            </w:r>
            <w:r w:rsidRPr="00B06331">
              <w:rPr>
                <w:rFonts w:ascii="Times New Roman" w:hAnsi="Times New Roman"/>
                <w:sz w:val="20"/>
                <w:szCs w:val="20"/>
                <w:lang w:val="en-GB" w:bidi="en-US"/>
              </w:rPr>
              <w:lastRenderedPageBreak/>
              <w:t>organisations and facilities</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lastRenderedPageBreak/>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 xml:space="preserve">MoYS annual </w:t>
            </w:r>
            <w:r w:rsidRPr="00B06331">
              <w:rPr>
                <w:rFonts w:ascii="Times New Roman" w:hAnsi="Times New Roman"/>
                <w:sz w:val="20"/>
                <w:szCs w:val="20"/>
                <w:lang w:val="en-GB" w:bidi="en-US"/>
              </w:rPr>
              <w:lastRenderedPageBreak/>
              <w:t>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20"/>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rPr>
                <w:rFonts w:ascii="Times New Roman" w:eastAsiaTheme="minorEastAsia" w:hAnsi="Times New Roman"/>
                <w:sz w:val="20"/>
                <w:szCs w:val="20"/>
              </w:rPr>
            </w:pPr>
            <w:r w:rsidRPr="00B06331">
              <w:rPr>
                <w:rFonts w:ascii="Times New Roman" w:hAnsi="Times New Roman"/>
                <w:sz w:val="20"/>
                <w:szCs w:val="20"/>
              </w:rPr>
              <w:lastRenderedPageBreak/>
              <w:t>Increased employment opportunities and enhanced entrepreneurial skills.</w:t>
            </w:r>
          </w:p>
          <w:p w:rsidR="00D7018B" w:rsidRPr="00B06331" w:rsidRDefault="00D7018B">
            <w:pPr>
              <w:pStyle w:val="ListParagraph"/>
              <w:ind w:left="360"/>
              <w:rPr>
                <w:rFonts w:ascii="Times New Roman"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 youth development fund</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pStyle w:val="NoSpacing"/>
              <w:spacing w:line="256" w:lineRule="auto"/>
              <w:rPr>
                <w:rFonts w:ascii="Times New Roman" w:eastAsia="Calibri" w:hAnsi="Times New Roman" w:cs="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7018B" w:rsidRPr="00B06331" w:rsidRDefault="00D7018B">
            <w:pPr>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142" w:type="dxa"/>
            <w:gridSpan w:val="3"/>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92"/>
              </w:numPr>
              <w:tabs>
                <w:tab w:val="center" w:pos="2992"/>
                <w:tab w:val="right" w:pos="5984"/>
              </w:tabs>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Willingness to be trained </w:t>
            </w:r>
          </w:p>
          <w:p w:rsidR="00D7018B" w:rsidRPr="00B06331" w:rsidRDefault="00D7018B" w:rsidP="00764ED7">
            <w:pPr>
              <w:pStyle w:val="ListParagraph"/>
              <w:numPr>
                <w:ilvl w:val="0"/>
                <w:numId w:val="192"/>
              </w:numPr>
              <w:tabs>
                <w:tab w:val="center" w:pos="2992"/>
                <w:tab w:val="right" w:pos="5984"/>
              </w:tabs>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Resources are available</w:t>
            </w:r>
          </w:p>
          <w:p w:rsidR="00D7018B" w:rsidRPr="00B06331" w:rsidRDefault="00D7018B">
            <w:pPr>
              <w:tabs>
                <w:tab w:val="center" w:pos="2992"/>
                <w:tab w:val="right" w:pos="5984"/>
              </w:tabs>
              <w:spacing w:after="0" w:line="240" w:lineRule="auto"/>
              <w:rPr>
                <w:rFonts w:ascii="Times New Roman" w:hAnsi="Times New Roman"/>
                <w:b/>
                <w:sz w:val="20"/>
                <w:szCs w:val="20"/>
                <w:lang w:val="en-GB" w:bidi="en-US"/>
              </w:rPr>
            </w:pPr>
          </w:p>
          <w:p w:rsidR="00D7018B" w:rsidRPr="00B06331" w:rsidRDefault="00D7018B">
            <w:pPr>
              <w:tabs>
                <w:tab w:val="center" w:pos="2992"/>
                <w:tab w:val="right" w:pos="5984"/>
              </w:tabs>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r w:rsidRPr="00B06331">
              <w:rPr>
                <w:rFonts w:ascii="Times New Roman" w:hAnsi="Times New Roman"/>
                <w:b/>
                <w:sz w:val="20"/>
                <w:szCs w:val="20"/>
                <w:lang w:val="en-GB" w:bidi="en-US"/>
              </w:rPr>
              <w:tab/>
            </w:r>
          </w:p>
          <w:p w:rsidR="00D7018B" w:rsidRPr="00B06331" w:rsidRDefault="00D7018B" w:rsidP="00764ED7">
            <w:pPr>
              <w:pStyle w:val="ListParagraph"/>
              <w:numPr>
                <w:ilvl w:val="0"/>
                <w:numId w:val="19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Irregular migration</w:t>
            </w:r>
          </w:p>
          <w:p w:rsidR="00D7018B" w:rsidRPr="00B06331" w:rsidRDefault="00D7018B" w:rsidP="00764ED7">
            <w:pPr>
              <w:pStyle w:val="ListParagraph"/>
              <w:numPr>
                <w:ilvl w:val="0"/>
                <w:numId w:val="193"/>
              </w:numPr>
              <w:spacing w:after="0" w:line="240" w:lineRule="auto"/>
              <w:rPr>
                <w:rFonts w:ascii="Times New Roman" w:hAnsi="Times New Roman"/>
                <w:sz w:val="20"/>
                <w:szCs w:val="20"/>
                <w:lang w:val="en-GB" w:bidi="en-US"/>
              </w:rPr>
            </w:pPr>
            <w:r w:rsidRPr="00B06331">
              <w:rPr>
                <w:rFonts w:ascii="Times New Roman" w:hAnsi="Times New Roman"/>
                <w:b/>
                <w:sz w:val="20"/>
                <w:szCs w:val="20"/>
                <w:lang w:val="en-GB" w:bidi="en-US"/>
              </w:rPr>
              <w:t>Cultural negative biases against skills training and work</w:t>
            </w: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an inclusive entrepreneurship programme</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Number of  Youth friendly centres</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113"/>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Mental, physical and social wellbeing, sexual reproductive health and rights improved for all</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Availability of health services in youth friendly centres</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142" w:type="dxa"/>
            <w:gridSpan w:val="3"/>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94"/>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There is collaboration with the Ministry of Health</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tabs>
                <w:tab w:val="center" w:pos="2992"/>
                <w:tab w:val="right" w:pos="5984"/>
              </w:tabs>
              <w:spacing w:after="0" w:line="240" w:lineRule="auto"/>
              <w:rPr>
                <w:rFonts w:ascii="Times New Roman" w:hAnsi="Times New Roman"/>
                <w:b/>
                <w:sz w:val="20"/>
                <w:szCs w:val="20"/>
                <w:lang w:val="en-GB" w:bidi="en-US"/>
              </w:rPr>
            </w:pPr>
          </w:p>
          <w:p w:rsidR="00D7018B" w:rsidRPr="00B06331" w:rsidRDefault="00D7018B">
            <w:pPr>
              <w:tabs>
                <w:tab w:val="center" w:pos="2992"/>
                <w:tab w:val="right" w:pos="5984"/>
              </w:tabs>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r w:rsidRPr="00B06331">
              <w:rPr>
                <w:rFonts w:ascii="Times New Roman" w:hAnsi="Times New Roman"/>
                <w:b/>
                <w:sz w:val="20"/>
                <w:szCs w:val="20"/>
                <w:lang w:val="en-GB" w:bidi="en-US"/>
              </w:rPr>
              <w:tab/>
            </w:r>
          </w:p>
          <w:p w:rsidR="00D7018B" w:rsidRPr="00B06331" w:rsidRDefault="00D7018B" w:rsidP="00764ED7">
            <w:pPr>
              <w:pStyle w:val="ListParagraph"/>
              <w:numPr>
                <w:ilvl w:val="0"/>
                <w:numId w:val="194"/>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Substance abuse</w:t>
            </w:r>
          </w:p>
          <w:p w:rsidR="00D7018B" w:rsidRPr="00B06331" w:rsidRDefault="00D7018B">
            <w:pPr>
              <w:pStyle w:val="ListParagraph"/>
              <w:spacing w:after="0" w:line="240" w:lineRule="auto"/>
              <w:rPr>
                <w:rFonts w:ascii="Times New Roman" w:hAnsi="Times New Roman"/>
                <w:b/>
                <w:sz w:val="20"/>
                <w:szCs w:val="20"/>
                <w:lang w:val="en-GB" w:bidi="en-US"/>
              </w:rPr>
            </w:pPr>
          </w:p>
        </w:tc>
      </w:tr>
      <w:tr w:rsidR="00D7018B" w:rsidRPr="00B06331" w:rsidTr="00D7018B">
        <w:trPr>
          <w:trHeight w:val="1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Proportion of youths accessing reproductive health services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50%</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 Sports promoted and competences developed for effective participation in national and international competitions.</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Number of sports academies established</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142" w:type="dxa"/>
            <w:gridSpan w:val="3"/>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195"/>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Adequate motivation package</w:t>
            </w:r>
          </w:p>
          <w:p w:rsidR="00D7018B" w:rsidRPr="00B06331" w:rsidRDefault="00D7018B" w:rsidP="00764ED7">
            <w:pPr>
              <w:pStyle w:val="ListParagraph"/>
              <w:numPr>
                <w:ilvl w:val="0"/>
                <w:numId w:val="195"/>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Commitment and will of all stakeholders</w:t>
            </w: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96"/>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Not meeting expectations for glory</w:t>
            </w:r>
          </w:p>
          <w:p w:rsidR="00D7018B" w:rsidRPr="00B06331" w:rsidRDefault="00D7018B" w:rsidP="00764ED7">
            <w:pPr>
              <w:pStyle w:val="ListParagraph"/>
              <w:numPr>
                <w:ilvl w:val="0"/>
                <w:numId w:val="196"/>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High turnover rate of trained athletes, coaches and administrators</w:t>
            </w: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 Sports Department at UTG</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 Multi-purpose indoor sports facility</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No </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710" w:type="dxa"/>
            <w:gridSpan w:val="3"/>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MoYS Annual report</w:t>
            </w:r>
          </w:p>
        </w:tc>
        <w:tc>
          <w:tcPr>
            <w:tcW w:w="6430" w:type="dxa"/>
            <w:gridSpan w:val="3"/>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14417" w:type="dxa"/>
            <w:gridSpan w:val="15"/>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sz w:val="20"/>
                      <w:szCs w:val="20"/>
                    </w:rPr>
                  </w:pPr>
                  <w:r w:rsidRPr="00B06331">
                    <w:rPr>
                      <w:rFonts w:ascii="Times New Roman" w:hAnsi="Times New Roman"/>
                      <w:bCs/>
                      <w:sz w:val="20"/>
                      <w:szCs w:val="20"/>
                      <w:lang w:val="en-GB" w:bidi="en-US"/>
                    </w:rPr>
                    <w:t xml:space="preserve">Strategic Priority 8: </w:t>
                  </w:r>
                  <w:r w:rsidRPr="00B06331">
                    <w:rPr>
                      <w:rFonts w:ascii="Times New Roman" w:hAnsi="Times New Roman"/>
                      <w:sz w:val="20"/>
                      <w:szCs w:val="20"/>
                    </w:rPr>
                    <w:t xml:space="preserve"> Private Sector Development and Trade</w:t>
                  </w:r>
                </w:p>
              </w:tc>
            </w:tr>
            <w:tr w:rsidR="00D7018B" w:rsidRPr="00B06331">
              <w:trPr>
                <w:trHeight w:val="68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7018B" w:rsidRPr="00B06331" w:rsidRDefault="00D7018B">
                  <w:pPr>
                    <w:spacing w:after="0" w:line="240" w:lineRule="auto"/>
                    <w:jc w:val="both"/>
                    <w:rPr>
                      <w:rFonts w:ascii="Times New Roman" w:hAnsi="Times New Roman"/>
                      <w:sz w:val="20"/>
                      <w:szCs w:val="20"/>
                    </w:rPr>
                  </w:pPr>
                  <w:r w:rsidRPr="00B06331">
                    <w:rPr>
                      <w:rFonts w:ascii="Times New Roman" w:hAnsi="Times New Roman"/>
                      <w:bCs/>
                      <w:sz w:val="20"/>
                      <w:szCs w:val="20"/>
                      <w:lang w:val="en-GB" w:bidi="en-US"/>
                    </w:rPr>
                    <w:t>Goal:</w:t>
                  </w:r>
                  <w:r w:rsidRPr="00B06331">
                    <w:rPr>
                      <w:rFonts w:ascii="Times New Roman" w:hAnsi="Times New Roman"/>
                      <w:sz w:val="20"/>
                      <w:szCs w:val="20"/>
                    </w:rPr>
                    <w:t xml:space="preserve"> To enhance the contributions of trade and private sector to growth and employment </w:t>
                  </w:r>
                </w:p>
                <w:p w:rsidR="00D7018B" w:rsidRPr="00B06331" w:rsidRDefault="00D7018B">
                  <w:pPr>
                    <w:jc w:val="both"/>
                    <w:rPr>
                      <w:rFonts w:ascii="Times New Roman" w:hAnsi="Times New Roman"/>
                      <w:sz w:val="20"/>
                      <w:szCs w:val="20"/>
                    </w:rPr>
                  </w:pPr>
                </w:p>
              </w:tc>
            </w:tr>
          </w:tbl>
          <w:p w:rsidR="00D7018B" w:rsidRPr="00B06331" w:rsidRDefault="00D7018B">
            <w:pPr>
              <w:spacing w:after="0" w:line="240" w:lineRule="auto"/>
              <w:jc w:val="center"/>
              <w:rPr>
                <w:rFonts w:ascii="Times New Roman" w:hAnsi="Times New Roman"/>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Upgraded policies, </w:t>
            </w:r>
            <w:r w:rsidRPr="00B06331">
              <w:rPr>
                <w:rFonts w:ascii="Times New Roman" w:hAnsi="Times New Roman"/>
                <w:sz w:val="20"/>
                <w:szCs w:val="20"/>
                <w:lang w:val="en-GB" w:bidi="en-US"/>
              </w:rPr>
              <w:lastRenderedPageBreak/>
              <w:t>laws, regulations for efficient functioning of the labour market</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pStyle w:val="ListParagraph"/>
              <w:spacing w:after="0" w:line="240" w:lineRule="auto"/>
              <w:ind w:left="360"/>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 xml:space="preserve">Availability of an </w:t>
            </w:r>
            <w:r w:rsidRPr="00B06331">
              <w:rPr>
                <w:rFonts w:ascii="Times New Roman" w:hAnsi="Times New Roman"/>
                <w:sz w:val="20"/>
                <w:szCs w:val="20"/>
                <w:lang w:val="en-GB" w:bidi="en-US"/>
              </w:rPr>
              <w:lastRenderedPageBreak/>
              <w:t>updated National Employment Policy and Action Plan (NEAP)</w:t>
            </w:r>
          </w:p>
          <w:p w:rsidR="00D7018B" w:rsidRPr="00B06331" w:rsidRDefault="00D7018B">
            <w:pPr>
              <w:spacing w:after="0" w:line="240" w:lineRule="auto"/>
              <w:rPr>
                <w:rFonts w:ascii="Times New Roman" w:hAnsi="Times New Roman"/>
                <w:sz w:val="20"/>
                <w:szCs w:val="20"/>
                <w:lang w:val="en-GB" w:bidi="en-US"/>
              </w:rPr>
            </w:pP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MOTIE Annual </w:t>
            </w:r>
            <w:r w:rsidRPr="00B06331">
              <w:rPr>
                <w:rFonts w:ascii="Times New Roman" w:hAnsi="Times New Roman"/>
                <w:sz w:val="20"/>
                <w:szCs w:val="20"/>
                <w:lang w:val="en-GB" w:bidi="en-US"/>
              </w:rPr>
              <w:lastRenderedPageBreak/>
              <w:t>Report</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lastRenderedPageBreak/>
              <w:t>Assumptions</w:t>
            </w:r>
          </w:p>
          <w:p w:rsidR="00D7018B" w:rsidRPr="00B06331" w:rsidRDefault="00D7018B" w:rsidP="00764ED7">
            <w:pPr>
              <w:pStyle w:val="ListParagraph"/>
              <w:numPr>
                <w:ilvl w:val="0"/>
                <w:numId w:val="197"/>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lastRenderedPageBreak/>
              <w:t xml:space="preserve">Reliable, timely and accessible source of information </w:t>
            </w:r>
          </w:p>
          <w:p w:rsidR="00D7018B" w:rsidRPr="00B06331" w:rsidRDefault="00D7018B" w:rsidP="00764ED7">
            <w:pPr>
              <w:pStyle w:val="ListParagraph"/>
              <w:numPr>
                <w:ilvl w:val="0"/>
                <w:numId w:val="197"/>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Stakeholders are committed </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198"/>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Insufficient infrastructure (ICT, Energy etc)</w:t>
            </w:r>
          </w:p>
          <w:p w:rsidR="00D7018B" w:rsidRPr="00B06331" w:rsidRDefault="00D7018B" w:rsidP="00764ED7">
            <w:pPr>
              <w:pStyle w:val="ListParagraph"/>
              <w:numPr>
                <w:ilvl w:val="0"/>
                <w:numId w:val="198"/>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Inadequate resources </w:t>
            </w: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Availability of revised Labour Act and regulation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YES </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MOTIE Annual Report</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Number of updates in the Labour Market Information System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8</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MOTIE Annual Report</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8"/>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Promoted  and facilitated trade, investment and private sector development </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pStyle w:val="ListParagraph"/>
              <w:spacing w:after="0" w:line="240" w:lineRule="auto"/>
              <w:ind w:left="360"/>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Total export as a percentage of GDP</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9.4% (2015)</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17%</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Assumptions </w:t>
            </w:r>
          </w:p>
          <w:p w:rsidR="00D7018B" w:rsidRPr="00B06331" w:rsidRDefault="00D7018B" w:rsidP="00764ED7">
            <w:pPr>
              <w:pStyle w:val="ListParagraph"/>
              <w:numPr>
                <w:ilvl w:val="0"/>
                <w:numId w:val="199"/>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Favourable investment climate</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200"/>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Conflicts arising from land tenure system</w:t>
            </w:r>
          </w:p>
          <w:p w:rsidR="00D7018B" w:rsidRPr="00B06331" w:rsidRDefault="00D7018B" w:rsidP="00764ED7">
            <w:pPr>
              <w:pStyle w:val="ListParagraph"/>
              <w:numPr>
                <w:ilvl w:val="0"/>
                <w:numId w:val="200"/>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Political instability </w:t>
            </w: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Area of land utilised out of the total land reserved for investment</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4.4 Hectares</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164 Hectares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GIEPA</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Foreign Direct Investment as a percentage of GDP</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2.4% (2014)</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MOFEA</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Number of regions with reserved land for investment</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1 </w:t>
            </w:r>
          </w:p>
          <w:p w:rsidR="00D7018B" w:rsidRPr="00B06331" w:rsidRDefault="00D7018B">
            <w:pPr>
              <w:tabs>
                <w:tab w:val="left" w:pos="780"/>
              </w:tabs>
              <w:rPr>
                <w:rFonts w:ascii="Times New Roman" w:hAnsi="Times New Roman"/>
                <w:sz w:val="20"/>
                <w:szCs w:val="20"/>
                <w:lang w:val="en-GB" w:bidi="en-US"/>
              </w:rPr>
            </w:pPr>
            <w:r w:rsidRPr="00B06331">
              <w:rPr>
                <w:rFonts w:ascii="Times New Roman" w:hAnsi="Times New Roman"/>
                <w:sz w:val="20"/>
                <w:szCs w:val="20"/>
                <w:lang w:val="en-GB" w:bidi="en-US"/>
              </w:rPr>
              <w:tab/>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6 regions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GIEPA</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Proportion of employees in the private sector</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598"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360"/>
        </w:trPr>
        <w:tc>
          <w:tcPr>
            <w:tcW w:w="239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line="240" w:lineRule="auto"/>
              <w:jc w:val="both"/>
              <w:rPr>
                <w:rFonts w:ascii="Times New Roman" w:hAnsi="Times New Roman"/>
                <w:sz w:val="20"/>
                <w:szCs w:val="20"/>
                <w:lang w:val="en-GB" w:bidi="en-US"/>
              </w:rPr>
            </w:pPr>
            <w:r w:rsidRPr="00B06331">
              <w:rPr>
                <w:rFonts w:ascii="Times New Roman" w:hAnsi="Times New Roman"/>
                <w:sz w:val="20"/>
                <w:szCs w:val="20"/>
                <w:lang w:val="en-GB" w:bidi="en-US"/>
              </w:rPr>
              <w:t xml:space="preserve">MSME and Industrial Growth Enhanced. </w:t>
            </w:r>
          </w:p>
          <w:p w:rsidR="00D7018B" w:rsidRPr="00B06331" w:rsidRDefault="00D7018B">
            <w:pPr>
              <w:pStyle w:val="ListParagraph"/>
              <w:spacing w:after="0" w:line="240" w:lineRule="auto"/>
              <w:ind w:left="360"/>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 xml:space="preserve">Proportion of MSME’s contribution to employment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62% (MSME mapping 2013)</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75%</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GIEPA</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Assumptions </w:t>
            </w:r>
          </w:p>
          <w:p w:rsidR="00D7018B" w:rsidRPr="00B06331" w:rsidRDefault="00D7018B" w:rsidP="00764ED7">
            <w:pPr>
              <w:pStyle w:val="ListParagraph"/>
              <w:numPr>
                <w:ilvl w:val="0"/>
                <w:numId w:val="201"/>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Enabling business environment </w:t>
            </w:r>
          </w:p>
          <w:p w:rsidR="00D7018B" w:rsidRPr="00B06331" w:rsidRDefault="00D7018B" w:rsidP="00764ED7">
            <w:pPr>
              <w:pStyle w:val="ListParagraph"/>
              <w:numPr>
                <w:ilvl w:val="0"/>
                <w:numId w:val="201"/>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Affordable financing and energy </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201"/>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Economic and political instability </w:t>
            </w:r>
          </w:p>
          <w:p w:rsidR="00D7018B" w:rsidRPr="00B06331" w:rsidRDefault="00D7018B" w:rsidP="00764ED7">
            <w:pPr>
              <w:pStyle w:val="ListParagraph"/>
              <w:numPr>
                <w:ilvl w:val="0"/>
                <w:numId w:val="201"/>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Dumping in traded goods</w:t>
            </w:r>
          </w:p>
          <w:p w:rsidR="00D7018B" w:rsidRPr="00B06331" w:rsidRDefault="00D7018B">
            <w:pPr>
              <w:pStyle w:val="ListParagraph"/>
              <w:spacing w:after="0" w:line="240" w:lineRule="auto"/>
              <w:rPr>
                <w:rFonts w:ascii="Times New Roman" w:hAnsi="Times New Roman"/>
                <w:b/>
                <w:sz w:val="20"/>
                <w:szCs w:val="20"/>
                <w:lang w:val="en-GB" w:bidi="en-US"/>
              </w:rPr>
            </w:pPr>
          </w:p>
        </w:tc>
      </w:tr>
      <w:tr w:rsidR="00D7018B" w:rsidRPr="00B06331" w:rsidTr="00D7018B">
        <w:trPr>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MSME contribution to GDP</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MSME Mapping study</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imes New Roman" w:hAnsi="Times New Roman"/>
                <w:sz w:val="20"/>
                <w:szCs w:val="20"/>
              </w:rPr>
            </w:pPr>
            <w:r w:rsidRPr="00B06331">
              <w:rPr>
                <w:rFonts w:ascii="Times New Roman" w:eastAsia="Times New Roman" w:hAnsi="Times New Roman"/>
                <w:sz w:val="20"/>
                <w:szCs w:val="20"/>
              </w:rPr>
              <w:t>Manufacturing contribution to GDP</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 (2016)</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490"/>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line="240" w:lineRule="auto"/>
              <w:jc w:val="both"/>
              <w:rPr>
                <w:rFonts w:ascii="Times New Roman" w:eastAsiaTheme="minorEastAsia" w:hAnsi="Times New Roman"/>
                <w:sz w:val="20"/>
                <w:szCs w:val="20"/>
              </w:rPr>
            </w:pPr>
            <w:r w:rsidRPr="00B06331">
              <w:rPr>
                <w:rFonts w:ascii="Times New Roman" w:hAnsi="Times New Roman"/>
                <w:sz w:val="20"/>
                <w:szCs w:val="20"/>
              </w:rPr>
              <w:lastRenderedPageBreak/>
              <w:t>Enhanced employment and employability</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rPr>
            </w:pPr>
            <w:r w:rsidRPr="00B06331">
              <w:rPr>
                <w:rFonts w:ascii="Times New Roman" w:hAnsi="Times New Roman"/>
                <w:sz w:val="20"/>
                <w:szCs w:val="20"/>
              </w:rPr>
              <w:t xml:space="preserve">Unemployment rate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29% (2012)</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20%</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02"/>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Conducive and enabling environment </w:t>
            </w:r>
          </w:p>
          <w:p w:rsidR="00D7018B" w:rsidRPr="00B06331" w:rsidRDefault="00D7018B" w:rsidP="00764ED7">
            <w:pPr>
              <w:pStyle w:val="ListParagraph"/>
              <w:numPr>
                <w:ilvl w:val="0"/>
                <w:numId w:val="202"/>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Education curriculum incorporates livelihood and life-skills </w:t>
            </w: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rsidP="00764ED7">
            <w:pPr>
              <w:pStyle w:val="ListParagraph"/>
              <w:numPr>
                <w:ilvl w:val="0"/>
                <w:numId w:val="20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Effects of technology</w:t>
            </w:r>
          </w:p>
        </w:tc>
      </w:tr>
      <w:tr w:rsidR="00D7018B" w:rsidRPr="00B06331" w:rsidTr="00D7018B">
        <w:trPr>
          <w:trHeight w:val="49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Youth unemployment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38% (2012)</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30% </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GBoS</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239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The national Quality Infrastructure improved</w:t>
            </w: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Number of standards published</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33 </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400 </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TGSB/MOTIE</w:t>
            </w:r>
          </w:p>
        </w:tc>
        <w:tc>
          <w:tcPr>
            <w:tcW w:w="6254" w:type="dxa"/>
            <w:gridSpan w:val="4"/>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0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Adequate resources </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20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Retention of trained staff</w:t>
            </w:r>
          </w:p>
        </w:tc>
      </w:tr>
      <w:tr w:rsidR="00D7018B" w:rsidRPr="00B06331" w:rsidTr="00D7018B">
        <w:trPr>
          <w:trHeight w:val="5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Number of accredited testing  laboratories established</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0</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TGSB/MOTIE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Existence of certification service for products and management system established </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TGSB/MOTIE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2186" w:type="dxa"/>
            <w:gridSpan w:val="5"/>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an accredited national calibration laboratory</w:t>
            </w:r>
          </w:p>
        </w:tc>
        <w:tc>
          <w:tcPr>
            <w:tcW w:w="963"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1017"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598"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TGSB/MOTIE</w:t>
            </w:r>
          </w:p>
        </w:tc>
        <w:tc>
          <w:tcPr>
            <w:tcW w:w="12984" w:type="dxa"/>
            <w:gridSpan w:val="4"/>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bl>
    <w:p w:rsidR="00D7018B" w:rsidRPr="00B06331" w:rsidRDefault="00D7018B" w:rsidP="00D7018B">
      <w:pPr>
        <w:rPr>
          <w:rFonts w:ascii="Times New Roman" w:eastAsiaTheme="minorEastAsia" w:hAnsi="Times New Roman"/>
          <w:sz w:val="20"/>
          <w:szCs w:val="20"/>
        </w:rPr>
      </w:pPr>
    </w:p>
    <w:tbl>
      <w:tblPr>
        <w:tblpPr w:leftFromText="180" w:rightFromText="180" w:bottomFromText="160" w:vertAnchor="text" w:horzAnchor="margin" w:tblpXSpec="center" w:tblpY="100"/>
        <w:tblOverlap w:val="neve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475"/>
        <w:gridCol w:w="1975"/>
        <w:gridCol w:w="45"/>
        <w:gridCol w:w="1130"/>
        <w:gridCol w:w="992"/>
        <w:gridCol w:w="1624"/>
        <w:gridCol w:w="30"/>
        <w:gridCol w:w="6039"/>
      </w:tblGrid>
      <w:tr w:rsidR="00D7018B" w:rsidRPr="00B06331" w:rsidTr="00D7018B">
        <w:trPr>
          <w:trHeight w:val="510"/>
        </w:trPr>
        <w:tc>
          <w:tcPr>
            <w:tcW w:w="14305" w:type="dxa"/>
            <w:gridSpan w:val="8"/>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4400"/>
            </w:tblGrid>
            <w:tr w:rsidR="00D7018B" w:rsidRPr="00B06331">
              <w:trPr>
                <w:trHeight w:val="77"/>
              </w:trPr>
              <w:tc>
                <w:tcPr>
                  <w:tcW w:w="1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eastAsiaTheme="minorHAnsi" w:hAnsi="Times New Roman"/>
                      <w:b/>
                      <w:sz w:val="20"/>
                      <w:szCs w:val="20"/>
                    </w:rPr>
                  </w:pPr>
                  <w:r w:rsidRPr="00B06331">
                    <w:rPr>
                      <w:rFonts w:ascii="Times New Roman" w:hAnsi="Times New Roman"/>
                      <w:b/>
                      <w:bCs/>
                      <w:sz w:val="20"/>
                      <w:szCs w:val="20"/>
                      <w:lang w:val="en-GB" w:bidi="en-US"/>
                    </w:rPr>
                    <w:t xml:space="preserve">Critical Enabler 1: </w:t>
                  </w:r>
                  <w:r w:rsidRPr="00B06331">
                    <w:rPr>
                      <w:rFonts w:ascii="Times New Roman" w:eastAsiaTheme="minorHAnsi" w:hAnsi="Times New Roman"/>
                      <w:b/>
                      <w:sz w:val="20"/>
                      <w:szCs w:val="20"/>
                    </w:rPr>
                    <w:t xml:space="preserve">   Strengthening public institutions </w:t>
                  </w:r>
                </w:p>
              </w:tc>
            </w:tr>
            <w:tr w:rsidR="00D7018B" w:rsidRPr="00B06331">
              <w:trPr>
                <w:trHeight w:val="510"/>
              </w:trPr>
              <w:tc>
                <w:tcPr>
                  <w:tcW w:w="1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eastAsiaTheme="minorHAnsi" w:hAnsi="Times New Roman"/>
                      <w:b/>
                      <w:sz w:val="20"/>
                      <w:szCs w:val="20"/>
                    </w:rPr>
                  </w:pPr>
                  <w:r w:rsidRPr="00B06331">
                    <w:rPr>
                      <w:rFonts w:ascii="Times New Roman" w:hAnsi="Times New Roman"/>
                      <w:b/>
                      <w:bCs/>
                      <w:sz w:val="20"/>
                      <w:szCs w:val="20"/>
                      <w:lang w:val="en-GB" w:bidi="en-US"/>
                    </w:rPr>
                    <w:t>Goal:</w:t>
                  </w:r>
                  <w:r w:rsidRPr="00B06331">
                    <w:rPr>
                      <w:rFonts w:ascii="Times New Roman" w:eastAsiaTheme="minorHAnsi" w:hAnsi="Times New Roman"/>
                      <w:sz w:val="20"/>
                      <w:szCs w:val="20"/>
                    </w:rPr>
                    <w:t>Efficient and responsive public sector institutions</w:t>
                  </w:r>
                </w:p>
              </w:tc>
            </w:tr>
          </w:tbl>
          <w:p w:rsidR="00D7018B" w:rsidRPr="00B06331" w:rsidRDefault="00D7018B">
            <w:pPr>
              <w:jc w:val="both"/>
              <w:rPr>
                <w:rFonts w:ascii="Times New Roman" w:hAnsi="Times New Roman"/>
                <w:b/>
                <w:bCs/>
                <w:sz w:val="20"/>
                <w:szCs w:val="20"/>
                <w:lang w:val="en-GB" w:bidi="en-US"/>
              </w:rPr>
            </w:pPr>
          </w:p>
        </w:tc>
      </w:tr>
      <w:tr w:rsidR="00D7018B" w:rsidRPr="00B06331" w:rsidTr="00D7018B">
        <w:trPr>
          <w:trHeight w:val="325"/>
        </w:trPr>
        <w:tc>
          <w:tcPr>
            <w:tcW w:w="2474"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numPr>
                <w:ilvl w:val="0"/>
                <w:numId w:val="155"/>
              </w:numPr>
              <w:spacing w:after="0" w:line="240" w:lineRule="auto"/>
              <w:contextualSpacing/>
              <w:rPr>
                <w:rFonts w:ascii="Times New Roman" w:eastAsiaTheme="minorHAnsi" w:hAnsi="Times New Roman"/>
                <w:sz w:val="20"/>
                <w:szCs w:val="20"/>
              </w:rPr>
            </w:pPr>
            <w:r w:rsidRPr="00B06331">
              <w:rPr>
                <w:rFonts w:ascii="Times New Roman" w:eastAsiaTheme="minorHAnsi" w:hAnsi="Times New Roman"/>
                <w:sz w:val="20"/>
                <w:szCs w:val="20"/>
              </w:rPr>
              <w:t>Appropriately remunerated, motivated and well-managed public service</w:t>
            </w: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eastAsiaTheme="minorHAnsi" w:hAnsi="Times New Roman"/>
                <w:sz w:val="20"/>
                <w:szCs w:val="20"/>
              </w:rPr>
              <w:t xml:space="preserve">% increase in salaries and pensions payment </w:t>
            </w:r>
          </w:p>
        </w:tc>
        <w:tc>
          <w:tcPr>
            <w:tcW w:w="1130"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5%</w:t>
            </w:r>
          </w:p>
        </w:tc>
        <w:tc>
          <w:tcPr>
            <w:tcW w:w="1623"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 xml:space="preserve">MoFEA Budgets and Financial Statement </w:t>
            </w:r>
          </w:p>
        </w:tc>
        <w:tc>
          <w:tcPr>
            <w:tcW w:w="6062" w:type="dxa"/>
            <w:gridSpan w:val="2"/>
            <w:vMerge w:val="restart"/>
            <w:tcBorders>
              <w:top w:val="single" w:sz="4" w:space="0" w:color="auto"/>
              <w:left w:val="single" w:sz="4" w:space="0" w:color="auto"/>
              <w:bottom w:val="single" w:sz="4" w:space="0" w:color="auto"/>
              <w:right w:val="single" w:sz="4" w:space="0" w:color="auto"/>
            </w:tcBorders>
            <w:vAlign w:val="center"/>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0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Commitment to the zero growth and civil service reform programme policies</w:t>
            </w:r>
          </w:p>
          <w:p w:rsidR="00D7018B" w:rsidRPr="00B06331" w:rsidRDefault="00D7018B" w:rsidP="00764ED7">
            <w:pPr>
              <w:pStyle w:val="ListParagraph"/>
              <w:numPr>
                <w:ilvl w:val="0"/>
                <w:numId w:val="20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Leadership commitment</w:t>
            </w: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pStyle w:val="ListParagraph"/>
              <w:spacing w:after="0" w:line="240" w:lineRule="auto"/>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203"/>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lastRenderedPageBreak/>
              <w:t>High turnover and retention rates</w:t>
            </w:r>
          </w:p>
          <w:p w:rsidR="00D7018B" w:rsidRPr="00B06331" w:rsidRDefault="00D7018B" w:rsidP="00764ED7">
            <w:pPr>
              <w:pStyle w:val="ListParagraph"/>
              <w:numPr>
                <w:ilvl w:val="0"/>
                <w:numId w:val="203"/>
              </w:numPr>
              <w:spacing w:after="0" w:line="240" w:lineRule="auto"/>
              <w:rPr>
                <w:rFonts w:ascii="Times New Roman" w:hAnsi="Times New Roman"/>
                <w:b/>
                <w:bCs/>
                <w:sz w:val="20"/>
                <w:szCs w:val="20"/>
                <w:lang w:val="en-GB" w:bidi="en-US"/>
              </w:rPr>
            </w:pPr>
            <w:r w:rsidRPr="00B06331">
              <w:rPr>
                <w:rFonts w:ascii="Times New Roman" w:hAnsi="Times New Roman"/>
                <w:b/>
                <w:sz w:val="20"/>
                <w:szCs w:val="20"/>
                <w:lang w:val="en-GB" w:bidi="en-US"/>
              </w:rPr>
              <w:t>Poor work practises</w:t>
            </w:r>
          </w:p>
        </w:tc>
      </w:tr>
      <w:tr w:rsidR="00D7018B" w:rsidRPr="00B06331" w:rsidTr="00D7018B">
        <w:trPr>
          <w:trHeight w:val="3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HAnsi" w:hAnsi="Times New Roman"/>
                <w:sz w:val="20"/>
                <w:szCs w:val="20"/>
              </w:rPr>
            </w:pP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 xml:space="preserve">Number of MDAs Inspected (staff </w:t>
            </w:r>
            <w:r w:rsidRPr="00B06331">
              <w:rPr>
                <w:rFonts w:ascii="Times New Roman" w:eastAsiaTheme="minorHAnsi" w:hAnsi="Times New Roman"/>
                <w:sz w:val="20"/>
                <w:szCs w:val="20"/>
              </w:rPr>
              <w:lastRenderedPageBreak/>
              <w:t>inspection exercises)</w:t>
            </w:r>
          </w:p>
        </w:tc>
        <w:tc>
          <w:tcPr>
            <w:tcW w:w="1130"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lastRenderedPageBreak/>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18</w:t>
            </w:r>
          </w:p>
        </w:tc>
        <w:tc>
          <w:tcPr>
            <w:tcW w:w="1623"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 xml:space="preserve">PMO personnel </w:t>
            </w:r>
            <w:r w:rsidRPr="00B06331">
              <w:rPr>
                <w:rFonts w:ascii="Times New Roman" w:eastAsiaTheme="minorHAnsi" w:hAnsi="Times New Roman"/>
                <w:sz w:val="20"/>
                <w:szCs w:val="20"/>
              </w:rPr>
              <w:lastRenderedPageBreak/>
              <w:t>audits</w:t>
            </w:r>
          </w:p>
        </w:tc>
        <w:tc>
          <w:tcPr>
            <w:tcW w:w="6637"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3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HAnsi" w:hAnsi="Times New Roman"/>
                <w:sz w:val="20"/>
                <w:szCs w:val="20"/>
              </w:rPr>
            </w:pP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 xml:space="preserve">Number of staff audit exercises </w:t>
            </w:r>
          </w:p>
        </w:tc>
        <w:tc>
          <w:tcPr>
            <w:tcW w:w="1130"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3</w:t>
            </w:r>
          </w:p>
        </w:tc>
        <w:tc>
          <w:tcPr>
            <w:tcW w:w="1623"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PMO personnel audits</w:t>
            </w:r>
          </w:p>
        </w:tc>
        <w:tc>
          <w:tcPr>
            <w:tcW w:w="6637"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3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HAnsi" w:hAnsi="Times New Roman"/>
                <w:sz w:val="20"/>
                <w:szCs w:val="20"/>
              </w:rPr>
            </w:pP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Existence of a pay and pensions Policy</w:t>
            </w:r>
          </w:p>
        </w:tc>
        <w:tc>
          <w:tcPr>
            <w:tcW w:w="1130"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Yes</w:t>
            </w:r>
          </w:p>
        </w:tc>
        <w:tc>
          <w:tcPr>
            <w:tcW w:w="1623"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HAnsi" w:hAnsi="Times New Roman"/>
                <w:sz w:val="20"/>
                <w:szCs w:val="20"/>
              </w:rPr>
            </w:pPr>
            <w:r w:rsidRPr="00B06331">
              <w:rPr>
                <w:rFonts w:ascii="Times New Roman" w:eastAsiaTheme="minorHAnsi" w:hAnsi="Times New Roman"/>
                <w:sz w:val="20"/>
                <w:szCs w:val="20"/>
              </w:rPr>
              <w:t>Gambia Gazette</w:t>
            </w:r>
          </w:p>
        </w:tc>
        <w:tc>
          <w:tcPr>
            <w:tcW w:w="6637" w:type="dxa"/>
            <w:gridSpan w:val="2"/>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77"/>
        </w:trPr>
        <w:tc>
          <w:tcPr>
            <w:tcW w:w="14305" w:type="dxa"/>
            <w:gridSpan w:val="8"/>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b/>
                      <w:sz w:val="20"/>
                      <w:szCs w:val="20"/>
                    </w:rPr>
                  </w:pPr>
                  <w:r w:rsidRPr="00B06331">
                    <w:rPr>
                      <w:rFonts w:ascii="Times New Roman" w:hAnsi="Times New Roman"/>
                      <w:b/>
                      <w:bCs/>
                      <w:sz w:val="20"/>
                      <w:szCs w:val="20"/>
                      <w:lang w:val="en-GB" w:bidi="en-US"/>
                    </w:rPr>
                    <w:t xml:space="preserve">Critical Enabler 2: </w:t>
                  </w:r>
                  <w:r w:rsidRPr="00B06331">
                    <w:rPr>
                      <w:rFonts w:ascii="Times New Roman" w:hAnsi="Times New Roman"/>
                      <w:b/>
                      <w:sz w:val="20"/>
                      <w:szCs w:val="20"/>
                    </w:rPr>
                    <w:t xml:space="preserve"> Women’s Empowerment</w:t>
                  </w:r>
                </w:p>
              </w:tc>
            </w:tr>
            <w:tr w:rsidR="00D7018B" w:rsidRPr="00B06331">
              <w:trPr>
                <w:trHeight w:val="51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b/>
                      <w:bCs/>
                      <w:sz w:val="20"/>
                      <w:szCs w:val="20"/>
                      <w:lang w:val="en-GB" w:bidi="en-US"/>
                    </w:rPr>
                    <w:t xml:space="preserve">Goal 1: To promote gender equity, equality, and empowerment of women and girls for sustained socio-economic </w:t>
                  </w:r>
                </w:p>
                <w:p w:rsidR="00D7018B" w:rsidRPr="00B06331" w:rsidRDefault="00D7018B">
                  <w:pPr>
                    <w:jc w:val="both"/>
                    <w:rPr>
                      <w:rFonts w:ascii="Times New Roman" w:hAnsi="Times New Roman"/>
                      <w:b/>
                      <w:bCs/>
                      <w:sz w:val="20"/>
                      <w:szCs w:val="20"/>
                      <w:lang w:val="en-GB" w:bidi="en-US"/>
                    </w:rPr>
                  </w:pPr>
                  <w:r w:rsidRPr="00B06331">
                    <w:rPr>
                      <w:rFonts w:ascii="Times New Roman" w:hAnsi="Times New Roman"/>
                      <w:b/>
                      <w:bCs/>
                      <w:sz w:val="20"/>
                      <w:szCs w:val="20"/>
                      <w:lang w:val="en-GB" w:bidi="en-US"/>
                    </w:rPr>
                    <w:t xml:space="preserve">development </w:t>
                  </w:r>
                </w:p>
              </w:tc>
            </w:tr>
          </w:tbl>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rsidTr="00D7018B">
        <w:trPr>
          <w:trHeight w:val="77"/>
        </w:trPr>
        <w:tc>
          <w:tcPr>
            <w:tcW w:w="2474"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 Enhanced women’s  economic empowerment and sustainable livelihoods</w:t>
            </w:r>
          </w:p>
        </w:tc>
        <w:tc>
          <w:tcPr>
            <w:tcW w:w="1974"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 of gender mainstreamed sector policies</w:t>
            </w:r>
          </w:p>
          <w:p w:rsidR="00D7018B" w:rsidRPr="00B06331" w:rsidRDefault="00D7018B">
            <w:pPr>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16</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Periodic CEDAW Report </w:t>
            </w:r>
          </w:p>
        </w:tc>
        <w:tc>
          <w:tcPr>
            <w:tcW w:w="6037"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04"/>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High political will for women economic empowerment </w:t>
            </w:r>
          </w:p>
          <w:p w:rsidR="00D7018B" w:rsidRPr="00B06331" w:rsidRDefault="00D7018B" w:rsidP="00764ED7">
            <w:pPr>
              <w:pStyle w:val="ListParagraph"/>
              <w:numPr>
                <w:ilvl w:val="0"/>
                <w:numId w:val="204"/>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Availability of resources </w:t>
            </w:r>
          </w:p>
          <w:p w:rsidR="00D7018B" w:rsidRPr="00B06331" w:rsidRDefault="00D7018B" w:rsidP="00764ED7">
            <w:pPr>
              <w:pStyle w:val="ListParagraph"/>
              <w:numPr>
                <w:ilvl w:val="0"/>
                <w:numId w:val="204"/>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Availability of policies ready for mainstreaming </w:t>
            </w:r>
          </w:p>
          <w:p w:rsidR="00D7018B" w:rsidRPr="00B06331" w:rsidRDefault="00D7018B" w:rsidP="00764ED7">
            <w:pPr>
              <w:pStyle w:val="ListParagraph"/>
              <w:numPr>
                <w:ilvl w:val="0"/>
                <w:numId w:val="204"/>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More women are engaged in entrepreneurship activities </w:t>
            </w:r>
          </w:p>
          <w:p w:rsidR="00D7018B" w:rsidRPr="00B06331" w:rsidRDefault="00D7018B">
            <w:pPr>
              <w:spacing w:after="0" w:line="240" w:lineRule="auto"/>
              <w:ind w:left="360"/>
              <w:rPr>
                <w:rFonts w:ascii="Times New Roman" w:hAnsi="Times New Roman"/>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Risks:</w:t>
            </w:r>
          </w:p>
          <w:p w:rsidR="00D7018B" w:rsidRPr="00B06331" w:rsidRDefault="00D7018B" w:rsidP="00764ED7">
            <w:pPr>
              <w:pStyle w:val="ListParagraph"/>
              <w:numPr>
                <w:ilvl w:val="0"/>
                <w:numId w:val="19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Inadequate capacity to mainstream gender in sector policies at MDA level</w:t>
            </w:r>
          </w:p>
          <w:p w:rsidR="00D7018B" w:rsidRPr="00B06331" w:rsidRDefault="00D7018B" w:rsidP="00764ED7">
            <w:pPr>
              <w:pStyle w:val="ListParagraph"/>
              <w:numPr>
                <w:ilvl w:val="0"/>
                <w:numId w:val="19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Inadequate resources to initiate the women enterprise fund </w:t>
            </w:r>
          </w:p>
          <w:p w:rsidR="00D7018B" w:rsidRPr="00B06331" w:rsidRDefault="00D7018B" w:rsidP="00764ED7">
            <w:pPr>
              <w:pStyle w:val="ListParagraph"/>
              <w:numPr>
                <w:ilvl w:val="0"/>
                <w:numId w:val="191"/>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Resistance from sectors to mainstream gender</w:t>
            </w:r>
          </w:p>
          <w:p w:rsidR="00D7018B" w:rsidRPr="00B06331" w:rsidRDefault="00D7018B">
            <w:pPr>
              <w:spacing w:after="0" w:line="240" w:lineRule="auto"/>
              <w:jc w:val="center"/>
              <w:rPr>
                <w:rFonts w:ascii="Times New Roman" w:hAnsi="Times New Roman"/>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Proportion of households below the poverty line headed by females </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IHS 2016 report </w:t>
            </w:r>
          </w:p>
        </w:tc>
        <w:tc>
          <w:tcPr>
            <w:tcW w:w="633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an enterprise development fund</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Bureau annual reports</w:t>
            </w:r>
          </w:p>
        </w:tc>
        <w:tc>
          <w:tcPr>
            <w:tcW w:w="633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77"/>
        </w:trPr>
        <w:tc>
          <w:tcPr>
            <w:tcW w:w="2474" w:type="dxa"/>
            <w:tcBorders>
              <w:top w:val="single" w:sz="4" w:space="0" w:color="auto"/>
              <w:left w:val="single" w:sz="4" w:space="0" w:color="auto"/>
              <w:bottom w:val="single" w:sz="4" w:space="0" w:color="auto"/>
              <w:right w:val="single" w:sz="4" w:space="0" w:color="auto"/>
            </w:tcBorders>
          </w:tcPr>
          <w:p w:rsidR="00D7018B" w:rsidRPr="00B06331" w:rsidRDefault="00D7018B">
            <w:pPr>
              <w:pStyle w:val="ListParagraph"/>
              <w:spacing w:after="0" w:line="240" w:lineRule="auto"/>
              <w:ind w:left="360"/>
              <w:rPr>
                <w:rFonts w:ascii="Times New Roman" w:eastAsiaTheme="minorEastAsia"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1175"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992"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1653" w:type="dxa"/>
            <w:gridSpan w:val="2"/>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6037"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jc w:val="center"/>
              <w:rPr>
                <w:rFonts w:ascii="Times New Roman" w:hAnsi="Times New Roman"/>
                <w:b/>
                <w:sz w:val="20"/>
                <w:szCs w:val="20"/>
                <w:lang w:val="en-GB" w:bidi="en-US"/>
              </w:rPr>
            </w:pPr>
          </w:p>
        </w:tc>
      </w:tr>
      <w:tr w:rsidR="00D7018B" w:rsidRPr="00B06331" w:rsidTr="00D7018B">
        <w:trPr>
          <w:trHeight w:val="77"/>
        </w:trPr>
        <w:tc>
          <w:tcPr>
            <w:tcW w:w="2474"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Increased representation and participation of </w:t>
            </w:r>
            <w:r w:rsidRPr="00B06331">
              <w:rPr>
                <w:rFonts w:ascii="Times New Roman" w:hAnsi="Times New Roman"/>
                <w:sz w:val="20"/>
                <w:szCs w:val="20"/>
              </w:rPr>
              <w:lastRenderedPageBreak/>
              <w:t xml:space="preserve">women in decision making </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Proportion of seats held by women in national parliaments</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30%</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Bureau annual reports</w:t>
            </w:r>
          </w:p>
        </w:tc>
        <w:tc>
          <w:tcPr>
            <w:tcW w:w="6037"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0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High political will </w:t>
            </w:r>
          </w:p>
          <w:p w:rsidR="00D7018B" w:rsidRPr="00B06331" w:rsidRDefault="00D7018B" w:rsidP="00764ED7">
            <w:pPr>
              <w:pStyle w:val="ListParagraph"/>
              <w:numPr>
                <w:ilvl w:val="0"/>
                <w:numId w:val="20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lastRenderedPageBreak/>
              <w:t xml:space="preserve">Numerical strength of women leaders </w:t>
            </w:r>
          </w:p>
          <w:p w:rsidR="00D7018B" w:rsidRPr="00B06331" w:rsidRDefault="00D7018B" w:rsidP="00764ED7">
            <w:pPr>
              <w:pStyle w:val="ListParagraph"/>
              <w:numPr>
                <w:ilvl w:val="0"/>
                <w:numId w:val="205"/>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Willingness to contest for political positions </w:t>
            </w: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Risk</w:t>
            </w:r>
          </w:p>
          <w:p w:rsidR="00D7018B" w:rsidRPr="00B06331" w:rsidRDefault="00D7018B" w:rsidP="00764ED7">
            <w:pPr>
              <w:pStyle w:val="ListParagraph"/>
              <w:numPr>
                <w:ilvl w:val="0"/>
                <w:numId w:val="20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Existing cultural norms and values </w:t>
            </w:r>
          </w:p>
          <w:p w:rsidR="00D7018B" w:rsidRPr="00B06331" w:rsidRDefault="00D7018B" w:rsidP="00764ED7">
            <w:pPr>
              <w:pStyle w:val="ListParagraph"/>
              <w:numPr>
                <w:ilvl w:val="0"/>
                <w:numId w:val="206"/>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Infighting among women leaders </w:t>
            </w: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women holding ministerial positions</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21%</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30%</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Bureau annual reports</w:t>
            </w:r>
          </w:p>
        </w:tc>
        <w:tc>
          <w:tcPr>
            <w:tcW w:w="633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r>
      <w:tr w:rsidR="00D7018B" w:rsidRPr="00B06331" w:rsidTr="00D7018B">
        <w:trPr>
          <w:trHeight w:val="77"/>
        </w:trPr>
        <w:tc>
          <w:tcPr>
            <w:tcW w:w="2474"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lastRenderedPageBreak/>
              <w:t xml:space="preserve">  Gender based violence reduced</w:t>
            </w: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girls and women aged 15-49 who have undergone FGM/C</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75%</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50%</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DHS,2013</w:t>
            </w:r>
          </w:p>
        </w:tc>
        <w:tc>
          <w:tcPr>
            <w:tcW w:w="6037"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07"/>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Existence of legal frameworks to address GBV </w:t>
            </w:r>
          </w:p>
          <w:p w:rsidR="00D7018B" w:rsidRPr="00B06331" w:rsidRDefault="00D7018B" w:rsidP="00764ED7">
            <w:pPr>
              <w:pStyle w:val="ListParagraph"/>
              <w:numPr>
                <w:ilvl w:val="0"/>
                <w:numId w:val="207"/>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Availability of GBV response mechanism </w:t>
            </w: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Risks: </w:t>
            </w:r>
          </w:p>
          <w:p w:rsidR="00D7018B" w:rsidRPr="00B06331" w:rsidRDefault="00D7018B" w:rsidP="00764ED7">
            <w:pPr>
              <w:pStyle w:val="ListParagraph"/>
              <w:numPr>
                <w:ilvl w:val="0"/>
                <w:numId w:val="20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Existing social and cultural norms </w:t>
            </w:r>
          </w:p>
          <w:p w:rsidR="00D7018B" w:rsidRPr="00B06331" w:rsidRDefault="00D7018B" w:rsidP="00764ED7">
            <w:pPr>
              <w:pStyle w:val="ListParagraph"/>
              <w:numPr>
                <w:ilvl w:val="0"/>
                <w:numId w:val="208"/>
              </w:numPr>
              <w:spacing w:after="0" w:line="240" w:lineRule="auto"/>
              <w:rPr>
                <w:rFonts w:ascii="Times New Roman" w:hAnsi="Times New Roman"/>
                <w:b/>
                <w:sz w:val="20"/>
                <w:szCs w:val="20"/>
                <w:lang w:val="en-GB" w:bidi="en-US"/>
              </w:rPr>
            </w:pPr>
            <w:r w:rsidRPr="00B06331">
              <w:rPr>
                <w:rFonts w:ascii="Times New Roman" w:hAnsi="Times New Roman"/>
                <w:sz w:val="20"/>
                <w:szCs w:val="20"/>
                <w:lang w:val="en-GB" w:bidi="en-US"/>
              </w:rPr>
              <w:t>Inadequate financing of the GBV Centre</w:t>
            </w: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women who are subjected to physical  violence</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40.9%</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10%</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DHS, 2013</w:t>
            </w:r>
          </w:p>
        </w:tc>
        <w:tc>
          <w:tcPr>
            <w:tcW w:w="633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a centre for survivors of domestic violence</w:t>
            </w:r>
          </w:p>
        </w:tc>
        <w:tc>
          <w:tcPr>
            <w:tcW w:w="1175"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53" w:type="dxa"/>
            <w:gridSpan w:val="2"/>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Bureau annual reports</w:t>
            </w:r>
          </w:p>
        </w:tc>
        <w:tc>
          <w:tcPr>
            <w:tcW w:w="6337"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bl>
    <w:p w:rsidR="00D7018B" w:rsidRPr="00B06331" w:rsidRDefault="00D7018B" w:rsidP="00D7018B">
      <w:pPr>
        <w:rPr>
          <w:rFonts w:ascii="Times New Roman" w:eastAsiaTheme="minorEastAsia" w:hAnsi="Times New Roman"/>
          <w:sz w:val="20"/>
          <w:szCs w:val="20"/>
        </w:rPr>
      </w:pPr>
    </w:p>
    <w:tbl>
      <w:tblPr>
        <w:tblpPr w:leftFromText="180" w:rightFromText="180" w:bottomFromText="160" w:vertAnchor="text" w:horzAnchor="margin" w:tblpXSpec="center" w:tblpY="100"/>
        <w:tblOverlap w:val="neve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474"/>
        <w:gridCol w:w="1976"/>
        <w:gridCol w:w="1172"/>
        <w:gridCol w:w="992"/>
        <w:gridCol w:w="1625"/>
        <w:gridCol w:w="6161"/>
      </w:tblGrid>
      <w:tr w:rsidR="00D7018B" w:rsidRPr="00B06331" w:rsidTr="00D7018B">
        <w:trPr>
          <w:trHeight w:val="77"/>
        </w:trPr>
        <w:tc>
          <w:tcPr>
            <w:tcW w:w="14395"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hAnsi="Times New Roman"/>
                <w:b/>
                <w:sz w:val="20"/>
                <w:szCs w:val="20"/>
              </w:rPr>
            </w:pPr>
            <w:r w:rsidRPr="00B06331">
              <w:rPr>
                <w:rFonts w:ascii="Times New Roman" w:hAnsi="Times New Roman"/>
                <w:b/>
                <w:bCs/>
                <w:sz w:val="20"/>
                <w:szCs w:val="20"/>
                <w:lang w:val="en-GB" w:bidi="en-US"/>
              </w:rPr>
              <w:t xml:space="preserve">Critical Enabler 3: </w:t>
            </w:r>
            <w:r w:rsidRPr="00B06331">
              <w:rPr>
                <w:rFonts w:ascii="Times New Roman" w:hAnsi="Times New Roman"/>
                <w:b/>
                <w:sz w:val="20"/>
                <w:szCs w:val="20"/>
              </w:rPr>
              <w:t xml:space="preserve"> Environment, Natural Resource Management, Climate Change and Disaster Reduction</w:t>
            </w:r>
          </w:p>
        </w:tc>
      </w:tr>
      <w:tr w:rsidR="00D7018B" w:rsidRPr="00B06331" w:rsidTr="00D7018B">
        <w:trPr>
          <w:trHeight w:val="510"/>
        </w:trPr>
        <w:tc>
          <w:tcPr>
            <w:tcW w:w="14395"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jc w:val="both"/>
              <w:rPr>
                <w:rFonts w:ascii="Times New Roman" w:hAnsi="Times New Roman"/>
                <w:b/>
                <w:sz w:val="20"/>
                <w:szCs w:val="20"/>
              </w:rPr>
            </w:pPr>
            <w:r w:rsidRPr="00B06331">
              <w:rPr>
                <w:rFonts w:ascii="Times New Roman" w:hAnsi="Times New Roman"/>
                <w:b/>
                <w:bCs/>
                <w:sz w:val="20"/>
                <w:szCs w:val="20"/>
                <w:lang w:val="en-GB" w:bidi="en-US"/>
              </w:rPr>
              <w:t>Goal:</w:t>
            </w:r>
            <w:r w:rsidRPr="00B06331">
              <w:rPr>
                <w:rFonts w:ascii="Times New Roman" w:hAnsi="Times New Roman"/>
                <w:sz w:val="20"/>
                <w:szCs w:val="20"/>
              </w:rPr>
              <w:t xml:space="preserve">  ToEnsure that Gambia’s environment and natural resources are sustainably managed and conserved for the benefit of all</w:t>
            </w:r>
          </w:p>
        </w:tc>
      </w:tr>
      <w:tr w:rsidR="00D7018B" w:rsidRPr="00B06331" w:rsidTr="00D7018B">
        <w:trPr>
          <w:trHeight w:val="490"/>
        </w:trPr>
        <w:tc>
          <w:tcPr>
            <w:tcW w:w="2473"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rPr>
            </w:pPr>
            <w:r w:rsidRPr="00B06331">
              <w:rPr>
                <w:rFonts w:ascii="Times New Roman" w:hAnsi="Times New Roman"/>
                <w:sz w:val="20"/>
                <w:szCs w:val="20"/>
              </w:rPr>
              <w:t>Environment and climate change friendly policies, programmes and awareness strengthened at all levels for resilience</w:t>
            </w:r>
          </w:p>
        </w:tc>
        <w:tc>
          <w:tcPr>
            <w:tcW w:w="1975" w:type="dxa"/>
            <w:tcBorders>
              <w:top w:val="single" w:sz="4" w:space="0" w:color="auto"/>
              <w:left w:val="single" w:sz="4" w:space="0" w:color="auto"/>
              <w:bottom w:val="single" w:sz="4" w:space="0" w:color="auto"/>
              <w:right w:val="single" w:sz="4" w:space="0" w:color="auto"/>
            </w:tcBorders>
            <w:vAlign w:val="center"/>
            <w:hideMark/>
          </w:tcPr>
          <w:tbl>
            <w:tblPr>
              <w:tblW w:w="0" w:type="auto"/>
              <w:tblLayout w:type="fixed"/>
              <w:tblLook w:val="04A0"/>
            </w:tblPr>
            <w:tblGrid>
              <w:gridCol w:w="1175"/>
            </w:tblGrid>
            <w:tr w:rsidR="00D7018B" w:rsidRPr="00B06331">
              <w:trPr>
                <w:trHeight w:val="98"/>
              </w:trPr>
              <w:tc>
                <w:tcPr>
                  <w:tcW w:w="1175" w:type="dxa"/>
                  <w:tcBorders>
                    <w:top w:val="nil"/>
                    <w:left w:val="nil"/>
                    <w:bottom w:val="nil"/>
                    <w:right w:val="nil"/>
                  </w:tcBorders>
                  <w:hideMark/>
                </w:tcPr>
                <w:p w:rsidR="00D7018B" w:rsidRPr="00B06331" w:rsidRDefault="00D7018B" w:rsidP="00FD4AC6">
                  <w:pPr>
                    <w:framePr w:hSpace="180" w:wrap="around" w:vAnchor="text" w:hAnchor="margin" w:xAlign="center" w:y="100"/>
                    <w:autoSpaceDE w:val="0"/>
                    <w:autoSpaceDN w:val="0"/>
                    <w:adjustRightInd w:val="0"/>
                    <w:spacing w:after="0" w:line="240" w:lineRule="auto"/>
                    <w:suppressOverlap/>
                    <w:rPr>
                      <w:rFonts w:ascii="Times New Roman" w:hAnsi="Times New Roman"/>
                      <w:sz w:val="20"/>
                      <w:szCs w:val="20"/>
                    </w:rPr>
                  </w:pPr>
                  <w:r w:rsidRPr="00B06331">
                    <w:rPr>
                      <w:rFonts w:ascii="Times New Roman" w:hAnsi="Times New Roman"/>
                      <w:sz w:val="20"/>
                      <w:szCs w:val="20"/>
                      <w:lang w:val="en-GB" w:bidi="en-US"/>
                    </w:rPr>
                    <w:t>CO2 emission</w:t>
                  </w:r>
                </w:p>
              </w:tc>
            </w:tr>
          </w:tbl>
          <w:p w:rsidR="00D7018B" w:rsidRPr="00B06331" w:rsidRDefault="00D7018B">
            <w:pPr>
              <w:jc w:val="both"/>
              <w:rPr>
                <w:rFonts w:ascii="Times New Roman" w:hAnsi="Times New Roman"/>
                <w:b/>
                <w:bCs/>
                <w:sz w:val="20"/>
                <w:szCs w:val="20"/>
                <w:lang w:val="en-GB" w:bidi="en-US"/>
              </w:rPr>
            </w:pP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Btw 2118 to 2528 GgCo2e</w:t>
            </w:r>
          </w:p>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(2016)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Btw 967.9 to 1155 GgCo2e  </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INDC 2016</w:t>
            </w:r>
          </w:p>
        </w:tc>
        <w:tc>
          <w:tcPr>
            <w:tcW w:w="6159" w:type="dxa"/>
            <w:vMerge w:val="restart"/>
            <w:tcBorders>
              <w:top w:val="single" w:sz="4" w:space="0" w:color="auto"/>
              <w:left w:val="single" w:sz="4" w:space="0" w:color="auto"/>
              <w:bottom w:val="single" w:sz="4" w:space="0" w:color="auto"/>
              <w:right w:val="single" w:sz="4" w:space="0" w:color="auto"/>
            </w:tcBorders>
            <w:vAlign w:val="center"/>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pStyle w:val="ListParagraph"/>
              <w:numPr>
                <w:ilvl w:val="0"/>
                <w:numId w:val="20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Political will</w:t>
            </w:r>
          </w:p>
          <w:p w:rsidR="00D7018B" w:rsidRPr="00B06331" w:rsidRDefault="00D7018B" w:rsidP="00764ED7">
            <w:pPr>
              <w:pStyle w:val="ListParagraph"/>
              <w:numPr>
                <w:ilvl w:val="0"/>
                <w:numId w:val="208"/>
              </w:num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Adequate resources</w:t>
            </w:r>
          </w:p>
          <w:p w:rsidR="00D7018B" w:rsidRPr="00B06331" w:rsidRDefault="00D7018B">
            <w:pPr>
              <w:pStyle w:val="ListParagraph"/>
              <w:spacing w:after="0" w:line="240" w:lineRule="auto"/>
              <w:rPr>
                <w:rFonts w:ascii="Times New Roman" w:hAnsi="Times New Roman"/>
                <w:sz w:val="20"/>
                <w:szCs w:val="20"/>
                <w:lang w:val="en-GB" w:bidi="en-US"/>
              </w:rPr>
            </w:pPr>
          </w:p>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pStyle w:val="ListParagraph"/>
              <w:numPr>
                <w:ilvl w:val="0"/>
                <w:numId w:val="208"/>
              </w:numPr>
              <w:spacing w:after="0" w:line="240" w:lineRule="auto"/>
              <w:rPr>
                <w:rFonts w:ascii="Times New Roman" w:hAnsi="Times New Roman"/>
                <w:b/>
                <w:bCs/>
                <w:sz w:val="20"/>
                <w:szCs w:val="20"/>
                <w:lang w:val="en-GB" w:bidi="en-US"/>
              </w:rPr>
            </w:pPr>
            <w:r w:rsidRPr="00B06331">
              <w:rPr>
                <w:rFonts w:ascii="Times New Roman" w:hAnsi="Times New Roman"/>
                <w:sz w:val="20"/>
                <w:szCs w:val="20"/>
                <w:lang w:val="en-GB" w:bidi="en-US"/>
              </w:rPr>
              <w:t>Ineffective and overlapping coordination mechanisms</w:t>
            </w:r>
          </w:p>
        </w:tc>
      </w:tr>
      <w:tr w:rsidR="00D7018B" w:rsidRPr="00B06331" w:rsidTr="00D7018B">
        <w:trPr>
          <w:trHeight w:val="49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sz w:val="20"/>
                <w:szCs w:val="20"/>
                <w:lang w:val="en-GB" w:bidi="en-US"/>
              </w:rPr>
              <w:t>Availability of a updated NEMA</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NEA annual reports</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325"/>
        </w:trPr>
        <w:tc>
          <w:tcPr>
            <w:tcW w:w="2473"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lastRenderedPageBreak/>
              <w:t>Emergency and disaster risk reduction response strengthened at all levels</w:t>
            </w: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Number of communities implementing adaptive mechanisms</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100</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MECCNAR reports</w:t>
            </w:r>
          </w:p>
        </w:tc>
        <w:tc>
          <w:tcPr>
            <w:tcW w:w="6159" w:type="dxa"/>
            <w:vMerge w:val="restart"/>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pStyle w:val="ListParagraph"/>
              <w:numPr>
                <w:ilvl w:val="0"/>
                <w:numId w:val="209"/>
              </w:numPr>
              <w:jc w:val="both"/>
              <w:rPr>
                <w:rFonts w:ascii="Times New Roman" w:hAnsi="Times New Roman"/>
                <w:sz w:val="20"/>
                <w:szCs w:val="20"/>
                <w:lang w:val="en-GB" w:bidi="en-US"/>
              </w:rPr>
            </w:pPr>
            <w:r w:rsidRPr="00B06331">
              <w:rPr>
                <w:rFonts w:ascii="Times New Roman" w:hAnsi="Times New Roman"/>
                <w:sz w:val="20"/>
                <w:szCs w:val="20"/>
                <w:lang w:val="en-GB" w:bidi="en-US"/>
              </w:rPr>
              <w:t>Adequate resources</w:t>
            </w:r>
          </w:p>
          <w:p w:rsidR="00D7018B" w:rsidRPr="00B06331" w:rsidRDefault="00D7018B" w:rsidP="00764ED7">
            <w:pPr>
              <w:pStyle w:val="ListParagraph"/>
              <w:numPr>
                <w:ilvl w:val="0"/>
                <w:numId w:val="209"/>
              </w:numPr>
              <w:jc w:val="both"/>
              <w:rPr>
                <w:rFonts w:ascii="Times New Roman" w:hAnsi="Times New Roman"/>
                <w:sz w:val="20"/>
                <w:szCs w:val="20"/>
                <w:lang w:val="en-GB" w:bidi="en-US"/>
              </w:rPr>
            </w:pPr>
            <w:r w:rsidRPr="00B06331">
              <w:rPr>
                <w:rFonts w:ascii="Times New Roman" w:hAnsi="Times New Roman"/>
                <w:sz w:val="20"/>
                <w:szCs w:val="20"/>
                <w:lang w:val="en-GB" w:bidi="en-US"/>
              </w:rPr>
              <w:t>Scale of emergencies manageable at the national level</w:t>
            </w:r>
          </w:p>
          <w:p w:rsidR="00D7018B" w:rsidRPr="00B06331" w:rsidRDefault="00D7018B">
            <w:pPr>
              <w:pStyle w:val="ListParagraph"/>
              <w:jc w:val="both"/>
              <w:rPr>
                <w:rFonts w:ascii="Times New Roman" w:hAnsi="Times New Roman"/>
                <w:sz w:val="20"/>
                <w:szCs w:val="20"/>
                <w:lang w:val="en-GB" w:bidi="en-US"/>
              </w:rPr>
            </w:pPr>
          </w:p>
          <w:p w:rsidR="00D7018B" w:rsidRPr="00B06331" w:rsidRDefault="00D7018B">
            <w:pPr>
              <w:jc w:val="both"/>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pStyle w:val="ListParagraph"/>
              <w:numPr>
                <w:ilvl w:val="0"/>
                <w:numId w:val="210"/>
              </w:numPr>
              <w:jc w:val="both"/>
              <w:rPr>
                <w:rFonts w:ascii="Times New Roman" w:hAnsi="Times New Roman"/>
                <w:sz w:val="20"/>
                <w:szCs w:val="20"/>
                <w:lang w:val="en-GB" w:bidi="en-US"/>
              </w:rPr>
            </w:pPr>
            <w:r w:rsidRPr="00B06331">
              <w:rPr>
                <w:rFonts w:ascii="Times New Roman" w:hAnsi="Times New Roman"/>
                <w:sz w:val="20"/>
                <w:szCs w:val="20"/>
                <w:lang w:val="en-GB" w:bidi="en-US"/>
              </w:rPr>
              <w:t>Irregular and inadequate stimulation exercises</w:t>
            </w:r>
          </w:p>
          <w:p w:rsidR="00D7018B" w:rsidRPr="00B06331" w:rsidRDefault="00D7018B">
            <w:pPr>
              <w:pStyle w:val="ListParagraph"/>
              <w:jc w:val="both"/>
              <w:rPr>
                <w:rFonts w:ascii="Times New Roman" w:hAnsi="Times New Roman"/>
                <w:b/>
                <w:bCs/>
                <w:sz w:val="20"/>
                <w:szCs w:val="20"/>
                <w:lang w:val="en-GB" w:bidi="en-US"/>
              </w:rPr>
            </w:pPr>
          </w:p>
          <w:p w:rsidR="00D7018B" w:rsidRPr="00B06331" w:rsidRDefault="00D7018B">
            <w:pPr>
              <w:jc w:val="both"/>
              <w:rPr>
                <w:rFonts w:ascii="Times New Roman" w:hAnsi="Times New Roman"/>
                <w:b/>
                <w:bCs/>
                <w:sz w:val="20"/>
                <w:szCs w:val="20"/>
                <w:lang w:val="en-GB" w:bidi="en-US"/>
              </w:rPr>
            </w:pPr>
          </w:p>
          <w:p w:rsidR="00D7018B" w:rsidRPr="00B06331" w:rsidRDefault="00D7018B">
            <w:pPr>
              <w:jc w:val="both"/>
              <w:rPr>
                <w:rFonts w:ascii="Times New Roman" w:hAnsi="Times New Roman"/>
                <w:b/>
                <w:bCs/>
                <w:sz w:val="20"/>
                <w:szCs w:val="20"/>
                <w:lang w:val="en-GB" w:bidi="en-US"/>
              </w:rPr>
            </w:pPr>
          </w:p>
        </w:tc>
      </w:tr>
      <w:tr w:rsidR="00D7018B" w:rsidRPr="00B06331" w:rsidTr="00D7018B">
        <w:trPr>
          <w:trHeight w:val="325"/>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EastAsia" w:hAnsi="Times New Roman"/>
                <w:sz w:val="20"/>
                <w:szCs w:val="20"/>
              </w:rPr>
            </w:pPr>
            <w:r w:rsidRPr="00B06331">
              <w:rPr>
                <w:rFonts w:ascii="Times New Roman" w:hAnsi="Times New Roman"/>
                <w:sz w:val="20"/>
                <w:szCs w:val="20"/>
              </w:rPr>
              <w:t>Availability of a EWEA nationwide</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NDMA reports</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490"/>
        </w:trPr>
        <w:tc>
          <w:tcPr>
            <w:tcW w:w="2473"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Natural resources sustainably managed</w:t>
            </w: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sz w:val="20"/>
                <w:szCs w:val="20"/>
              </w:rPr>
            </w:pPr>
            <w:r w:rsidRPr="00B06331">
              <w:rPr>
                <w:rFonts w:ascii="Times New Roman" w:hAnsi="Times New Roman"/>
                <w:sz w:val="20"/>
                <w:szCs w:val="20"/>
              </w:rPr>
              <w:t>% of wildlife protected areas for coastal and marine</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10%</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NBSAP </w:t>
            </w:r>
          </w:p>
        </w:tc>
        <w:tc>
          <w:tcPr>
            <w:tcW w:w="6159" w:type="dxa"/>
            <w:vMerge w:val="restart"/>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sz w:val="20"/>
                <w:szCs w:val="20"/>
                <w:lang w:val="en-GB" w:bidi="en-US"/>
              </w:rPr>
            </w:pPr>
            <w:r w:rsidRPr="00B06331">
              <w:rPr>
                <w:rFonts w:ascii="Times New Roman" w:hAnsi="Times New Roman"/>
                <w:sz w:val="20"/>
                <w:szCs w:val="20"/>
                <w:lang w:val="en-GB" w:bidi="en-US"/>
              </w:rPr>
              <w:t>Assumptions:</w:t>
            </w:r>
          </w:p>
          <w:p w:rsidR="00D7018B" w:rsidRPr="00B06331" w:rsidRDefault="00D7018B" w:rsidP="00764ED7">
            <w:pPr>
              <w:pStyle w:val="ListParagraph"/>
              <w:numPr>
                <w:ilvl w:val="0"/>
                <w:numId w:val="209"/>
              </w:numPr>
              <w:jc w:val="both"/>
              <w:rPr>
                <w:rFonts w:ascii="Times New Roman" w:hAnsi="Times New Roman"/>
                <w:sz w:val="20"/>
                <w:szCs w:val="20"/>
                <w:lang w:val="en-GB" w:bidi="en-US"/>
              </w:rPr>
            </w:pPr>
            <w:r w:rsidRPr="00B06331">
              <w:rPr>
                <w:rFonts w:ascii="Times New Roman" w:hAnsi="Times New Roman"/>
                <w:sz w:val="20"/>
                <w:szCs w:val="20"/>
                <w:lang w:val="en-GB" w:bidi="en-US"/>
              </w:rPr>
              <w:t>Continuous community support</w:t>
            </w:r>
          </w:p>
          <w:p w:rsidR="00D7018B" w:rsidRPr="00B06331" w:rsidRDefault="00D7018B" w:rsidP="00764ED7">
            <w:pPr>
              <w:pStyle w:val="ListParagraph"/>
              <w:numPr>
                <w:ilvl w:val="0"/>
                <w:numId w:val="209"/>
              </w:numPr>
              <w:jc w:val="both"/>
              <w:rPr>
                <w:rFonts w:ascii="Times New Roman" w:hAnsi="Times New Roman"/>
                <w:sz w:val="20"/>
                <w:szCs w:val="20"/>
                <w:lang w:val="en-GB" w:bidi="en-US"/>
              </w:rPr>
            </w:pPr>
            <w:r w:rsidRPr="00B06331">
              <w:rPr>
                <w:rFonts w:ascii="Times New Roman" w:hAnsi="Times New Roman"/>
                <w:sz w:val="20"/>
                <w:szCs w:val="20"/>
                <w:lang w:val="en-GB" w:bidi="en-US"/>
              </w:rPr>
              <w:t>Political support</w:t>
            </w:r>
          </w:p>
          <w:p w:rsidR="00D7018B" w:rsidRPr="00B06331" w:rsidRDefault="00D7018B">
            <w:pPr>
              <w:pStyle w:val="ListParagraph"/>
              <w:jc w:val="both"/>
              <w:rPr>
                <w:rFonts w:ascii="Times New Roman" w:hAnsi="Times New Roman"/>
                <w:sz w:val="20"/>
                <w:szCs w:val="20"/>
                <w:lang w:val="en-GB" w:bidi="en-US"/>
              </w:rPr>
            </w:pPr>
          </w:p>
          <w:p w:rsidR="00D7018B" w:rsidRPr="00B06331" w:rsidRDefault="00D7018B">
            <w:pPr>
              <w:pStyle w:val="ListParagraph"/>
              <w:jc w:val="both"/>
              <w:rPr>
                <w:rFonts w:ascii="Times New Roman" w:hAnsi="Times New Roman"/>
                <w:sz w:val="20"/>
                <w:szCs w:val="20"/>
                <w:lang w:val="en-GB" w:bidi="en-US"/>
              </w:rPr>
            </w:pPr>
          </w:p>
          <w:p w:rsidR="00D7018B" w:rsidRPr="00B06331" w:rsidRDefault="00D7018B">
            <w:pPr>
              <w:jc w:val="both"/>
              <w:rPr>
                <w:rFonts w:ascii="Times New Roman" w:hAnsi="Times New Roman"/>
                <w:sz w:val="20"/>
                <w:szCs w:val="20"/>
                <w:lang w:val="en-GB" w:bidi="en-US"/>
              </w:rPr>
            </w:pPr>
            <w:r w:rsidRPr="00B06331">
              <w:rPr>
                <w:rFonts w:ascii="Times New Roman" w:hAnsi="Times New Roman"/>
                <w:sz w:val="20"/>
                <w:szCs w:val="20"/>
                <w:lang w:val="en-GB" w:bidi="en-US"/>
              </w:rPr>
              <w:t>Risks:</w:t>
            </w:r>
          </w:p>
          <w:p w:rsidR="00D7018B" w:rsidRPr="00B06331" w:rsidRDefault="00D7018B" w:rsidP="00764ED7">
            <w:pPr>
              <w:pStyle w:val="ListParagraph"/>
              <w:numPr>
                <w:ilvl w:val="0"/>
                <w:numId w:val="209"/>
              </w:numPr>
              <w:jc w:val="both"/>
              <w:rPr>
                <w:rFonts w:ascii="Times New Roman" w:hAnsi="Times New Roman"/>
                <w:sz w:val="20"/>
                <w:szCs w:val="20"/>
                <w:lang w:val="en-GB" w:bidi="en-US"/>
              </w:rPr>
            </w:pPr>
            <w:r w:rsidRPr="00B06331">
              <w:rPr>
                <w:rFonts w:ascii="Times New Roman" w:hAnsi="Times New Roman"/>
                <w:sz w:val="20"/>
                <w:szCs w:val="20"/>
                <w:lang w:val="en-GB" w:bidi="en-US"/>
              </w:rPr>
              <w:t>Land conflicts</w:t>
            </w:r>
          </w:p>
          <w:p w:rsidR="00D7018B" w:rsidRPr="00B06331" w:rsidRDefault="00D7018B" w:rsidP="00764ED7">
            <w:pPr>
              <w:pStyle w:val="ListParagraph"/>
              <w:numPr>
                <w:ilvl w:val="0"/>
                <w:numId w:val="209"/>
              </w:numPr>
              <w:jc w:val="both"/>
              <w:rPr>
                <w:rFonts w:ascii="Times New Roman" w:hAnsi="Times New Roman"/>
                <w:sz w:val="20"/>
                <w:szCs w:val="20"/>
                <w:lang w:val="en-GB" w:bidi="en-US"/>
              </w:rPr>
            </w:pPr>
            <w:r w:rsidRPr="00B06331">
              <w:rPr>
                <w:rFonts w:ascii="Times New Roman" w:hAnsi="Times New Roman"/>
                <w:sz w:val="20"/>
                <w:szCs w:val="20"/>
                <w:lang w:val="en-GB" w:bidi="en-US"/>
              </w:rPr>
              <w:t>Population  and poverty pressures</w:t>
            </w:r>
          </w:p>
          <w:p w:rsidR="00D7018B" w:rsidRPr="00B06331" w:rsidRDefault="00D7018B">
            <w:pPr>
              <w:jc w:val="both"/>
              <w:rPr>
                <w:rFonts w:ascii="Times New Roman" w:hAnsi="Times New Roman"/>
                <w:b/>
                <w:bCs/>
                <w:sz w:val="20"/>
                <w:szCs w:val="20"/>
                <w:lang w:val="en-GB" w:bidi="en-US"/>
              </w:rPr>
            </w:pPr>
          </w:p>
        </w:tc>
      </w:tr>
      <w:tr w:rsidR="00D7018B" w:rsidRPr="00B06331" w:rsidTr="00D7018B">
        <w:trPr>
          <w:trHeight w:val="49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eastAsiaTheme="minorEastAsia" w:hAnsi="Times New Roman"/>
                <w:sz w:val="20"/>
                <w:szCs w:val="20"/>
              </w:rPr>
            </w:pPr>
            <w:r w:rsidRPr="00B06331">
              <w:rPr>
                <w:rFonts w:ascii="Times New Roman" w:hAnsi="Times New Roman"/>
                <w:sz w:val="20"/>
                <w:szCs w:val="20"/>
              </w:rPr>
              <w:t>% of wildlife protected areas for terrestrial and inland</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5</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NBSAP</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49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sz w:val="20"/>
                <w:szCs w:val="20"/>
              </w:rPr>
              <w:t>Area of forest under community management</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70,000 hectares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200,000 hectares</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DoF reports</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49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1172"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992"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1624"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bCs/>
                <w:sz w:val="20"/>
                <w:szCs w:val="20"/>
                <w:lang w:val="en-GB" w:bidi="en-US"/>
              </w:rPr>
            </w:pPr>
          </w:p>
        </w:tc>
      </w:tr>
      <w:tr w:rsidR="00D7018B" w:rsidRPr="00B06331" w:rsidTr="00D7018B">
        <w:trPr>
          <w:trHeight w:val="510"/>
        </w:trPr>
        <w:tc>
          <w:tcPr>
            <w:tcW w:w="14395" w:type="dxa"/>
            <w:gridSpan w:val="6"/>
            <w:tcBorders>
              <w:top w:val="single" w:sz="4" w:space="0" w:color="auto"/>
              <w:left w:val="single" w:sz="4" w:space="0" w:color="auto"/>
              <w:bottom w:val="single" w:sz="4" w:space="0" w:color="auto"/>
              <w:right w:val="single" w:sz="4" w:space="0" w:color="auto"/>
            </w:tcBorders>
            <w:vAlign w:val="center"/>
            <w:hideMark/>
          </w:tcPr>
          <w:tbl>
            <w:tblPr>
              <w:tblpPr w:leftFromText="180" w:rightFromText="180" w:bottomFromText="160" w:vertAnchor="text" w:horzAnchor="margin" w:tblpXSpec="center" w:tblpY="100"/>
              <w:tblOverlap w:val="neve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4400"/>
            </w:tblGrid>
            <w:tr w:rsidR="00D7018B" w:rsidRPr="00B06331">
              <w:trPr>
                <w:trHeight w:val="77"/>
              </w:trPr>
              <w:tc>
                <w:tcPr>
                  <w:tcW w:w="1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b/>
                      <w:sz w:val="20"/>
                      <w:szCs w:val="20"/>
                    </w:rPr>
                  </w:pPr>
                  <w:r w:rsidRPr="00B06331">
                    <w:rPr>
                      <w:rFonts w:ascii="Times New Roman" w:hAnsi="Times New Roman"/>
                      <w:b/>
                      <w:bCs/>
                      <w:sz w:val="20"/>
                      <w:szCs w:val="20"/>
                      <w:lang w:val="en-GB" w:bidi="en-US"/>
                    </w:rPr>
                    <w:t xml:space="preserve">Critical Enabler 4: </w:t>
                  </w:r>
                  <w:r w:rsidRPr="00B06331">
                    <w:rPr>
                      <w:rFonts w:ascii="Times New Roman" w:hAnsi="Times New Roman"/>
                      <w:b/>
                      <w:sz w:val="20"/>
                      <w:szCs w:val="20"/>
                    </w:rPr>
                    <w:t xml:space="preserve"> Decentralization and Land Use Planning and Management   </w:t>
                  </w:r>
                </w:p>
              </w:tc>
            </w:tr>
            <w:tr w:rsidR="00D7018B" w:rsidRPr="00B06331">
              <w:trPr>
                <w:trHeight w:val="510"/>
              </w:trPr>
              <w:tc>
                <w:tcPr>
                  <w:tcW w:w="1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hAnsi="Times New Roman"/>
                      <w:b/>
                      <w:sz w:val="20"/>
                      <w:szCs w:val="20"/>
                    </w:rPr>
                  </w:pPr>
                  <w:r w:rsidRPr="00B06331">
                    <w:rPr>
                      <w:rFonts w:ascii="Times New Roman" w:hAnsi="Times New Roman"/>
                      <w:b/>
                      <w:bCs/>
                      <w:sz w:val="20"/>
                      <w:szCs w:val="20"/>
                      <w:lang w:val="en-GB" w:bidi="en-US"/>
                    </w:rPr>
                    <w:lastRenderedPageBreak/>
                    <w:t xml:space="preserve">Goal: </w:t>
                  </w:r>
                  <w:r w:rsidRPr="00B06331">
                    <w:rPr>
                      <w:rFonts w:ascii="Times New Roman" w:hAnsi="Times New Roman"/>
                      <w:sz w:val="20"/>
                      <w:szCs w:val="20"/>
                    </w:rPr>
                    <w:t xml:space="preserve">Fully empowered and functional local government structures coupled with a sustainable land management system that stimulates and responds to the demographic and economic trends of the Gambia. </w:t>
                  </w:r>
                </w:p>
              </w:tc>
            </w:tr>
          </w:tbl>
          <w:p w:rsidR="00D7018B" w:rsidRPr="00B06331" w:rsidRDefault="00D7018B">
            <w:pPr>
              <w:jc w:val="both"/>
              <w:rPr>
                <w:rFonts w:ascii="Times New Roman" w:hAnsi="Times New Roman"/>
                <w:b/>
                <w:bCs/>
                <w:sz w:val="20"/>
                <w:szCs w:val="20"/>
                <w:lang w:val="en-GB" w:bidi="en-US"/>
              </w:rPr>
            </w:pPr>
          </w:p>
        </w:tc>
      </w:tr>
      <w:tr w:rsidR="00D7018B" w:rsidRPr="00B06331" w:rsidTr="00D7018B">
        <w:trPr>
          <w:trHeight w:val="650"/>
        </w:trPr>
        <w:tc>
          <w:tcPr>
            <w:tcW w:w="2473"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lastRenderedPageBreak/>
              <w:t xml:space="preserve">Effective and harmonized policy and regulatory frameworks for enhanced coordination of decentralization programme and land </w:t>
            </w: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sz w:val="20"/>
                <w:szCs w:val="20"/>
              </w:rPr>
              <w:t>Availability of a national land policy</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MoLRG Annual Report</w:t>
            </w:r>
          </w:p>
        </w:tc>
        <w:tc>
          <w:tcPr>
            <w:tcW w:w="6159" w:type="dxa"/>
            <w:vMerge w:val="restart"/>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Assumptions: </w:t>
            </w:r>
          </w:p>
          <w:p w:rsidR="00D7018B" w:rsidRPr="00B06331" w:rsidRDefault="00D7018B" w:rsidP="00764ED7">
            <w:pPr>
              <w:pStyle w:val="ListParagraph"/>
              <w:numPr>
                <w:ilvl w:val="0"/>
                <w:numId w:val="211"/>
              </w:num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Cooperation of all partners </w:t>
            </w:r>
          </w:p>
          <w:p w:rsidR="00D7018B" w:rsidRPr="00B06331" w:rsidRDefault="00D7018B" w:rsidP="00764ED7">
            <w:pPr>
              <w:pStyle w:val="ListParagraph"/>
              <w:numPr>
                <w:ilvl w:val="0"/>
                <w:numId w:val="211"/>
              </w:num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Uninterrupted technical assistance from development partners </w:t>
            </w:r>
          </w:p>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Risks: </w:t>
            </w:r>
          </w:p>
          <w:p w:rsidR="00D7018B" w:rsidRPr="00B06331" w:rsidRDefault="00D7018B" w:rsidP="00764ED7">
            <w:pPr>
              <w:pStyle w:val="ListParagraph"/>
              <w:numPr>
                <w:ilvl w:val="0"/>
                <w:numId w:val="211"/>
              </w:num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High turnover rate of responsible technical cadre </w:t>
            </w:r>
          </w:p>
          <w:p w:rsidR="00D7018B" w:rsidRPr="00B06331" w:rsidRDefault="00D7018B">
            <w:pPr>
              <w:pStyle w:val="ListParagraph"/>
              <w:jc w:val="both"/>
              <w:rPr>
                <w:rFonts w:ascii="Times New Roman" w:hAnsi="Times New Roman"/>
                <w:bCs/>
                <w:sz w:val="20"/>
                <w:szCs w:val="20"/>
                <w:lang w:val="en-GB" w:bidi="en-US"/>
              </w:rPr>
            </w:pPr>
          </w:p>
        </w:tc>
      </w:tr>
      <w:tr w:rsidR="00D7018B" w:rsidRPr="00B06331" w:rsidTr="00D7018B">
        <w:trPr>
          <w:trHeight w:val="65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Availability of a Land Use plan</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MoLRG Annual Report</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Cs/>
                <w:sz w:val="20"/>
                <w:szCs w:val="20"/>
                <w:lang w:val="en-GB" w:bidi="en-US"/>
              </w:rPr>
            </w:pPr>
          </w:p>
        </w:tc>
      </w:tr>
      <w:tr w:rsidR="00D7018B" w:rsidRPr="00B06331" w:rsidTr="00D7018B">
        <w:trPr>
          <w:trHeight w:val="65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Availability of a Cadastral map of the country</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bCs/>
                <w:sz w:val="20"/>
                <w:szCs w:val="20"/>
                <w:lang w:val="en-GB" w:bidi="en-US"/>
              </w:rPr>
              <w:t>MoLRG Annual Report</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Cs/>
                <w:sz w:val="20"/>
                <w:szCs w:val="20"/>
                <w:lang w:val="en-GB" w:bidi="en-US"/>
              </w:rPr>
            </w:pPr>
          </w:p>
        </w:tc>
      </w:tr>
      <w:tr w:rsidR="00D7018B" w:rsidRPr="00B06331" w:rsidTr="00D7018B">
        <w:trPr>
          <w:trHeight w:val="490"/>
        </w:trPr>
        <w:tc>
          <w:tcPr>
            <w:tcW w:w="2473"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Strengthened human and institutional capacities for   decentralization </w:t>
            </w: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sz w:val="20"/>
                <w:szCs w:val="20"/>
              </w:rPr>
              <w:t>Proportion of professional staff in total council/LGA staff</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TBD</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TBD</w:t>
            </w:r>
          </w:p>
        </w:tc>
        <w:tc>
          <w:tcPr>
            <w:tcW w:w="1624"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15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eastAsiaTheme="minorEastAsia" w:hAnsi="Times New Roman"/>
                <w:sz w:val="20"/>
                <w:szCs w:val="20"/>
              </w:rPr>
            </w:pPr>
            <w:r w:rsidRPr="00B06331">
              <w:rPr>
                <w:rFonts w:ascii="Times New Roman" w:hAnsi="Times New Roman"/>
                <w:sz w:val="20"/>
                <w:szCs w:val="20"/>
              </w:rPr>
              <w:t xml:space="preserve">Assumptions: </w:t>
            </w:r>
          </w:p>
          <w:p w:rsidR="00D7018B" w:rsidRPr="00B06331" w:rsidRDefault="00D7018B" w:rsidP="00764ED7">
            <w:pPr>
              <w:pStyle w:val="ListParagraph"/>
              <w:numPr>
                <w:ilvl w:val="0"/>
                <w:numId w:val="212"/>
              </w:numPr>
              <w:rPr>
                <w:rFonts w:ascii="Times New Roman" w:hAnsi="Times New Roman"/>
                <w:sz w:val="20"/>
                <w:szCs w:val="20"/>
              </w:rPr>
            </w:pPr>
            <w:r w:rsidRPr="00B06331">
              <w:rPr>
                <w:rFonts w:ascii="Times New Roman" w:hAnsi="Times New Roman"/>
                <w:sz w:val="20"/>
                <w:szCs w:val="20"/>
              </w:rPr>
              <w:t xml:space="preserve">Fully implemented decentralization strategy </w:t>
            </w:r>
          </w:p>
          <w:p w:rsidR="00D7018B" w:rsidRPr="00B06331" w:rsidRDefault="00D7018B">
            <w:pPr>
              <w:ind w:left="360"/>
              <w:rPr>
                <w:rFonts w:ascii="Times New Roman" w:hAnsi="Times New Roman"/>
                <w:sz w:val="20"/>
                <w:szCs w:val="20"/>
              </w:rPr>
            </w:pPr>
            <w:r w:rsidRPr="00B06331">
              <w:rPr>
                <w:rFonts w:ascii="Times New Roman" w:hAnsi="Times New Roman"/>
                <w:sz w:val="20"/>
                <w:szCs w:val="20"/>
              </w:rPr>
              <w:t>Risks:</w:t>
            </w:r>
          </w:p>
          <w:p w:rsidR="00D7018B" w:rsidRPr="00B06331" w:rsidRDefault="00D7018B" w:rsidP="00764ED7">
            <w:pPr>
              <w:pStyle w:val="ListParagraph"/>
              <w:numPr>
                <w:ilvl w:val="0"/>
                <w:numId w:val="212"/>
              </w:numPr>
              <w:rPr>
                <w:rFonts w:ascii="Times New Roman" w:hAnsi="Times New Roman"/>
                <w:sz w:val="20"/>
                <w:szCs w:val="20"/>
              </w:rPr>
            </w:pPr>
            <w:r w:rsidRPr="00B06331">
              <w:rPr>
                <w:rFonts w:ascii="Times New Roman" w:hAnsi="Times New Roman"/>
                <w:sz w:val="20"/>
                <w:szCs w:val="20"/>
              </w:rPr>
              <w:t>Loss of employment opportunities</w:t>
            </w:r>
          </w:p>
          <w:p w:rsidR="00D7018B" w:rsidRPr="00B06331" w:rsidRDefault="00D7018B" w:rsidP="00764ED7">
            <w:pPr>
              <w:pStyle w:val="ListParagraph"/>
              <w:numPr>
                <w:ilvl w:val="0"/>
                <w:numId w:val="212"/>
              </w:numPr>
              <w:rPr>
                <w:rFonts w:ascii="Times New Roman" w:hAnsi="Times New Roman"/>
                <w:sz w:val="20"/>
                <w:szCs w:val="20"/>
              </w:rPr>
            </w:pPr>
            <w:r w:rsidRPr="00B06331">
              <w:rPr>
                <w:rFonts w:ascii="Times New Roman" w:hAnsi="Times New Roman"/>
                <w:sz w:val="20"/>
                <w:szCs w:val="20"/>
              </w:rPr>
              <w:t>Resistance to devolution of power</w:t>
            </w:r>
          </w:p>
        </w:tc>
      </w:tr>
      <w:tr w:rsidR="00D7018B" w:rsidRPr="00B06331" w:rsidTr="00D7018B">
        <w:trPr>
          <w:trHeight w:val="49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sz w:val="20"/>
                <w:szCs w:val="20"/>
              </w:rPr>
              <w:t>Availability of strategic plans at all the LGAs</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TBD</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TBD</w:t>
            </w:r>
          </w:p>
        </w:tc>
        <w:tc>
          <w:tcPr>
            <w:tcW w:w="1624"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r>
      <w:tr w:rsidR="00D7018B" w:rsidRPr="00B06331" w:rsidTr="00D7018B">
        <w:trPr>
          <w:trHeight w:val="63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Number of VDCs, WDCs, SWDCs with implemented Action Plans</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 xml:space="preserve">100% </w:t>
            </w:r>
          </w:p>
        </w:tc>
        <w:tc>
          <w:tcPr>
            <w:tcW w:w="1624"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center"/>
              <w:rPr>
                <w:rFonts w:ascii="Times New Roman" w:hAnsi="Times New Roman"/>
                <w:b/>
                <w:bCs/>
                <w:sz w:val="20"/>
                <w:szCs w:val="20"/>
                <w:lang w:val="en-GB" w:bidi="en-US"/>
              </w:rPr>
            </w:pP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r>
      <w:tr w:rsidR="00D7018B" w:rsidRPr="00B06331" w:rsidTr="00D7018B">
        <w:trPr>
          <w:trHeight w:val="650"/>
        </w:trPr>
        <w:tc>
          <w:tcPr>
            <w:tcW w:w="2473"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rsidP="00764ED7">
            <w:pPr>
              <w:pStyle w:val="ListParagraph"/>
              <w:numPr>
                <w:ilvl w:val="0"/>
                <w:numId w:val="155"/>
              </w:numPr>
              <w:spacing w:after="0" w:line="240" w:lineRule="auto"/>
              <w:rPr>
                <w:rFonts w:ascii="Times New Roman" w:eastAsiaTheme="minorEastAsia" w:hAnsi="Times New Roman"/>
                <w:sz w:val="20"/>
                <w:szCs w:val="20"/>
              </w:rPr>
            </w:pPr>
            <w:r w:rsidRPr="00B06331">
              <w:rPr>
                <w:rFonts w:ascii="Times New Roman" w:hAnsi="Times New Roman"/>
                <w:sz w:val="20"/>
                <w:szCs w:val="20"/>
              </w:rPr>
              <w:t xml:space="preserve">Expanded revenue bases of councils supported by standardized </w:t>
            </w:r>
            <w:r w:rsidRPr="00B06331">
              <w:rPr>
                <w:rFonts w:ascii="Times New Roman" w:hAnsi="Times New Roman"/>
                <w:sz w:val="20"/>
                <w:szCs w:val="20"/>
              </w:rPr>
              <w:lastRenderedPageBreak/>
              <w:t>financial management and accounting systems</w:t>
            </w:r>
          </w:p>
          <w:p w:rsidR="00D7018B" w:rsidRPr="00B06331" w:rsidRDefault="00D7018B">
            <w:pPr>
              <w:rPr>
                <w:rFonts w:ascii="Times New Roman"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sz w:val="20"/>
                <w:szCs w:val="20"/>
              </w:rPr>
              <w:lastRenderedPageBreak/>
              <w:t xml:space="preserve">Proportion of LGAs/Council with  independent control of </w:t>
            </w:r>
            <w:r w:rsidRPr="00B06331">
              <w:rPr>
                <w:rFonts w:ascii="Times New Roman" w:hAnsi="Times New Roman"/>
                <w:sz w:val="20"/>
                <w:szCs w:val="20"/>
              </w:rPr>
              <w:lastRenderedPageBreak/>
              <w:t>their fiscal operations</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lastRenderedPageBreak/>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100%</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 xml:space="preserve">Directorate of Local Governance </w:t>
            </w:r>
            <w:r w:rsidRPr="00B06331">
              <w:rPr>
                <w:rFonts w:ascii="Times New Roman" w:hAnsi="Times New Roman"/>
                <w:bCs/>
                <w:sz w:val="20"/>
                <w:szCs w:val="20"/>
                <w:lang w:val="en-GB" w:bidi="en-US"/>
              </w:rPr>
              <w:lastRenderedPageBreak/>
              <w:t>Reports</w:t>
            </w:r>
          </w:p>
        </w:tc>
        <w:tc>
          <w:tcPr>
            <w:tcW w:w="6159"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pPr>
              <w:rPr>
                <w:rFonts w:ascii="Times New Roman" w:eastAsiaTheme="minorEastAsia" w:hAnsi="Times New Roman"/>
                <w:sz w:val="20"/>
                <w:szCs w:val="20"/>
              </w:rPr>
            </w:pPr>
            <w:r w:rsidRPr="00B06331">
              <w:rPr>
                <w:rFonts w:ascii="Times New Roman" w:hAnsi="Times New Roman"/>
                <w:sz w:val="20"/>
                <w:szCs w:val="20"/>
              </w:rPr>
              <w:lastRenderedPageBreak/>
              <w:t>Assumptions:</w:t>
            </w:r>
          </w:p>
          <w:p w:rsidR="00D7018B" w:rsidRPr="00B06331" w:rsidRDefault="00D7018B" w:rsidP="00764ED7">
            <w:pPr>
              <w:pStyle w:val="ListParagraph"/>
              <w:numPr>
                <w:ilvl w:val="0"/>
                <w:numId w:val="213"/>
              </w:numPr>
              <w:rPr>
                <w:rFonts w:ascii="Times New Roman" w:hAnsi="Times New Roman"/>
                <w:sz w:val="20"/>
                <w:szCs w:val="20"/>
              </w:rPr>
            </w:pPr>
            <w:r w:rsidRPr="00B06331">
              <w:rPr>
                <w:rFonts w:ascii="Times New Roman" w:hAnsi="Times New Roman"/>
                <w:sz w:val="20"/>
                <w:szCs w:val="20"/>
              </w:rPr>
              <w:t xml:space="preserve">Existence of the required capacity for independent financial </w:t>
            </w:r>
            <w:r w:rsidRPr="00B06331">
              <w:rPr>
                <w:rFonts w:ascii="Times New Roman" w:hAnsi="Times New Roman"/>
                <w:sz w:val="20"/>
                <w:szCs w:val="20"/>
              </w:rPr>
              <w:lastRenderedPageBreak/>
              <w:t xml:space="preserve">management </w:t>
            </w:r>
          </w:p>
          <w:p w:rsidR="00D7018B" w:rsidRPr="00B06331" w:rsidRDefault="00D7018B" w:rsidP="00764ED7">
            <w:pPr>
              <w:pStyle w:val="ListParagraph"/>
              <w:numPr>
                <w:ilvl w:val="0"/>
                <w:numId w:val="213"/>
              </w:numPr>
              <w:rPr>
                <w:rFonts w:ascii="Times New Roman" w:hAnsi="Times New Roman"/>
                <w:sz w:val="20"/>
                <w:szCs w:val="20"/>
              </w:rPr>
            </w:pPr>
            <w:r w:rsidRPr="00B06331">
              <w:rPr>
                <w:rFonts w:ascii="Times New Roman" w:hAnsi="Times New Roman"/>
                <w:sz w:val="20"/>
                <w:szCs w:val="20"/>
              </w:rPr>
              <w:t>Improved economic condition</w:t>
            </w:r>
          </w:p>
          <w:p w:rsidR="00D7018B" w:rsidRPr="00B06331" w:rsidRDefault="00D7018B" w:rsidP="00764ED7">
            <w:pPr>
              <w:pStyle w:val="ListParagraph"/>
              <w:numPr>
                <w:ilvl w:val="0"/>
                <w:numId w:val="213"/>
              </w:numPr>
              <w:rPr>
                <w:rFonts w:ascii="Times New Roman" w:hAnsi="Times New Roman"/>
                <w:sz w:val="20"/>
                <w:szCs w:val="20"/>
              </w:rPr>
            </w:pPr>
            <w:r w:rsidRPr="00B06331">
              <w:rPr>
                <w:rFonts w:ascii="Times New Roman" w:hAnsi="Times New Roman"/>
                <w:sz w:val="20"/>
                <w:szCs w:val="20"/>
              </w:rPr>
              <w:t>Timely availability of annual subventions  to Councils</w:t>
            </w:r>
          </w:p>
          <w:p w:rsidR="00D7018B" w:rsidRPr="00B06331" w:rsidRDefault="00D7018B">
            <w:pPr>
              <w:rPr>
                <w:rFonts w:ascii="Times New Roman" w:hAnsi="Times New Roman"/>
                <w:sz w:val="20"/>
                <w:szCs w:val="20"/>
              </w:rPr>
            </w:pPr>
            <w:r w:rsidRPr="00B06331">
              <w:rPr>
                <w:rFonts w:ascii="Times New Roman" w:hAnsi="Times New Roman"/>
                <w:sz w:val="20"/>
                <w:szCs w:val="20"/>
              </w:rPr>
              <w:t xml:space="preserve">Risks: </w:t>
            </w:r>
          </w:p>
          <w:p w:rsidR="00D7018B" w:rsidRPr="00B06331" w:rsidRDefault="00D7018B" w:rsidP="00764ED7">
            <w:pPr>
              <w:pStyle w:val="ListParagraph"/>
              <w:numPr>
                <w:ilvl w:val="0"/>
                <w:numId w:val="214"/>
              </w:numPr>
              <w:rPr>
                <w:rFonts w:ascii="Times New Roman" w:hAnsi="Times New Roman"/>
                <w:sz w:val="20"/>
                <w:szCs w:val="20"/>
              </w:rPr>
            </w:pPr>
            <w:r w:rsidRPr="00B06331">
              <w:rPr>
                <w:rFonts w:ascii="Times New Roman" w:hAnsi="Times New Roman"/>
                <w:sz w:val="20"/>
                <w:szCs w:val="20"/>
              </w:rPr>
              <w:t>Inadequate financial oversight mechanisms</w:t>
            </w:r>
          </w:p>
          <w:p w:rsidR="00D7018B" w:rsidRPr="00B06331" w:rsidRDefault="00D7018B" w:rsidP="00764ED7">
            <w:pPr>
              <w:pStyle w:val="ListParagraph"/>
              <w:numPr>
                <w:ilvl w:val="0"/>
                <w:numId w:val="214"/>
              </w:numPr>
              <w:rPr>
                <w:rFonts w:ascii="Times New Roman" w:hAnsi="Times New Roman"/>
                <w:sz w:val="20"/>
                <w:szCs w:val="20"/>
              </w:rPr>
            </w:pPr>
            <w:r w:rsidRPr="00B06331">
              <w:rPr>
                <w:rFonts w:ascii="Times New Roman" w:hAnsi="Times New Roman"/>
                <w:sz w:val="20"/>
                <w:szCs w:val="20"/>
              </w:rPr>
              <w:t>Unmet needs</w:t>
            </w:r>
          </w:p>
          <w:p w:rsidR="00D7018B" w:rsidRPr="00B06331" w:rsidRDefault="00D7018B" w:rsidP="00764ED7">
            <w:pPr>
              <w:pStyle w:val="ListParagraph"/>
              <w:numPr>
                <w:ilvl w:val="0"/>
                <w:numId w:val="215"/>
              </w:numPr>
              <w:rPr>
                <w:rFonts w:ascii="Times New Roman" w:hAnsi="Times New Roman"/>
                <w:sz w:val="20"/>
                <w:szCs w:val="20"/>
              </w:rPr>
            </w:pPr>
            <w:r w:rsidRPr="00B06331">
              <w:rPr>
                <w:rFonts w:ascii="Times New Roman" w:hAnsi="Times New Roman"/>
                <w:sz w:val="20"/>
                <w:szCs w:val="20"/>
              </w:rPr>
              <w:t>Political pressure</w:t>
            </w:r>
          </w:p>
          <w:p w:rsidR="00D7018B" w:rsidRPr="00B06331" w:rsidRDefault="00D7018B" w:rsidP="00764ED7">
            <w:pPr>
              <w:pStyle w:val="ListParagraph"/>
              <w:numPr>
                <w:ilvl w:val="0"/>
                <w:numId w:val="215"/>
              </w:numPr>
              <w:rPr>
                <w:rFonts w:ascii="Times New Roman" w:hAnsi="Times New Roman"/>
                <w:sz w:val="20"/>
                <w:szCs w:val="20"/>
              </w:rPr>
            </w:pPr>
            <w:r w:rsidRPr="00B06331">
              <w:rPr>
                <w:rFonts w:ascii="Times New Roman" w:hAnsi="Times New Roman"/>
                <w:sz w:val="20"/>
                <w:szCs w:val="20"/>
              </w:rPr>
              <w:t>Eroding tax base – GTB,GLMA,NRA</w:t>
            </w:r>
          </w:p>
        </w:tc>
      </w:tr>
      <w:tr w:rsidR="00D7018B" w:rsidRPr="00B06331" w:rsidTr="00D7018B">
        <w:trPr>
          <w:trHeight w:val="65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Existence of a financial management systems at all LGAs</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7</w:t>
            </w:r>
          </w:p>
        </w:tc>
        <w:tc>
          <w:tcPr>
            <w:tcW w:w="1624"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both"/>
              <w:rPr>
                <w:rFonts w:ascii="Times New Roman" w:hAnsi="Times New Roman"/>
                <w:bCs/>
                <w:sz w:val="20"/>
                <w:szCs w:val="20"/>
                <w:lang w:val="en-GB" w:bidi="en-US"/>
              </w:rPr>
            </w:pPr>
            <w:r w:rsidRPr="00B06331">
              <w:rPr>
                <w:rFonts w:ascii="Times New Roman" w:hAnsi="Times New Roman"/>
                <w:bCs/>
                <w:sz w:val="20"/>
                <w:szCs w:val="20"/>
                <w:lang w:val="en-GB" w:bidi="en-US"/>
              </w:rPr>
              <w:t>Directorate of Local Governance Reports</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r>
      <w:tr w:rsidR="00D7018B" w:rsidRPr="00B06331" w:rsidTr="00D7018B">
        <w:trPr>
          <w:trHeight w:val="650"/>
        </w:trPr>
        <w:tc>
          <w:tcPr>
            <w:tcW w:w="14395"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40" w:lineRule="auto"/>
              <w:jc w:val="both"/>
              <w:rPr>
                <w:rFonts w:ascii="Times New Roman" w:eastAsiaTheme="minorEastAsia" w:hAnsi="Times New Roman"/>
                <w:sz w:val="20"/>
                <w:szCs w:val="20"/>
              </w:rPr>
            </w:pPr>
            <w:r w:rsidRPr="00B06331">
              <w:rPr>
                <w:rFonts w:ascii="Times New Roman" w:hAnsi="Times New Roman"/>
                <w:sz w:val="20"/>
                <w:szCs w:val="20"/>
              </w:rPr>
              <w:t>Availability of resource mobilization plan for each LGA</w:t>
            </w:r>
          </w:p>
        </w:tc>
        <w:tc>
          <w:tcPr>
            <w:tcW w:w="117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jc w:val="center"/>
              <w:rPr>
                <w:rFonts w:ascii="Times New Roman" w:hAnsi="Times New Roman"/>
                <w:bCs/>
                <w:sz w:val="20"/>
                <w:szCs w:val="20"/>
                <w:lang w:val="en-GB" w:bidi="en-US"/>
              </w:rPr>
            </w:pPr>
            <w:r w:rsidRPr="00B06331">
              <w:rPr>
                <w:rFonts w:ascii="Times New Roman" w:hAnsi="Times New Roman"/>
                <w:bCs/>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vAlign w:val="center"/>
          </w:tcPr>
          <w:p w:rsidR="00D7018B" w:rsidRPr="00B06331" w:rsidRDefault="00D7018B">
            <w:pPr>
              <w:jc w:val="both"/>
              <w:rPr>
                <w:rFonts w:ascii="Times New Roman" w:hAnsi="Times New Roman"/>
                <w:b/>
                <w:bCs/>
                <w:sz w:val="20"/>
                <w:szCs w:val="20"/>
                <w:lang w:val="en-GB" w:bidi="en-US"/>
              </w:rPr>
            </w:pP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eastAsiaTheme="minorEastAsia" w:hAnsi="Times New Roman"/>
                <w:sz w:val="20"/>
                <w:szCs w:val="20"/>
              </w:rPr>
            </w:pPr>
          </w:p>
        </w:tc>
      </w:tr>
      <w:tr w:rsidR="00D7018B" w:rsidRPr="00B06331" w:rsidTr="00D7018B">
        <w:trPr>
          <w:trHeight w:val="77"/>
        </w:trPr>
        <w:tc>
          <w:tcPr>
            <w:tcW w:w="14395"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eastAsiaTheme="minorEastAsia" w:hAnsi="Times New Roman"/>
                <w:b/>
                <w:sz w:val="20"/>
                <w:szCs w:val="20"/>
              </w:rPr>
            </w:pPr>
            <w:r w:rsidRPr="00B06331">
              <w:rPr>
                <w:rFonts w:ascii="Times New Roman" w:hAnsi="Times New Roman"/>
                <w:b/>
                <w:bCs/>
                <w:sz w:val="20"/>
                <w:szCs w:val="20"/>
                <w:lang w:val="en-GB" w:bidi="en-US"/>
              </w:rPr>
              <w:t xml:space="preserve">Critical Enabler 5: </w:t>
            </w:r>
            <w:r w:rsidRPr="00B06331">
              <w:rPr>
                <w:rFonts w:ascii="Times New Roman" w:hAnsi="Times New Roman"/>
                <w:b/>
                <w:sz w:val="20"/>
                <w:szCs w:val="20"/>
              </w:rPr>
              <w:t xml:space="preserve"> ICT   </w:t>
            </w:r>
          </w:p>
        </w:tc>
      </w:tr>
      <w:tr w:rsidR="00D7018B" w:rsidRPr="00B06331" w:rsidTr="00D7018B">
        <w:trPr>
          <w:trHeight w:val="510"/>
        </w:trPr>
        <w:tc>
          <w:tcPr>
            <w:tcW w:w="14395"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hAnsi="Times New Roman"/>
                <w:b/>
                <w:sz w:val="20"/>
                <w:szCs w:val="20"/>
              </w:rPr>
            </w:pPr>
            <w:r w:rsidRPr="00B06331">
              <w:rPr>
                <w:rFonts w:ascii="Times New Roman" w:hAnsi="Times New Roman"/>
                <w:b/>
                <w:bCs/>
                <w:sz w:val="20"/>
                <w:szCs w:val="20"/>
                <w:lang w:val="en-GB" w:bidi="en-US"/>
              </w:rPr>
              <w:t xml:space="preserve">Goal: </w:t>
            </w:r>
            <w:r w:rsidRPr="00B06331">
              <w:rPr>
                <w:rFonts w:ascii="Times New Roman" w:hAnsi="Times New Roman"/>
                <w:sz w:val="20"/>
                <w:szCs w:val="20"/>
              </w:rPr>
              <w:t>To build a knowledge society that contributes to national development, social cohesion and improved well being</w:t>
            </w:r>
          </w:p>
        </w:tc>
      </w:tr>
    </w:tbl>
    <w:p w:rsidR="00D7018B" w:rsidRPr="00B06331" w:rsidRDefault="00D7018B" w:rsidP="00D7018B">
      <w:pPr>
        <w:spacing w:after="0" w:line="240" w:lineRule="auto"/>
        <w:rPr>
          <w:rFonts w:ascii="Times New Roman" w:hAnsi="Times New Roman"/>
          <w:sz w:val="20"/>
          <w:szCs w:val="20"/>
          <w:lang w:val="en-GB" w:bidi="en-US"/>
        </w:rPr>
      </w:pPr>
    </w:p>
    <w:tbl>
      <w:tblPr>
        <w:tblpPr w:leftFromText="180" w:rightFromText="180" w:bottomFromText="160" w:vertAnchor="text" w:horzAnchor="margin" w:tblpXSpec="center" w:tblpY="100"/>
        <w:tblOverlap w:val="neve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2474"/>
        <w:gridCol w:w="1976"/>
        <w:gridCol w:w="1172"/>
        <w:gridCol w:w="992"/>
        <w:gridCol w:w="1625"/>
        <w:gridCol w:w="6161"/>
      </w:tblGrid>
      <w:tr w:rsidR="00D7018B" w:rsidRPr="00B06331" w:rsidTr="00D7018B">
        <w:trPr>
          <w:trHeight w:val="57"/>
        </w:trPr>
        <w:tc>
          <w:tcPr>
            <w:tcW w:w="2473" w:type="dxa"/>
            <w:vMerge w:val="restart"/>
            <w:tcBorders>
              <w:top w:val="single" w:sz="4" w:space="0" w:color="auto"/>
              <w:left w:val="single" w:sz="4" w:space="0" w:color="auto"/>
              <w:bottom w:val="single" w:sz="4" w:space="0" w:color="auto"/>
              <w:right w:val="single" w:sz="4" w:space="0" w:color="auto"/>
            </w:tcBorders>
            <w:hideMark/>
          </w:tcPr>
          <w:p w:rsidR="00D7018B" w:rsidRPr="00B06331" w:rsidRDefault="00D7018B" w:rsidP="00764ED7">
            <w:pPr>
              <w:pStyle w:val="ListParagraph"/>
              <w:numPr>
                <w:ilvl w:val="0"/>
                <w:numId w:val="155"/>
              </w:numPr>
              <w:spacing w:after="0" w:line="240" w:lineRule="auto"/>
              <w:rPr>
                <w:rFonts w:ascii="Times New Roman" w:hAnsi="Times New Roman"/>
                <w:sz w:val="20"/>
                <w:szCs w:val="20"/>
                <w:lang w:val="en-GB" w:bidi="en-US"/>
              </w:rPr>
            </w:pPr>
            <w:r w:rsidRPr="00B06331">
              <w:rPr>
                <w:rFonts w:ascii="Times New Roman" w:hAnsi="Times New Roman"/>
                <w:sz w:val="20"/>
                <w:szCs w:val="20"/>
              </w:rPr>
              <w:t>Enhanced ICT infrastructure and services for increase access to quality broadband services and solutions to support inclusive sustainable development</w:t>
            </w:r>
          </w:p>
        </w:tc>
        <w:tc>
          <w:tcPr>
            <w:tcW w:w="1975"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eastAsia="Times New Roman" w:hAnsi="Times New Roman"/>
                <w:sz w:val="20"/>
                <w:szCs w:val="20"/>
              </w:rPr>
              <w:t>% of population using the internet daily</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46.8</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90%</w:t>
            </w:r>
          </w:p>
        </w:tc>
        <w:tc>
          <w:tcPr>
            <w:tcW w:w="162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Census </w:t>
            </w:r>
          </w:p>
        </w:tc>
        <w:tc>
          <w:tcPr>
            <w:tcW w:w="6159" w:type="dxa"/>
            <w:vMerge w:val="restart"/>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Assumptions:</w:t>
            </w:r>
          </w:p>
          <w:p w:rsidR="00D7018B" w:rsidRPr="00B06331" w:rsidRDefault="00D7018B" w:rsidP="00764ED7">
            <w:pPr>
              <w:pStyle w:val="ListParagraph"/>
              <w:numPr>
                <w:ilvl w:val="0"/>
                <w:numId w:val="216"/>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Adequate resources</w:t>
            </w:r>
          </w:p>
          <w:p w:rsidR="00D7018B" w:rsidRPr="00B06331" w:rsidRDefault="00D7018B" w:rsidP="00764ED7">
            <w:pPr>
              <w:pStyle w:val="ListParagraph"/>
              <w:numPr>
                <w:ilvl w:val="0"/>
                <w:numId w:val="216"/>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Conducive policy environment </w:t>
            </w: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jc w:val="center"/>
              <w:rPr>
                <w:rFonts w:ascii="Times New Roman" w:hAnsi="Times New Roman"/>
                <w:b/>
                <w:sz w:val="20"/>
                <w:szCs w:val="20"/>
                <w:lang w:val="en-GB" w:bidi="en-US"/>
              </w:rPr>
            </w:pPr>
          </w:p>
          <w:p w:rsidR="00D7018B" w:rsidRPr="00B06331" w:rsidRDefault="00D7018B">
            <w:p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 xml:space="preserve">Risks:  </w:t>
            </w:r>
          </w:p>
          <w:p w:rsidR="00D7018B" w:rsidRPr="00B06331" w:rsidRDefault="00D7018B" w:rsidP="00764ED7">
            <w:pPr>
              <w:pStyle w:val="ListParagraph"/>
              <w:numPr>
                <w:ilvl w:val="0"/>
                <w:numId w:val="217"/>
              </w:numPr>
              <w:spacing w:after="0" w:line="240" w:lineRule="auto"/>
              <w:rPr>
                <w:rFonts w:ascii="Times New Roman" w:hAnsi="Times New Roman"/>
                <w:b/>
                <w:sz w:val="20"/>
                <w:szCs w:val="20"/>
                <w:lang w:val="en-GB" w:bidi="en-US"/>
              </w:rPr>
            </w:pPr>
            <w:r w:rsidRPr="00B06331">
              <w:rPr>
                <w:rFonts w:ascii="Times New Roman" w:hAnsi="Times New Roman"/>
                <w:b/>
                <w:sz w:val="20"/>
                <w:szCs w:val="20"/>
                <w:lang w:val="en-GB" w:bidi="en-US"/>
              </w:rPr>
              <w:t>Censorship</w:t>
            </w:r>
          </w:p>
          <w:p w:rsidR="00D7018B" w:rsidRPr="00B06331" w:rsidRDefault="00D7018B">
            <w:pPr>
              <w:pStyle w:val="ListParagraph"/>
              <w:spacing w:after="0" w:line="240" w:lineRule="auto"/>
              <w:rPr>
                <w:rFonts w:ascii="Times New Roman" w:hAnsi="Times New Roman"/>
                <w:b/>
                <w:sz w:val="20"/>
                <w:szCs w:val="20"/>
                <w:lang w:val="en-GB" w:bidi="en-US"/>
              </w:rPr>
            </w:pPr>
          </w:p>
        </w:tc>
      </w:tr>
      <w:tr w:rsidR="00D7018B" w:rsidRPr="00B06331" w:rsidTr="00D7018B">
        <w:trPr>
          <w:trHeight w:val="56"/>
        </w:trPr>
        <w:tc>
          <w:tcPr>
            <w:tcW w:w="2473"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5"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eastAsia="Times New Roman" w:hAnsi="Times New Roman"/>
                <w:sz w:val="20"/>
                <w:szCs w:val="20"/>
              </w:rPr>
              <w:t>Proportion of population with access to mobile phones</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78.9%</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90%</w:t>
            </w:r>
          </w:p>
        </w:tc>
        <w:tc>
          <w:tcPr>
            <w:tcW w:w="162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 xml:space="preserve">Census </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2473"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5"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Proportion of schools connected to broadband internet</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TBD</w:t>
            </w:r>
          </w:p>
        </w:tc>
        <w:tc>
          <w:tcPr>
            <w:tcW w:w="1624" w:type="dxa"/>
            <w:tcBorders>
              <w:top w:val="single" w:sz="4" w:space="0" w:color="auto"/>
              <w:left w:val="single" w:sz="4" w:space="0" w:color="auto"/>
              <w:bottom w:val="single" w:sz="4" w:space="0" w:color="auto"/>
              <w:right w:val="single" w:sz="4" w:space="0" w:color="auto"/>
            </w:tcBorders>
          </w:tcPr>
          <w:p w:rsidR="00D7018B" w:rsidRPr="00B06331" w:rsidRDefault="00D7018B">
            <w:pPr>
              <w:spacing w:after="0" w:line="240" w:lineRule="auto"/>
              <w:rPr>
                <w:rFonts w:ascii="Times New Roman" w:hAnsi="Times New Roman"/>
                <w:sz w:val="20"/>
                <w:szCs w:val="20"/>
                <w:lang w:val="en-GB" w:bidi="en-US"/>
              </w:rPr>
            </w:pP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r w:rsidR="00D7018B" w:rsidRPr="00B06331" w:rsidTr="00D7018B">
        <w:trPr>
          <w:trHeight w:val="56"/>
        </w:trPr>
        <w:tc>
          <w:tcPr>
            <w:tcW w:w="2473"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sz w:val="20"/>
                <w:szCs w:val="20"/>
                <w:lang w:val="en-GB" w:bidi="en-US"/>
              </w:rPr>
            </w:pPr>
          </w:p>
        </w:tc>
        <w:tc>
          <w:tcPr>
            <w:tcW w:w="1975"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Existence of National Information and communications Infrastructure policy II</w:t>
            </w:r>
          </w:p>
        </w:tc>
        <w:tc>
          <w:tcPr>
            <w:tcW w:w="117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No</w:t>
            </w:r>
          </w:p>
        </w:tc>
        <w:tc>
          <w:tcPr>
            <w:tcW w:w="992"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Yes</w:t>
            </w:r>
          </w:p>
        </w:tc>
        <w:tc>
          <w:tcPr>
            <w:tcW w:w="1624" w:type="dxa"/>
            <w:tcBorders>
              <w:top w:val="single" w:sz="4" w:space="0" w:color="auto"/>
              <w:left w:val="single" w:sz="4" w:space="0" w:color="auto"/>
              <w:bottom w:val="single" w:sz="4" w:space="0" w:color="auto"/>
              <w:right w:val="single" w:sz="4" w:space="0" w:color="auto"/>
            </w:tcBorders>
            <w:hideMark/>
          </w:tcPr>
          <w:p w:rsidR="00D7018B" w:rsidRPr="00B06331" w:rsidRDefault="00D7018B">
            <w:pPr>
              <w:spacing w:after="0" w:line="240" w:lineRule="auto"/>
              <w:rPr>
                <w:rFonts w:ascii="Times New Roman" w:hAnsi="Times New Roman"/>
                <w:sz w:val="20"/>
                <w:szCs w:val="20"/>
                <w:lang w:val="en-GB" w:bidi="en-US"/>
              </w:rPr>
            </w:pPr>
            <w:r w:rsidRPr="00B06331">
              <w:rPr>
                <w:rFonts w:ascii="Times New Roman" w:hAnsi="Times New Roman"/>
                <w:sz w:val="20"/>
                <w:szCs w:val="20"/>
                <w:lang w:val="en-GB" w:bidi="en-US"/>
              </w:rPr>
              <w:t>MOICI</w:t>
            </w:r>
          </w:p>
        </w:tc>
        <w:tc>
          <w:tcPr>
            <w:tcW w:w="6159" w:type="dxa"/>
            <w:vMerge/>
            <w:tcBorders>
              <w:top w:val="single" w:sz="4" w:space="0" w:color="auto"/>
              <w:left w:val="single" w:sz="4" w:space="0" w:color="auto"/>
              <w:bottom w:val="single" w:sz="4" w:space="0" w:color="auto"/>
              <w:right w:val="single" w:sz="4" w:space="0" w:color="auto"/>
            </w:tcBorders>
            <w:vAlign w:val="center"/>
            <w:hideMark/>
          </w:tcPr>
          <w:p w:rsidR="00D7018B" w:rsidRPr="00B06331" w:rsidRDefault="00D7018B">
            <w:pPr>
              <w:spacing w:after="0" w:line="256" w:lineRule="auto"/>
              <w:rPr>
                <w:rFonts w:ascii="Times New Roman" w:hAnsi="Times New Roman"/>
                <w:b/>
                <w:sz w:val="20"/>
                <w:szCs w:val="20"/>
                <w:lang w:val="en-GB" w:bidi="en-US"/>
              </w:rPr>
            </w:pPr>
          </w:p>
        </w:tc>
      </w:tr>
    </w:tbl>
    <w:p w:rsidR="00D7018B" w:rsidRPr="00B06331" w:rsidRDefault="00D7018B" w:rsidP="00D7018B">
      <w:pPr>
        <w:rPr>
          <w:rFonts w:ascii="Times New Roman" w:eastAsiaTheme="minorEastAsia" w:hAnsi="Times New Roman"/>
          <w:sz w:val="20"/>
          <w:szCs w:val="20"/>
        </w:rPr>
      </w:pPr>
    </w:p>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rsidTr="00D7018B">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hAnsi="Times New Roman"/>
                <w:b/>
                <w:sz w:val="20"/>
                <w:szCs w:val="20"/>
              </w:rPr>
            </w:pPr>
            <w:r w:rsidRPr="00B06331">
              <w:rPr>
                <w:rFonts w:ascii="Times New Roman" w:hAnsi="Times New Roman"/>
                <w:b/>
                <w:bCs/>
                <w:sz w:val="20"/>
                <w:szCs w:val="20"/>
                <w:lang w:val="en-GB" w:bidi="en-US"/>
              </w:rPr>
              <w:lastRenderedPageBreak/>
              <w:t xml:space="preserve">Critical Enabler 6: </w:t>
            </w:r>
            <w:r w:rsidRPr="00B06331">
              <w:rPr>
                <w:rFonts w:ascii="Times New Roman" w:hAnsi="Times New Roman"/>
                <w:b/>
                <w:sz w:val="20"/>
                <w:szCs w:val="20"/>
              </w:rPr>
              <w:t xml:space="preserve"> Strengthening Civil Society and non- state actors</w:t>
            </w:r>
          </w:p>
        </w:tc>
      </w:tr>
      <w:tr w:rsidR="00D7018B" w:rsidRPr="00B06331" w:rsidTr="00D7018B">
        <w:trPr>
          <w:trHeight w:val="51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7018B" w:rsidRPr="00B06331" w:rsidRDefault="00D7018B">
            <w:pPr>
              <w:jc w:val="both"/>
              <w:rPr>
                <w:rFonts w:ascii="Times New Roman" w:hAnsi="Times New Roman"/>
                <w:b/>
                <w:bCs/>
                <w:sz w:val="20"/>
                <w:szCs w:val="20"/>
                <w:lang w:val="en-GB" w:bidi="en-US"/>
              </w:rPr>
            </w:pPr>
            <w:r w:rsidRPr="00B06331">
              <w:rPr>
                <w:rFonts w:ascii="Times New Roman" w:hAnsi="Times New Roman"/>
                <w:b/>
                <w:bCs/>
                <w:sz w:val="20"/>
                <w:szCs w:val="20"/>
                <w:lang w:val="en-GB" w:bidi="en-US"/>
              </w:rPr>
              <w:t xml:space="preserve">Goal 1: </w:t>
            </w:r>
          </w:p>
          <w:p w:rsidR="00D7018B" w:rsidRPr="00B06331" w:rsidRDefault="00D7018B">
            <w:pPr>
              <w:jc w:val="both"/>
              <w:rPr>
                <w:rFonts w:ascii="Times New Roman" w:hAnsi="Times New Roman"/>
                <w:b/>
                <w:bCs/>
                <w:sz w:val="20"/>
                <w:szCs w:val="20"/>
                <w:lang w:val="en-GB" w:bidi="en-US"/>
              </w:rPr>
            </w:pPr>
          </w:p>
        </w:tc>
      </w:tr>
    </w:tbl>
    <w:p w:rsidR="00D7018B" w:rsidRPr="00B06331" w:rsidRDefault="00D7018B" w:rsidP="00D7018B">
      <w:pPr>
        <w:rPr>
          <w:rFonts w:ascii="Times New Roman" w:eastAsiaTheme="minorEastAsia" w:hAnsi="Times New Roman"/>
          <w:sz w:val="20"/>
          <w:szCs w:val="20"/>
        </w:rPr>
      </w:pPr>
    </w:p>
    <w:p w:rsidR="00D7018B" w:rsidRPr="00B06331" w:rsidRDefault="00D7018B" w:rsidP="00D7018B">
      <w:pPr>
        <w:rPr>
          <w:rFonts w:ascii="Times New Roman" w:hAnsi="Times New Roman"/>
          <w:sz w:val="20"/>
          <w:szCs w:val="20"/>
        </w:rPr>
      </w:pPr>
    </w:p>
    <w:tbl>
      <w:tblPr>
        <w:tblpPr w:leftFromText="180" w:rightFromText="180" w:bottomFromText="160" w:vertAnchor="text" w:horzAnchor="margin" w:tblpXSpec="center" w:tblpY="100"/>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15390"/>
      </w:tblGrid>
      <w:tr w:rsidR="00D7018B" w:rsidRPr="00B06331" w:rsidTr="00D7018B">
        <w:trPr>
          <w:trHeight w:val="511"/>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7018B" w:rsidRPr="00B06331" w:rsidRDefault="00D7018B">
            <w:pPr>
              <w:rPr>
                <w:rFonts w:ascii="Times New Roman" w:hAnsi="Times New Roman"/>
                <w:b/>
                <w:sz w:val="20"/>
                <w:szCs w:val="20"/>
              </w:rPr>
            </w:pPr>
            <w:r w:rsidRPr="00B06331">
              <w:rPr>
                <w:rFonts w:ascii="Times New Roman" w:hAnsi="Times New Roman"/>
                <w:b/>
                <w:bCs/>
                <w:sz w:val="20"/>
                <w:szCs w:val="20"/>
                <w:lang w:val="en-GB" w:bidi="en-US"/>
              </w:rPr>
              <w:t xml:space="preserve">Critical Enabler 7: </w:t>
            </w:r>
            <w:r w:rsidRPr="00B06331">
              <w:rPr>
                <w:rFonts w:ascii="Times New Roman" w:hAnsi="Times New Roman"/>
                <w:b/>
                <w:sz w:val="20"/>
                <w:szCs w:val="20"/>
              </w:rPr>
              <w:t xml:space="preserve"> Data for Development</w:t>
            </w:r>
          </w:p>
        </w:tc>
      </w:tr>
      <w:tr w:rsidR="00D7018B" w:rsidTr="00D7018B">
        <w:trPr>
          <w:trHeight w:val="510"/>
        </w:trPr>
        <w:tc>
          <w:tcPr>
            <w:tcW w:w="153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7018B" w:rsidRDefault="00D7018B">
            <w:pPr>
              <w:jc w:val="both"/>
              <w:rPr>
                <w:rFonts w:ascii="Times New Roman" w:hAnsi="Times New Roman"/>
                <w:b/>
                <w:bCs/>
                <w:sz w:val="20"/>
                <w:szCs w:val="20"/>
                <w:lang w:val="en-GB" w:bidi="en-US"/>
              </w:rPr>
            </w:pPr>
            <w:r w:rsidRPr="00B06331">
              <w:rPr>
                <w:rFonts w:ascii="Times New Roman" w:hAnsi="Times New Roman"/>
                <w:b/>
                <w:bCs/>
                <w:sz w:val="20"/>
                <w:szCs w:val="20"/>
                <w:lang w:val="en-GB" w:bidi="en-US"/>
              </w:rPr>
              <w:t>Goal 1:</w:t>
            </w:r>
            <w:r>
              <w:rPr>
                <w:rFonts w:ascii="Times New Roman" w:hAnsi="Times New Roman"/>
                <w:b/>
                <w:bCs/>
                <w:sz w:val="20"/>
                <w:szCs w:val="20"/>
                <w:lang w:val="en-GB" w:bidi="en-US"/>
              </w:rPr>
              <w:t xml:space="preserve"> </w:t>
            </w:r>
          </w:p>
          <w:p w:rsidR="00D7018B" w:rsidRDefault="00D7018B">
            <w:pPr>
              <w:jc w:val="both"/>
              <w:rPr>
                <w:rFonts w:ascii="Times New Roman" w:hAnsi="Times New Roman"/>
                <w:b/>
                <w:bCs/>
                <w:sz w:val="20"/>
                <w:szCs w:val="20"/>
                <w:lang w:val="en-GB" w:bidi="en-US"/>
              </w:rPr>
            </w:pPr>
          </w:p>
        </w:tc>
      </w:tr>
    </w:tbl>
    <w:p w:rsidR="00D7018B" w:rsidRDefault="00D7018B" w:rsidP="00D7018B">
      <w:pPr>
        <w:spacing w:after="0" w:line="240" w:lineRule="auto"/>
        <w:rPr>
          <w:rFonts w:ascii="Times New Roman" w:hAnsi="Times New Roman"/>
          <w:sz w:val="20"/>
          <w:szCs w:val="20"/>
          <w:lang w:val="en-GB" w:bidi="en-US"/>
        </w:rPr>
      </w:pPr>
    </w:p>
    <w:p w:rsidR="00D7018B" w:rsidRDefault="00D7018B" w:rsidP="00D7018B">
      <w:pPr>
        <w:rPr>
          <w:rFonts w:asciiTheme="minorHAnsi" w:eastAsiaTheme="minorEastAsia" w:hAnsiTheme="minorHAnsi" w:cstheme="minorBidi"/>
        </w:rPr>
      </w:pPr>
    </w:p>
    <w:sectPr w:rsidR="00D7018B" w:rsidSect="00D7018B">
      <w:type w:val="evenPage"/>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AC1" w:rsidRDefault="008B4AC1" w:rsidP="003A5A07">
      <w:pPr>
        <w:spacing w:after="0" w:line="240" w:lineRule="auto"/>
      </w:pPr>
      <w:r>
        <w:separator/>
      </w:r>
    </w:p>
  </w:endnote>
  <w:endnote w:type="continuationSeparator" w:id="1">
    <w:p w:rsidR="008B4AC1" w:rsidRDefault="008B4AC1" w:rsidP="003A5A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Corbel"/>
    <w:charset w:val="00"/>
    <w:family w:val="auto"/>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MuseoSlab-500">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SegoeUI">
    <w:altName w:val="Cambria"/>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Times-Italic">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MBIA SILSOPHIA">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6" w:rsidRDefault="00965AD2" w:rsidP="00054460">
    <w:pPr>
      <w:pStyle w:val="Footer"/>
      <w:framePr w:wrap="around" w:vAnchor="text" w:hAnchor="margin" w:xAlign="right" w:y="1"/>
      <w:rPr>
        <w:rStyle w:val="PageNumber"/>
      </w:rPr>
    </w:pPr>
    <w:r>
      <w:rPr>
        <w:rStyle w:val="PageNumber"/>
      </w:rPr>
      <w:fldChar w:fldCharType="begin"/>
    </w:r>
    <w:r w:rsidR="00FD4AC6">
      <w:rPr>
        <w:rStyle w:val="PageNumber"/>
      </w:rPr>
      <w:instrText xml:space="preserve">PAGE  </w:instrText>
    </w:r>
    <w:r>
      <w:rPr>
        <w:rStyle w:val="PageNumber"/>
      </w:rPr>
      <w:fldChar w:fldCharType="end"/>
    </w:r>
  </w:p>
  <w:p w:rsidR="00FD4AC6" w:rsidRDefault="00FD4AC6" w:rsidP="00054460">
    <w:pPr>
      <w:pStyle w:val="Footer"/>
      <w:ind w:right="360"/>
    </w:pPr>
  </w:p>
  <w:p w:rsidR="00FD4AC6" w:rsidRDefault="00FD4AC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6" w:rsidRDefault="00965AD2" w:rsidP="00054460">
    <w:pPr>
      <w:pStyle w:val="Footer"/>
      <w:framePr w:wrap="around" w:vAnchor="text" w:hAnchor="margin" w:xAlign="right" w:y="1"/>
      <w:rPr>
        <w:rStyle w:val="PageNumber"/>
      </w:rPr>
    </w:pPr>
    <w:r>
      <w:rPr>
        <w:rStyle w:val="PageNumber"/>
      </w:rPr>
      <w:fldChar w:fldCharType="begin"/>
    </w:r>
    <w:r w:rsidR="00FD4AC6">
      <w:rPr>
        <w:rStyle w:val="PageNumber"/>
      </w:rPr>
      <w:instrText xml:space="preserve">PAGE  </w:instrText>
    </w:r>
    <w:r>
      <w:rPr>
        <w:rStyle w:val="PageNumber"/>
      </w:rPr>
      <w:fldChar w:fldCharType="separate"/>
    </w:r>
    <w:r w:rsidR="00B06331">
      <w:rPr>
        <w:rStyle w:val="PageNumber"/>
        <w:noProof/>
      </w:rPr>
      <w:t>1</w:t>
    </w:r>
    <w:r>
      <w:rPr>
        <w:rStyle w:val="PageNumber"/>
      </w:rPr>
      <w:fldChar w:fldCharType="end"/>
    </w:r>
  </w:p>
  <w:p w:rsidR="00FD4AC6" w:rsidRDefault="00FD4AC6" w:rsidP="00054460">
    <w:pPr>
      <w:pStyle w:val="Footer"/>
      <w:ind w:right="360"/>
    </w:pPr>
  </w:p>
  <w:p w:rsidR="00FD4AC6" w:rsidRDefault="00FD4AC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AC1" w:rsidRDefault="008B4AC1" w:rsidP="003A5A07">
      <w:pPr>
        <w:spacing w:after="0" w:line="240" w:lineRule="auto"/>
      </w:pPr>
      <w:r>
        <w:separator/>
      </w:r>
    </w:p>
  </w:footnote>
  <w:footnote w:type="continuationSeparator" w:id="1">
    <w:p w:rsidR="008B4AC1" w:rsidRDefault="008B4AC1" w:rsidP="003A5A07">
      <w:pPr>
        <w:spacing w:after="0" w:line="240" w:lineRule="auto"/>
      </w:pPr>
      <w:r>
        <w:continuationSeparator/>
      </w:r>
    </w:p>
  </w:footnote>
  <w:footnote w:id="2">
    <w:p w:rsidR="00FD4AC6" w:rsidRPr="00741DC3" w:rsidRDefault="00FD4AC6" w:rsidP="003B3B17">
      <w:pPr>
        <w:pStyle w:val="FootnoteText"/>
        <w:jc w:val="both"/>
        <w:rPr>
          <w:sz w:val="18"/>
          <w:szCs w:val="18"/>
        </w:rPr>
      </w:pPr>
      <w:r w:rsidRPr="00741DC3">
        <w:rPr>
          <w:rStyle w:val="FootnoteReference"/>
          <w:rFonts w:eastAsia="Calibri"/>
          <w:sz w:val="18"/>
          <w:szCs w:val="18"/>
        </w:rPr>
        <w:footnoteRef/>
      </w:r>
      <w:r w:rsidRPr="00741DC3">
        <w:rPr>
          <w:sz w:val="18"/>
          <w:szCs w:val="18"/>
        </w:rPr>
        <w:t xml:space="preserve"> The main external creditors include the Islamic Development Bank (20.4 percent of the total external debt); IDA (11.7 percent), the African Development Fund (8.0 percent), the International Monetary Fund (7.8 percent) the Arab Bank for Economic Development in Africa (7.8 percent), and the Kuwait Fund for Arab Economic Development (6.6 percent). External debt maturities range from 20-37 years, with a 5-to-10-year grace periods and annual interest rates of around 1.5 percent, implying a “grant element” of around 35 to 60 percent.</w:t>
      </w:r>
    </w:p>
  </w:footnote>
  <w:footnote w:id="3">
    <w:p w:rsidR="00FD4AC6" w:rsidRPr="00FA19A6" w:rsidRDefault="00FD4AC6" w:rsidP="00FB7889">
      <w:pPr>
        <w:pStyle w:val="WBPara"/>
        <w:tabs>
          <w:tab w:val="clear" w:pos="360"/>
        </w:tabs>
        <w:spacing w:after="0"/>
        <w:rPr>
          <w:rFonts w:ascii="Calibri" w:hAnsi="Calibri" w:cs="Calibri"/>
          <w:sz w:val="18"/>
          <w:szCs w:val="22"/>
        </w:rPr>
      </w:pPr>
      <w:r>
        <w:rPr>
          <w:rStyle w:val="FootnoteReference"/>
        </w:rPr>
        <w:footnoteRef/>
      </w:r>
      <w:r w:rsidRPr="00FA19A6">
        <w:rPr>
          <w:rFonts w:ascii="Calibri" w:hAnsi="Calibri" w:cs="Calibri"/>
          <w:sz w:val="18"/>
          <w:szCs w:val="22"/>
        </w:rPr>
        <w:t>IMF and World Bank, 2013. “Staff Guidance Note on the Application of Joint Bank-Fund Debt Sustainability Framework for Low-Income Countries.” Washington DC: International Monetary Fund</w:t>
      </w:r>
    </w:p>
    <w:p w:rsidR="00FD4AC6" w:rsidRDefault="00FD4AC6" w:rsidP="00FB7889">
      <w:pPr>
        <w:pStyle w:val="FootnoteText"/>
      </w:pPr>
    </w:p>
  </w:footnote>
  <w:footnote w:id="4">
    <w:p w:rsidR="00FD4AC6" w:rsidRPr="00741DC3" w:rsidRDefault="00FD4AC6" w:rsidP="00FB7889">
      <w:pPr>
        <w:pStyle w:val="FootnoteText"/>
        <w:jc w:val="both"/>
        <w:rPr>
          <w:sz w:val="18"/>
          <w:szCs w:val="18"/>
        </w:rPr>
      </w:pPr>
      <w:r w:rsidRPr="00741DC3">
        <w:rPr>
          <w:rStyle w:val="FootnoteReference"/>
          <w:rFonts w:eastAsia="Calibri"/>
          <w:sz w:val="18"/>
          <w:szCs w:val="18"/>
        </w:rPr>
        <w:footnoteRef/>
      </w:r>
      <w:r w:rsidRPr="00741DC3">
        <w:rPr>
          <w:sz w:val="18"/>
          <w:szCs w:val="18"/>
        </w:rPr>
        <w:t xml:space="preserve"> The Gambia’s overall CPIA rating was 2.93 in 2015, which lowered its three-year CPIA average to 3.11, below the 3.25 threshold for a medium policy performer. See: IMF and World Bank, 2013.</w:t>
      </w:r>
    </w:p>
  </w:footnote>
  <w:footnote w:id="5">
    <w:p w:rsidR="00FD4AC6" w:rsidRDefault="00FD4AC6" w:rsidP="003B3B17">
      <w:pPr>
        <w:pStyle w:val="FootnoteText"/>
      </w:pPr>
      <w:r>
        <w:rPr>
          <w:rStyle w:val="FootnoteReference"/>
        </w:rPr>
        <w:footnoteRef/>
      </w:r>
      <w:r w:rsidRPr="004B13D2">
        <w:rPr>
          <w:rFonts w:ascii="Avenir Book" w:hAnsi="Avenir Book"/>
          <w:sz w:val="16"/>
          <w:szCs w:val="24"/>
        </w:rPr>
        <w:t>Agriculture here includes food and non-food crop production, livestock production, and forestry.</w:t>
      </w:r>
    </w:p>
  </w:footnote>
  <w:footnote w:id="6">
    <w:p w:rsidR="00FD4AC6" w:rsidRDefault="00FD4AC6" w:rsidP="003B3B17">
      <w:pPr>
        <w:pStyle w:val="FootnoteText"/>
      </w:pPr>
      <w:r>
        <w:rPr>
          <w:rStyle w:val="FootnoteReference"/>
        </w:rPr>
        <w:footnoteRef/>
      </w:r>
      <w:r w:rsidRPr="00D93B25">
        <w:rPr>
          <w:sz w:val="18"/>
          <w:szCs w:val="18"/>
        </w:rPr>
        <w:t>THE GAMBIA: Poli</w:t>
      </w:r>
      <w:r>
        <w:rPr>
          <w:sz w:val="18"/>
          <w:szCs w:val="18"/>
        </w:rPr>
        <w:t>cies to Foster Growth, Volume III</w:t>
      </w:r>
      <w:r w:rsidRPr="00D93B25">
        <w:rPr>
          <w:sz w:val="18"/>
          <w:szCs w:val="18"/>
        </w:rPr>
        <w:t>.</w:t>
      </w:r>
    </w:p>
  </w:footnote>
  <w:footnote w:id="7">
    <w:p w:rsidR="00FD4AC6" w:rsidRPr="00187F21" w:rsidRDefault="00FD4AC6" w:rsidP="003B3B17">
      <w:pPr>
        <w:pStyle w:val="FootnoteText"/>
      </w:pPr>
      <w:r w:rsidRPr="00187F21">
        <w:rPr>
          <w:rStyle w:val="FootnoteReference"/>
          <w:sz w:val="18"/>
        </w:rPr>
        <w:footnoteRef/>
      </w:r>
      <w:r w:rsidRPr="00187F21">
        <w:rPr>
          <w:sz w:val="18"/>
        </w:rPr>
        <w:t xml:space="preserve"> Pending data request </w:t>
      </w:r>
      <w:r>
        <w:rPr>
          <w:sz w:val="18"/>
        </w:rPr>
        <w:t>(Banjul Port Authorities)</w:t>
      </w:r>
    </w:p>
  </w:footnote>
  <w:footnote w:id="8">
    <w:p w:rsidR="00FD4AC6" w:rsidRPr="00377A3B" w:rsidRDefault="00FD4AC6" w:rsidP="003B3B17">
      <w:pPr>
        <w:pStyle w:val="FootnoteText"/>
        <w:rPr>
          <w:rFonts w:cs="Calibri"/>
          <w:sz w:val="18"/>
          <w:szCs w:val="18"/>
        </w:rPr>
      </w:pPr>
      <w:r w:rsidRPr="002F6A8A">
        <w:rPr>
          <w:rStyle w:val="FootnoteReference"/>
          <w:rFonts w:cs="Calibri"/>
          <w:sz w:val="18"/>
          <w:szCs w:val="18"/>
        </w:rPr>
        <w:footnoteRef/>
      </w:r>
      <w:r w:rsidRPr="00377A3B">
        <w:rPr>
          <w:rFonts w:cs="Calibri"/>
          <w:sz w:val="18"/>
          <w:szCs w:val="18"/>
        </w:rPr>
        <w:t xml:space="preserve"> Twenty Equivalent Feet.</w:t>
      </w:r>
    </w:p>
  </w:footnote>
  <w:footnote w:id="9">
    <w:p w:rsidR="00FD4AC6" w:rsidRPr="00187F21" w:rsidRDefault="00FD4AC6" w:rsidP="003B3B17">
      <w:pPr>
        <w:pStyle w:val="FootnoteText"/>
      </w:pPr>
      <w:r>
        <w:rPr>
          <w:rStyle w:val="FootnoteReference"/>
        </w:rPr>
        <w:footnoteRef/>
      </w:r>
      <w:r>
        <w:t xml:space="preserve"> Pending data request (Banjul Port Authorities)</w:t>
      </w:r>
    </w:p>
  </w:footnote>
  <w:footnote w:id="10">
    <w:p w:rsidR="00FD4AC6" w:rsidRPr="002920DE" w:rsidRDefault="00FD4AC6" w:rsidP="003B3B17">
      <w:pPr>
        <w:pStyle w:val="FootnoteText"/>
        <w:rPr>
          <w:sz w:val="18"/>
          <w:szCs w:val="18"/>
        </w:rPr>
      </w:pPr>
      <w:r w:rsidRPr="002920DE">
        <w:rPr>
          <w:rStyle w:val="FootnoteReference"/>
          <w:sz w:val="18"/>
          <w:szCs w:val="18"/>
        </w:rPr>
        <w:footnoteRef/>
      </w:r>
      <w:r w:rsidRPr="002920DE">
        <w:rPr>
          <w:sz w:val="18"/>
          <w:szCs w:val="18"/>
        </w:rPr>
        <w:t xml:space="preserve"> A Build Operate and Transfer contract is a Public Private Partnership where private investors build, finance and operate a facility that charges a fee to users in order to repay financing costs, cover operating and maintenance costs and ensure a sufficient financial return to investors, and transfer the facility and its equipment back to the public body which awarded the contract at its end.</w:t>
      </w:r>
    </w:p>
  </w:footnote>
  <w:footnote w:id="11">
    <w:p w:rsidR="00FD4AC6" w:rsidRPr="002920DE" w:rsidRDefault="00FD4AC6" w:rsidP="003B3B17">
      <w:pPr>
        <w:pStyle w:val="FootnoteText"/>
        <w:rPr>
          <w:sz w:val="18"/>
          <w:szCs w:val="18"/>
        </w:rPr>
      </w:pPr>
      <w:r w:rsidRPr="002920DE">
        <w:rPr>
          <w:rStyle w:val="FootnoteReference"/>
          <w:sz w:val="18"/>
          <w:szCs w:val="18"/>
        </w:rPr>
        <w:footnoteRef/>
      </w:r>
      <w:r w:rsidRPr="002920DE">
        <w:rPr>
          <w:sz w:val="18"/>
          <w:szCs w:val="18"/>
        </w:rPr>
        <w:t>PPP: Public Private Partnership.</w:t>
      </w:r>
    </w:p>
  </w:footnote>
  <w:footnote w:id="12">
    <w:p w:rsidR="00FD4AC6" w:rsidRPr="00A623C4" w:rsidRDefault="00FD4AC6" w:rsidP="003B3B17">
      <w:pPr>
        <w:pStyle w:val="FootnoteText"/>
      </w:pPr>
      <w:r w:rsidRPr="002920DE">
        <w:rPr>
          <w:rStyle w:val="FootnoteReference"/>
          <w:sz w:val="18"/>
          <w:szCs w:val="18"/>
        </w:rPr>
        <w:footnoteRef/>
      </w:r>
      <w:r w:rsidRPr="002920DE">
        <w:rPr>
          <w:sz w:val="18"/>
          <w:szCs w:val="18"/>
        </w:rPr>
        <w:t xml:space="preserve"> O&amp;M contract is a PPP where a private party operates and maintains equipment.</w:t>
      </w:r>
    </w:p>
  </w:footnote>
  <w:footnote w:id="13">
    <w:p w:rsidR="00FD4AC6" w:rsidRPr="004D2867" w:rsidRDefault="00FD4AC6" w:rsidP="003B3B17">
      <w:pPr>
        <w:pStyle w:val="FootnoteText"/>
        <w:rPr>
          <w:sz w:val="18"/>
          <w:szCs w:val="18"/>
        </w:rPr>
      </w:pPr>
      <w:r w:rsidRPr="004D2867">
        <w:rPr>
          <w:rStyle w:val="FootnoteReference"/>
          <w:sz w:val="18"/>
          <w:szCs w:val="18"/>
        </w:rPr>
        <w:footnoteRef/>
      </w:r>
      <w:r w:rsidRPr="004D2867">
        <w:rPr>
          <w:sz w:val="18"/>
          <w:szCs w:val="18"/>
        </w:rPr>
        <w:t xml:space="preserve"> To messages. It is calculated as a percentage of a country’s average monthly GNI per capita, and also presented in USD and PPP$.monitor mobile-cellular prices, ITU uses the mobile-cellular sub-basket, which refers to the price of a standard basket of 30 outgoing calls per month (on-net/off-net to a fixed line and for peak and off-peak times, in predetermined ratios), plus 100 SMS </w:t>
      </w:r>
    </w:p>
  </w:footnote>
  <w:footnote w:id="14">
    <w:p w:rsidR="00FD4AC6" w:rsidRDefault="00FD4AC6" w:rsidP="003B3B17">
      <w:pPr>
        <w:pStyle w:val="FootnoteText"/>
      </w:pPr>
      <w:r>
        <w:rPr>
          <w:rStyle w:val="FootnoteReference"/>
        </w:rPr>
        <w:footnoteRef/>
      </w:r>
      <w:r>
        <w:t xml:space="preserve"> PURA analysis</w:t>
      </w:r>
    </w:p>
  </w:footnote>
  <w:footnote w:id="15">
    <w:p w:rsidR="00FD4AC6" w:rsidRDefault="00FD4AC6" w:rsidP="003B3B17">
      <w:pPr>
        <w:pStyle w:val="FootnoteText"/>
      </w:pPr>
      <w:r>
        <w:rPr>
          <w:rStyle w:val="FootnoteReference"/>
          <w:rFonts w:eastAsia="MS Gothic"/>
        </w:rPr>
        <w:footnoteRef/>
      </w:r>
      <w:r>
        <w:t xml:space="preserve"> PURA analysis</w:t>
      </w:r>
    </w:p>
  </w:footnote>
  <w:footnote w:id="16">
    <w:p w:rsidR="00FD4AC6" w:rsidRDefault="00FD4AC6" w:rsidP="003B3B17">
      <w:pPr>
        <w:pStyle w:val="FootnoteText"/>
        <w:rPr>
          <w:rFonts w:ascii="Avenir Book" w:eastAsia="Cambria" w:hAnsi="Avenir Book"/>
          <w:sz w:val="18"/>
          <w:szCs w:val="24"/>
        </w:rPr>
      </w:pPr>
      <w:r>
        <w:rPr>
          <w:rFonts w:ascii="Avenir Book" w:eastAsia="Cambria" w:hAnsi="Avenir Book"/>
          <w:sz w:val="18"/>
          <w:szCs w:val="24"/>
        </w:rPr>
        <w:footnoteRef/>
      </w:r>
      <w:r>
        <w:rPr>
          <w:rFonts w:ascii="Avenir Book" w:eastAsia="Cambria" w:hAnsi="Avenir Book"/>
          <w:sz w:val="18"/>
          <w:szCs w:val="24"/>
        </w:rPr>
        <w:t xml:space="preserve"> The Gambia Educator Status Report, 2010</w:t>
      </w:r>
    </w:p>
  </w:footnote>
  <w:footnote w:id="17">
    <w:p w:rsidR="00FD4AC6" w:rsidRDefault="00FD4AC6" w:rsidP="003B3B17">
      <w:pPr>
        <w:spacing w:after="0"/>
        <w:rPr>
          <w:rFonts w:ascii="Avenir Book" w:eastAsia="Cambria" w:hAnsi="Avenir Book"/>
          <w:sz w:val="18"/>
          <w:szCs w:val="24"/>
        </w:rPr>
      </w:pPr>
      <w:r>
        <w:rPr>
          <w:rFonts w:ascii="Avenir Book" w:eastAsia="Cambria" w:hAnsi="Avenir Book"/>
          <w:sz w:val="18"/>
          <w:szCs w:val="24"/>
        </w:rPr>
        <w:footnoteRef/>
      </w:r>
      <w:r>
        <w:rPr>
          <w:rFonts w:ascii="Avenir Book" w:eastAsia="Cambria" w:hAnsi="Avenir Book"/>
          <w:sz w:val="18"/>
          <w:szCs w:val="24"/>
        </w:rPr>
        <w:t xml:space="preserve"> MoBSE, Gender Education Unit: Study into the impact of the supply of sanitary pads on girls’ schooling, 2011</w:t>
      </w:r>
    </w:p>
  </w:footnote>
  <w:footnote w:id="18">
    <w:p w:rsidR="00FD4AC6" w:rsidRDefault="00FD4AC6" w:rsidP="003B3B17">
      <w:pPr>
        <w:pStyle w:val="FootnoteText"/>
        <w:rPr>
          <w:rFonts w:ascii="Avenir Book" w:eastAsia="Cambria" w:hAnsi="Avenir Book"/>
          <w:sz w:val="18"/>
          <w:szCs w:val="24"/>
        </w:rPr>
      </w:pPr>
      <w:r>
        <w:rPr>
          <w:rFonts w:ascii="Avenir Book" w:eastAsia="Cambria" w:hAnsi="Avenir Book"/>
          <w:sz w:val="18"/>
          <w:szCs w:val="24"/>
        </w:rPr>
        <w:footnoteRef/>
      </w:r>
      <w:r>
        <w:rPr>
          <w:rFonts w:ascii="Avenir Book" w:eastAsia="Cambria" w:hAnsi="Avenir Book"/>
          <w:sz w:val="18"/>
          <w:szCs w:val="24"/>
        </w:rPr>
        <w:t xml:space="preserve"> The Gambia Education Status Report 2010</w:t>
      </w:r>
    </w:p>
  </w:footnote>
  <w:footnote w:id="19">
    <w:p w:rsidR="00FD4AC6" w:rsidRDefault="00FD4AC6" w:rsidP="003B3B17">
      <w:pPr>
        <w:pStyle w:val="FootnoteText"/>
        <w:rPr>
          <w:rFonts w:ascii="Avenir Book" w:eastAsia="Cambria" w:hAnsi="Avenir Book"/>
          <w:sz w:val="18"/>
          <w:szCs w:val="24"/>
        </w:rPr>
      </w:pPr>
      <w:r>
        <w:rPr>
          <w:rFonts w:ascii="Avenir Book" w:eastAsia="Cambria" w:hAnsi="Avenir Book"/>
          <w:sz w:val="18"/>
          <w:szCs w:val="24"/>
        </w:rPr>
        <w:footnoteRef/>
      </w:r>
      <w:r>
        <w:rPr>
          <w:rFonts w:ascii="Avenir Book" w:eastAsia="Cambria" w:hAnsi="Avenir Book"/>
          <w:sz w:val="18"/>
          <w:szCs w:val="24"/>
        </w:rPr>
        <w:t xml:space="preserve"> ‘Because I am a Girl’ Africa Report 2012: Progress and Obstacles to Girls’ Education in Africa, Plan International.</w:t>
      </w:r>
    </w:p>
  </w:footnote>
  <w:footnote w:id="20">
    <w:p w:rsidR="00FD4AC6" w:rsidRPr="00AC0777" w:rsidRDefault="00FD4AC6" w:rsidP="004143E3">
      <w:pPr>
        <w:numPr>
          <w:ilvl w:val="0"/>
          <w:numId w:val="97"/>
        </w:numPr>
        <w:spacing w:after="0" w:line="240" w:lineRule="auto"/>
        <w:jc w:val="both"/>
        <w:rPr>
          <w:rFonts w:ascii="Avenir Book" w:hAnsi="Avenir Book"/>
          <w:sz w:val="20"/>
          <w:szCs w:val="24"/>
        </w:rPr>
      </w:pPr>
      <w:r w:rsidRPr="00AC0777">
        <w:rPr>
          <w:rFonts w:ascii="Avenir Book" w:hAnsi="Avenir Book"/>
          <w:sz w:val="20"/>
          <w:szCs w:val="24"/>
        </w:rPr>
        <w:footnoteRef/>
      </w:r>
      <w:r w:rsidRPr="00AC0777">
        <w:rPr>
          <w:rFonts w:ascii="Avenir Book" w:hAnsi="Avenir Book"/>
          <w:sz w:val="20"/>
          <w:szCs w:val="24"/>
        </w:rPr>
        <w:t xml:space="preserve"> The Gambia Education Sector Strategic Plan 2014-2022 Document, August 2013.</w:t>
      </w:r>
    </w:p>
  </w:footnote>
  <w:footnote w:id="21">
    <w:p w:rsidR="00FD4AC6" w:rsidRDefault="00FD4AC6" w:rsidP="003B3B17">
      <w:pPr>
        <w:rPr>
          <w:sz w:val="18"/>
          <w:szCs w:val="18"/>
        </w:rPr>
      </w:pPr>
      <w:r>
        <w:rPr>
          <w:vertAlign w:val="superscript"/>
        </w:rPr>
        <w:footnoteRef/>
      </w:r>
      <w:r>
        <w:rPr>
          <w:sz w:val="18"/>
          <w:szCs w:val="18"/>
        </w:rPr>
        <w:t>2013 Population and Housing Census Report</w:t>
      </w:r>
    </w:p>
  </w:footnote>
  <w:footnote w:id="22">
    <w:p w:rsidR="00FD4AC6" w:rsidRDefault="00FD4AC6" w:rsidP="003B3B17">
      <w:pPr>
        <w:pStyle w:val="FootnoteText"/>
        <w:rPr>
          <w:rFonts w:ascii="Avenir Book" w:eastAsia="Cambria" w:hAnsi="Avenir Book"/>
          <w:sz w:val="12"/>
          <w:szCs w:val="24"/>
        </w:rPr>
      </w:pPr>
      <w:r>
        <w:rPr>
          <w:rFonts w:ascii="Avenir Book" w:eastAsia="Cambria" w:hAnsi="Avenir Book"/>
          <w:sz w:val="18"/>
          <w:szCs w:val="24"/>
        </w:rPr>
        <w:footnoteRef/>
      </w:r>
      <w:r>
        <w:rPr>
          <w:rFonts w:ascii="Avenir Book" w:eastAsia="Cambria" w:hAnsi="Avenir Book"/>
          <w:sz w:val="18"/>
          <w:szCs w:val="24"/>
        </w:rPr>
        <w:t xml:space="preserve"> The Gambia Education Sector Strategic Plan 2014-2022 Document, August 2013.</w:t>
      </w:r>
    </w:p>
  </w:footnote>
  <w:footnote w:id="23">
    <w:p w:rsidR="00FD4AC6" w:rsidRPr="00E32776" w:rsidRDefault="00FD4AC6" w:rsidP="00E32776">
      <w:pPr>
        <w:jc w:val="both"/>
        <w:rPr>
          <w:rFonts w:ascii="Avenir Book" w:hAnsi="Avenir Book"/>
          <w:sz w:val="18"/>
          <w:szCs w:val="24"/>
        </w:rPr>
      </w:pPr>
      <w:r>
        <w:rPr>
          <w:rStyle w:val="FootnoteReference"/>
        </w:rPr>
        <w:footnoteRef/>
      </w:r>
      <w:r w:rsidRPr="00E32776">
        <w:rPr>
          <w:rFonts w:ascii="Avenir Book" w:hAnsi="Avenir Book"/>
          <w:sz w:val="18"/>
          <w:szCs w:val="24"/>
        </w:rPr>
        <w:t>Given its cross-cutting impact the ICT sector has been classified under the critical e</w:t>
      </w:r>
      <w:r>
        <w:rPr>
          <w:rFonts w:ascii="Avenir Book" w:hAnsi="Avenir Book"/>
          <w:sz w:val="18"/>
          <w:szCs w:val="24"/>
        </w:rPr>
        <w:t>nablers and treated in Chapter 8</w:t>
      </w:r>
      <w:r w:rsidRPr="00E32776">
        <w:rPr>
          <w:rFonts w:ascii="Avenir Book" w:hAnsi="Avenir Book"/>
          <w:sz w:val="18"/>
          <w:szCs w:val="24"/>
        </w:rPr>
        <w:t>.</w:t>
      </w:r>
    </w:p>
    <w:p w:rsidR="00FD4AC6" w:rsidRDefault="00FD4AC6">
      <w:pPr>
        <w:pStyle w:val="FootnoteText"/>
      </w:pPr>
    </w:p>
  </w:footnote>
  <w:footnote w:id="24">
    <w:p w:rsidR="00FD4AC6" w:rsidRDefault="00FD4AC6" w:rsidP="00D7018B">
      <w:pPr>
        <w:pStyle w:val="FootnoteText"/>
      </w:pPr>
      <w:r>
        <w:rPr>
          <w:rStyle w:val="FootnoteReference"/>
        </w:rPr>
        <w:footnoteRef/>
      </w:r>
      <w:r>
        <w:rPr>
          <w:rStyle w:val="FootnoteReference"/>
        </w:rPr>
        <w:footnoteRef/>
      </w:r>
      <w:r>
        <w:t xml:space="preserve"> Crops, livestock, agricultural research, value addition and Agric business</w:t>
      </w:r>
    </w:p>
  </w:footnote>
  <w:footnote w:id="25">
    <w:p w:rsidR="00FD4AC6" w:rsidRDefault="00FD4AC6" w:rsidP="00D7018B">
      <w:pPr>
        <w:pStyle w:val="FootnoteText"/>
      </w:pPr>
      <w:r>
        <w:rPr>
          <w:rStyle w:val="FootnoteReference"/>
        </w:rPr>
        <w:footnoteRef/>
      </w:r>
      <w:r>
        <w:t xml:space="preserve"> SGD aligned </w:t>
      </w:r>
    </w:p>
  </w:footnote>
  <w:footnote w:id="26">
    <w:p w:rsidR="00FD4AC6" w:rsidRDefault="00FD4AC6" w:rsidP="00D7018B">
      <w:pPr>
        <w:pStyle w:val="FootnoteText"/>
      </w:pPr>
      <w:r>
        <w:rPr>
          <w:rStyle w:val="FootnoteReference"/>
        </w:rPr>
        <w:footnoteRef/>
      </w:r>
      <w:r>
        <w:t xml:space="preserve"> SGD aligned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6" w:rsidRDefault="00FD4AC6">
    <w:pPr>
      <w:pStyle w:val="Header"/>
    </w:pPr>
  </w:p>
  <w:p w:rsidR="00FD4AC6" w:rsidRDefault="00FD4AC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6" w:rsidRDefault="00FD4AC6">
    <w:pPr>
      <w:pStyle w:val="Header"/>
    </w:pPr>
  </w:p>
  <w:p w:rsidR="00FD4AC6" w:rsidRDefault="00FD4AC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98D"/>
    <w:multiLevelType w:val="hybridMultilevel"/>
    <w:tmpl w:val="E6C49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36E409A"/>
    <w:multiLevelType w:val="hybridMultilevel"/>
    <w:tmpl w:val="3C40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2F88"/>
    <w:multiLevelType w:val="hybridMultilevel"/>
    <w:tmpl w:val="688EA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C96ED8"/>
    <w:multiLevelType w:val="hybridMultilevel"/>
    <w:tmpl w:val="766A2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E4324"/>
    <w:multiLevelType w:val="hybridMultilevel"/>
    <w:tmpl w:val="08564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9A390C"/>
    <w:multiLevelType w:val="hybridMultilevel"/>
    <w:tmpl w:val="99A4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9C2F56"/>
    <w:multiLevelType w:val="hybridMultilevel"/>
    <w:tmpl w:val="67D0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8B64A5"/>
    <w:multiLevelType w:val="hybridMultilevel"/>
    <w:tmpl w:val="A0FED5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8D80877"/>
    <w:multiLevelType w:val="hybridMultilevel"/>
    <w:tmpl w:val="E10AE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8E567F0"/>
    <w:multiLevelType w:val="hybridMultilevel"/>
    <w:tmpl w:val="7154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F67418"/>
    <w:multiLevelType w:val="hybridMultilevel"/>
    <w:tmpl w:val="6158D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98D200A"/>
    <w:multiLevelType w:val="hybridMultilevel"/>
    <w:tmpl w:val="BE7C3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A051A9D"/>
    <w:multiLevelType w:val="hybridMultilevel"/>
    <w:tmpl w:val="74460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395539"/>
    <w:multiLevelType w:val="hybridMultilevel"/>
    <w:tmpl w:val="74D6C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B11478B"/>
    <w:multiLevelType w:val="hybridMultilevel"/>
    <w:tmpl w:val="EA346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0B7A0919"/>
    <w:multiLevelType w:val="hybridMultilevel"/>
    <w:tmpl w:val="8A00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0BC06D05"/>
    <w:multiLevelType w:val="hybridMultilevel"/>
    <w:tmpl w:val="3A948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C6E02D5"/>
    <w:multiLevelType w:val="hybridMultilevel"/>
    <w:tmpl w:val="913AF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CF427C4"/>
    <w:multiLevelType w:val="hybridMultilevel"/>
    <w:tmpl w:val="7122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6645F6"/>
    <w:multiLevelType w:val="hybridMultilevel"/>
    <w:tmpl w:val="7FB02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0DC605A8"/>
    <w:multiLevelType w:val="hybridMultilevel"/>
    <w:tmpl w:val="4BF2F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0DD839E0"/>
    <w:multiLevelType w:val="hybridMultilevel"/>
    <w:tmpl w:val="0BE233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DD771D"/>
    <w:multiLevelType w:val="hybridMultilevel"/>
    <w:tmpl w:val="C4AC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5E1328"/>
    <w:multiLevelType w:val="hybridMultilevel"/>
    <w:tmpl w:val="454028AE"/>
    <w:lvl w:ilvl="0" w:tplc="F330202E">
      <w:start w:val="1"/>
      <w:numFmt w:val="decimal"/>
      <w:lvlText w:val="%1."/>
      <w:lvlJc w:val="left"/>
      <w:pPr>
        <w:ind w:left="360" w:hanging="360"/>
      </w:pPr>
      <w:rPr>
        <w:rFonts w:ascii="Avenir Book" w:eastAsiaTheme="minorHAnsi" w:hAnsi="Avenir Book" w:cs="Times New Roman" w:hint="default"/>
      </w:rPr>
    </w:lvl>
    <w:lvl w:ilvl="1" w:tplc="2E48F1E2">
      <w:start w:val="1"/>
      <w:numFmt w:val="decimal"/>
      <w:lvlText w:val="%2."/>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10636128"/>
    <w:multiLevelType w:val="hybridMultilevel"/>
    <w:tmpl w:val="13AC3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07D49EC"/>
    <w:multiLevelType w:val="hybridMultilevel"/>
    <w:tmpl w:val="42181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0C34581"/>
    <w:multiLevelType w:val="hybridMultilevel"/>
    <w:tmpl w:val="675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15166F"/>
    <w:multiLevelType w:val="hybridMultilevel"/>
    <w:tmpl w:val="B2A4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1FD566C"/>
    <w:multiLevelType w:val="multilevel"/>
    <w:tmpl w:val="27D6CA88"/>
    <w:lvl w:ilvl="0">
      <w:start w:val="1"/>
      <w:numFmt w:val="decimal"/>
      <w:pStyle w:val="Heading11"/>
      <w:suff w:val="space"/>
      <w:lvlText w:val="%1."/>
      <w:lvlJc w:val="left"/>
      <w:pPr>
        <w:ind w:left="0" w:firstLine="0"/>
      </w:pPr>
      <w:rPr>
        <w:rFonts w:hint="default"/>
      </w:rPr>
    </w:lvl>
    <w:lvl w:ilvl="1">
      <w:start w:val="1"/>
      <w:numFmt w:val="none"/>
      <w:pStyle w:val="Heading21"/>
      <w:suff w:val="nothing"/>
      <w:lvlText w:val=""/>
      <w:lvlJc w:val="left"/>
      <w:pPr>
        <w:ind w:left="0" w:firstLine="0"/>
      </w:pPr>
      <w:rPr>
        <w:rFonts w:hint="default"/>
      </w:rPr>
    </w:lvl>
    <w:lvl w:ilvl="2">
      <w:start w:val="1"/>
      <w:numFmt w:val="none"/>
      <w:pStyle w:val="Heading31"/>
      <w:suff w:val="nothing"/>
      <w:lvlText w:val=""/>
      <w:lvlJc w:val="left"/>
      <w:pPr>
        <w:ind w:left="0" w:firstLine="0"/>
      </w:pPr>
      <w:rPr>
        <w:rFonts w:hint="default"/>
      </w:rPr>
    </w:lvl>
    <w:lvl w:ilvl="3">
      <w:start w:val="1"/>
      <w:numFmt w:val="none"/>
      <w:pStyle w:val="Heading41"/>
      <w:suff w:val="nothing"/>
      <w:lvlText w:val=""/>
      <w:lvlJc w:val="left"/>
      <w:pPr>
        <w:ind w:left="0" w:firstLine="0"/>
      </w:pPr>
      <w:rPr>
        <w:rFonts w:hint="default"/>
      </w:rPr>
    </w:lvl>
    <w:lvl w:ilvl="4">
      <w:start w:val="1"/>
      <w:numFmt w:val="none"/>
      <w:pStyle w:val="Heading51"/>
      <w:suff w:val="nothing"/>
      <w:lvlText w:val=""/>
      <w:lvlJc w:val="left"/>
      <w:pPr>
        <w:ind w:left="0" w:firstLine="0"/>
      </w:pPr>
      <w:rPr>
        <w:rFonts w:hint="default"/>
      </w:rPr>
    </w:lvl>
    <w:lvl w:ilvl="5">
      <w:start w:val="1"/>
      <w:numFmt w:val="none"/>
      <w:pStyle w:val="Heading61"/>
      <w:suff w:val="nothing"/>
      <w:lvlText w:val=""/>
      <w:lvlJc w:val="left"/>
      <w:pPr>
        <w:ind w:left="0" w:firstLine="0"/>
      </w:pPr>
      <w:rPr>
        <w:rFonts w:hint="default"/>
      </w:rPr>
    </w:lvl>
    <w:lvl w:ilvl="6">
      <w:start w:val="1"/>
      <w:numFmt w:val="none"/>
      <w:pStyle w:val="Heading71"/>
      <w:suff w:val="nothing"/>
      <w:lvlText w:val=""/>
      <w:lvlJc w:val="left"/>
      <w:pPr>
        <w:ind w:left="0" w:firstLine="0"/>
      </w:pPr>
      <w:rPr>
        <w:rFonts w:hint="default"/>
      </w:rPr>
    </w:lvl>
    <w:lvl w:ilvl="7">
      <w:start w:val="1"/>
      <w:numFmt w:val="none"/>
      <w:pStyle w:val="Heading81"/>
      <w:suff w:val="nothing"/>
      <w:lvlText w:val=""/>
      <w:lvlJc w:val="left"/>
      <w:pPr>
        <w:ind w:left="0" w:firstLine="0"/>
      </w:pPr>
      <w:rPr>
        <w:rFonts w:hint="default"/>
      </w:rPr>
    </w:lvl>
    <w:lvl w:ilvl="8">
      <w:start w:val="1"/>
      <w:numFmt w:val="none"/>
      <w:pStyle w:val="Heading91"/>
      <w:suff w:val="nothing"/>
      <w:lvlText w:val=""/>
      <w:lvlJc w:val="left"/>
      <w:pPr>
        <w:ind w:left="0" w:firstLine="0"/>
      </w:pPr>
      <w:rPr>
        <w:rFonts w:hint="default"/>
      </w:rPr>
    </w:lvl>
  </w:abstractNum>
  <w:abstractNum w:abstractNumId="29">
    <w:nsid w:val="13090755"/>
    <w:multiLevelType w:val="hybridMultilevel"/>
    <w:tmpl w:val="FC46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105CA9"/>
    <w:multiLevelType w:val="hybridMultilevel"/>
    <w:tmpl w:val="31C02244"/>
    <w:lvl w:ilvl="0" w:tplc="3CF28AFA">
      <w:start w:val="1"/>
      <w:numFmt w:val="decimal"/>
      <w:pStyle w:val="ParagraphNumbering"/>
      <w:lvlText w:val="%1.     "/>
      <w:lvlJc w:val="left"/>
      <w:pPr>
        <w:tabs>
          <w:tab w:val="num" w:pos="72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141F1E13"/>
    <w:multiLevelType w:val="hybridMultilevel"/>
    <w:tmpl w:val="CCD49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4972BB7"/>
    <w:multiLevelType w:val="hybridMultilevel"/>
    <w:tmpl w:val="850E0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14FF2685"/>
    <w:multiLevelType w:val="hybridMultilevel"/>
    <w:tmpl w:val="F0B28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5744359"/>
    <w:multiLevelType w:val="hybridMultilevel"/>
    <w:tmpl w:val="49A4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6027269"/>
    <w:multiLevelType w:val="hybridMultilevel"/>
    <w:tmpl w:val="DFFC5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6352807"/>
    <w:multiLevelType w:val="hybridMultilevel"/>
    <w:tmpl w:val="DFB48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63C4043"/>
    <w:multiLevelType w:val="hybridMultilevel"/>
    <w:tmpl w:val="16E6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A97C3D"/>
    <w:multiLevelType w:val="hybridMultilevel"/>
    <w:tmpl w:val="1A5CB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16D23CBD"/>
    <w:multiLevelType w:val="hybridMultilevel"/>
    <w:tmpl w:val="CA1E5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17F138C4"/>
    <w:multiLevelType w:val="hybridMultilevel"/>
    <w:tmpl w:val="0D04C36C"/>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41">
    <w:nsid w:val="188B36E6"/>
    <w:multiLevelType w:val="hybridMultilevel"/>
    <w:tmpl w:val="A712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A66743B"/>
    <w:multiLevelType w:val="hybridMultilevel"/>
    <w:tmpl w:val="B414F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B2D4F22"/>
    <w:multiLevelType w:val="hybridMultilevel"/>
    <w:tmpl w:val="3D926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0817A6"/>
    <w:multiLevelType w:val="hybridMultilevel"/>
    <w:tmpl w:val="C2446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1C094579"/>
    <w:multiLevelType w:val="hybridMultilevel"/>
    <w:tmpl w:val="318E7110"/>
    <w:lvl w:ilvl="0" w:tplc="2E48F1E2">
      <w:start w:val="1"/>
      <w:numFmt w:val="decimal"/>
      <w:lvlText w:val="%1."/>
      <w:lvlJc w:val="left"/>
      <w:pPr>
        <w:ind w:left="360" w:hanging="360"/>
      </w:pPr>
      <w:rPr>
        <w:rFonts w:ascii="Times New Roman" w:eastAsiaTheme="minorHAnsi" w:hAnsi="Times New Roman" w:cs="Times New Roman" w:hint="default"/>
      </w:rPr>
    </w:lvl>
    <w:lvl w:ilvl="1" w:tplc="2E48F1E2">
      <w:start w:val="1"/>
      <w:numFmt w:val="decimal"/>
      <w:lvlText w:val="%2."/>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1C58231D"/>
    <w:multiLevelType w:val="hybridMultilevel"/>
    <w:tmpl w:val="73363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C7A3BCE"/>
    <w:multiLevelType w:val="hybridMultilevel"/>
    <w:tmpl w:val="54BE6D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1CEF3C0F"/>
    <w:multiLevelType w:val="hybridMultilevel"/>
    <w:tmpl w:val="99409C1C"/>
    <w:lvl w:ilvl="0" w:tplc="5F025DEA">
      <w:start w:val="1"/>
      <w:numFmt w:val="bullet"/>
      <w:lvlText w:val="•"/>
      <w:lvlJc w:val="left"/>
      <w:pPr>
        <w:tabs>
          <w:tab w:val="num" w:pos="720"/>
        </w:tabs>
        <w:ind w:left="720" w:hanging="360"/>
      </w:pPr>
      <w:rPr>
        <w:rFonts w:ascii="Arial" w:hAnsi="Arial" w:hint="default"/>
      </w:rPr>
    </w:lvl>
    <w:lvl w:ilvl="1" w:tplc="54023F76" w:tentative="1">
      <w:start w:val="1"/>
      <w:numFmt w:val="bullet"/>
      <w:lvlText w:val="•"/>
      <w:lvlJc w:val="left"/>
      <w:pPr>
        <w:tabs>
          <w:tab w:val="num" w:pos="1440"/>
        </w:tabs>
        <w:ind w:left="1440" w:hanging="360"/>
      </w:pPr>
      <w:rPr>
        <w:rFonts w:ascii="Arial" w:hAnsi="Arial" w:hint="default"/>
      </w:rPr>
    </w:lvl>
    <w:lvl w:ilvl="2" w:tplc="F51CF7C0" w:tentative="1">
      <w:start w:val="1"/>
      <w:numFmt w:val="bullet"/>
      <w:lvlText w:val="•"/>
      <w:lvlJc w:val="left"/>
      <w:pPr>
        <w:tabs>
          <w:tab w:val="num" w:pos="2160"/>
        </w:tabs>
        <w:ind w:left="2160" w:hanging="360"/>
      </w:pPr>
      <w:rPr>
        <w:rFonts w:ascii="Arial" w:hAnsi="Arial" w:hint="default"/>
      </w:rPr>
    </w:lvl>
    <w:lvl w:ilvl="3" w:tplc="155A67CC" w:tentative="1">
      <w:start w:val="1"/>
      <w:numFmt w:val="bullet"/>
      <w:lvlText w:val="•"/>
      <w:lvlJc w:val="left"/>
      <w:pPr>
        <w:tabs>
          <w:tab w:val="num" w:pos="2880"/>
        </w:tabs>
        <w:ind w:left="2880" w:hanging="360"/>
      </w:pPr>
      <w:rPr>
        <w:rFonts w:ascii="Arial" w:hAnsi="Arial" w:hint="default"/>
      </w:rPr>
    </w:lvl>
    <w:lvl w:ilvl="4" w:tplc="6E947EA2" w:tentative="1">
      <w:start w:val="1"/>
      <w:numFmt w:val="bullet"/>
      <w:lvlText w:val="•"/>
      <w:lvlJc w:val="left"/>
      <w:pPr>
        <w:tabs>
          <w:tab w:val="num" w:pos="3600"/>
        </w:tabs>
        <w:ind w:left="3600" w:hanging="360"/>
      </w:pPr>
      <w:rPr>
        <w:rFonts w:ascii="Arial" w:hAnsi="Arial" w:hint="default"/>
      </w:rPr>
    </w:lvl>
    <w:lvl w:ilvl="5" w:tplc="A8649DEC" w:tentative="1">
      <w:start w:val="1"/>
      <w:numFmt w:val="bullet"/>
      <w:lvlText w:val="•"/>
      <w:lvlJc w:val="left"/>
      <w:pPr>
        <w:tabs>
          <w:tab w:val="num" w:pos="4320"/>
        </w:tabs>
        <w:ind w:left="4320" w:hanging="360"/>
      </w:pPr>
      <w:rPr>
        <w:rFonts w:ascii="Arial" w:hAnsi="Arial" w:hint="default"/>
      </w:rPr>
    </w:lvl>
    <w:lvl w:ilvl="6" w:tplc="F7169F74" w:tentative="1">
      <w:start w:val="1"/>
      <w:numFmt w:val="bullet"/>
      <w:lvlText w:val="•"/>
      <w:lvlJc w:val="left"/>
      <w:pPr>
        <w:tabs>
          <w:tab w:val="num" w:pos="5040"/>
        </w:tabs>
        <w:ind w:left="5040" w:hanging="360"/>
      </w:pPr>
      <w:rPr>
        <w:rFonts w:ascii="Arial" w:hAnsi="Arial" w:hint="default"/>
      </w:rPr>
    </w:lvl>
    <w:lvl w:ilvl="7" w:tplc="D43CB36E" w:tentative="1">
      <w:start w:val="1"/>
      <w:numFmt w:val="bullet"/>
      <w:lvlText w:val="•"/>
      <w:lvlJc w:val="left"/>
      <w:pPr>
        <w:tabs>
          <w:tab w:val="num" w:pos="5760"/>
        </w:tabs>
        <w:ind w:left="5760" w:hanging="360"/>
      </w:pPr>
      <w:rPr>
        <w:rFonts w:ascii="Arial" w:hAnsi="Arial" w:hint="default"/>
      </w:rPr>
    </w:lvl>
    <w:lvl w:ilvl="8" w:tplc="F9D64A36" w:tentative="1">
      <w:start w:val="1"/>
      <w:numFmt w:val="bullet"/>
      <w:lvlText w:val="•"/>
      <w:lvlJc w:val="left"/>
      <w:pPr>
        <w:tabs>
          <w:tab w:val="num" w:pos="6480"/>
        </w:tabs>
        <w:ind w:left="6480" w:hanging="360"/>
      </w:pPr>
      <w:rPr>
        <w:rFonts w:ascii="Arial" w:hAnsi="Arial" w:hint="default"/>
      </w:rPr>
    </w:lvl>
  </w:abstractNum>
  <w:abstractNum w:abstractNumId="49">
    <w:nsid w:val="1DC12200"/>
    <w:multiLevelType w:val="hybridMultilevel"/>
    <w:tmpl w:val="A5901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1DE757FC"/>
    <w:multiLevelType w:val="hybridMultilevel"/>
    <w:tmpl w:val="6F3E1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1E42743D"/>
    <w:multiLevelType w:val="hybridMultilevel"/>
    <w:tmpl w:val="49FEE850"/>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52">
    <w:nsid w:val="1F2462A9"/>
    <w:multiLevelType w:val="hybridMultilevel"/>
    <w:tmpl w:val="4FBC53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1FDC729C"/>
    <w:multiLevelType w:val="hybridMultilevel"/>
    <w:tmpl w:val="4AE0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F075DF"/>
    <w:multiLevelType w:val="hybridMultilevel"/>
    <w:tmpl w:val="98A44742"/>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207E4BFE"/>
    <w:multiLevelType w:val="hybridMultilevel"/>
    <w:tmpl w:val="5B962226"/>
    <w:lvl w:ilvl="0" w:tplc="4D342DFC">
      <w:start w:val="1"/>
      <w:numFmt w:val="upperRoman"/>
      <w:lvlText w:val="%1."/>
      <w:lvlJc w:val="right"/>
      <w:pPr>
        <w:ind w:left="720" w:hanging="360"/>
      </w:pPr>
      <w:rPr>
        <w:rFonts w:ascii="Avenir Book" w:eastAsia="MS Mincho" w:hAnsi="Avenir Book"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21A20828"/>
    <w:multiLevelType w:val="hybridMultilevel"/>
    <w:tmpl w:val="1EAA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1A31F02"/>
    <w:multiLevelType w:val="hybridMultilevel"/>
    <w:tmpl w:val="76588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22066D3C"/>
    <w:multiLevelType w:val="hybridMultilevel"/>
    <w:tmpl w:val="CAF0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2AA7E87"/>
    <w:multiLevelType w:val="hybridMultilevel"/>
    <w:tmpl w:val="89E0D8C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0">
    <w:nsid w:val="22DE6916"/>
    <w:multiLevelType w:val="hybridMultilevel"/>
    <w:tmpl w:val="9A868242"/>
    <w:lvl w:ilvl="0" w:tplc="2BD8887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C2069C"/>
    <w:multiLevelType w:val="hybridMultilevel"/>
    <w:tmpl w:val="E03C104E"/>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3E00D3D"/>
    <w:multiLevelType w:val="hybridMultilevel"/>
    <w:tmpl w:val="224E7EB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575D65"/>
    <w:multiLevelType w:val="hybridMultilevel"/>
    <w:tmpl w:val="52ECAF86"/>
    <w:lvl w:ilvl="0" w:tplc="71F2C410">
      <w:start w:val="1"/>
      <w:numFmt w:val="bullet"/>
      <w:lvlText w:val="•"/>
      <w:lvlJc w:val="left"/>
      <w:pPr>
        <w:tabs>
          <w:tab w:val="num" w:pos="360"/>
        </w:tabs>
        <w:ind w:left="360" w:hanging="360"/>
      </w:pPr>
      <w:rPr>
        <w:rFonts w:ascii="Arial" w:hAnsi="Arial" w:hint="default"/>
      </w:rPr>
    </w:lvl>
    <w:lvl w:ilvl="1" w:tplc="04090001">
      <w:start w:val="1"/>
      <w:numFmt w:val="bullet"/>
      <w:lvlText w:val=""/>
      <w:lvlJc w:val="left"/>
      <w:pPr>
        <w:tabs>
          <w:tab w:val="num" w:pos="1080"/>
        </w:tabs>
        <w:ind w:left="1080" w:hanging="360"/>
      </w:pPr>
      <w:rPr>
        <w:rFonts w:ascii="Symbol" w:hAnsi="Symbol" w:hint="default"/>
      </w:rPr>
    </w:lvl>
    <w:lvl w:ilvl="2" w:tplc="8B500040" w:tentative="1">
      <w:start w:val="1"/>
      <w:numFmt w:val="bullet"/>
      <w:lvlText w:val="•"/>
      <w:lvlJc w:val="left"/>
      <w:pPr>
        <w:tabs>
          <w:tab w:val="num" w:pos="1800"/>
        </w:tabs>
        <w:ind w:left="1800" w:hanging="360"/>
      </w:pPr>
      <w:rPr>
        <w:rFonts w:ascii="Arial" w:hAnsi="Arial" w:hint="default"/>
      </w:rPr>
    </w:lvl>
    <w:lvl w:ilvl="3" w:tplc="141CFE92" w:tentative="1">
      <w:start w:val="1"/>
      <w:numFmt w:val="bullet"/>
      <w:lvlText w:val="•"/>
      <w:lvlJc w:val="left"/>
      <w:pPr>
        <w:tabs>
          <w:tab w:val="num" w:pos="2520"/>
        </w:tabs>
        <w:ind w:left="2520" w:hanging="360"/>
      </w:pPr>
      <w:rPr>
        <w:rFonts w:ascii="Arial" w:hAnsi="Arial" w:hint="default"/>
      </w:rPr>
    </w:lvl>
    <w:lvl w:ilvl="4" w:tplc="F092D482" w:tentative="1">
      <w:start w:val="1"/>
      <w:numFmt w:val="bullet"/>
      <w:lvlText w:val="•"/>
      <w:lvlJc w:val="left"/>
      <w:pPr>
        <w:tabs>
          <w:tab w:val="num" w:pos="3240"/>
        </w:tabs>
        <w:ind w:left="3240" w:hanging="360"/>
      </w:pPr>
      <w:rPr>
        <w:rFonts w:ascii="Arial" w:hAnsi="Arial" w:hint="default"/>
      </w:rPr>
    </w:lvl>
    <w:lvl w:ilvl="5" w:tplc="071AB128" w:tentative="1">
      <w:start w:val="1"/>
      <w:numFmt w:val="bullet"/>
      <w:lvlText w:val="•"/>
      <w:lvlJc w:val="left"/>
      <w:pPr>
        <w:tabs>
          <w:tab w:val="num" w:pos="3960"/>
        </w:tabs>
        <w:ind w:left="3960" w:hanging="360"/>
      </w:pPr>
      <w:rPr>
        <w:rFonts w:ascii="Arial" w:hAnsi="Arial" w:hint="default"/>
      </w:rPr>
    </w:lvl>
    <w:lvl w:ilvl="6" w:tplc="D8689AE2" w:tentative="1">
      <w:start w:val="1"/>
      <w:numFmt w:val="bullet"/>
      <w:lvlText w:val="•"/>
      <w:lvlJc w:val="left"/>
      <w:pPr>
        <w:tabs>
          <w:tab w:val="num" w:pos="4680"/>
        </w:tabs>
        <w:ind w:left="4680" w:hanging="360"/>
      </w:pPr>
      <w:rPr>
        <w:rFonts w:ascii="Arial" w:hAnsi="Arial" w:hint="default"/>
      </w:rPr>
    </w:lvl>
    <w:lvl w:ilvl="7" w:tplc="7B3E9CB0" w:tentative="1">
      <w:start w:val="1"/>
      <w:numFmt w:val="bullet"/>
      <w:lvlText w:val="•"/>
      <w:lvlJc w:val="left"/>
      <w:pPr>
        <w:tabs>
          <w:tab w:val="num" w:pos="5400"/>
        </w:tabs>
        <w:ind w:left="5400" w:hanging="360"/>
      </w:pPr>
      <w:rPr>
        <w:rFonts w:ascii="Arial" w:hAnsi="Arial" w:hint="default"/>
      </w:rPr>
    </w:lvl>
    <w:lvl w:ilvl="8" w:tplc="909046AA" w:tentative="1">
      <w:start w:val="1"/>
      <w:numFmt w:val="bullet"/>
      <w:lvlText w:val="•"/>
      <w:lvlJc w:val="left"/>
      <w:pPr>
        <w:tabs>
          <w:tab w:val="num" w:pos="6120"/>
        </w:tabs>
        <w:ind w:left="6120" w:hanging="360"/>
      </w:pPr>
      <w:rPr>
        <w:rFonts w:ascii="Arial" w:hAnsi="Arial" w:hint="default"/>
      </w:rPr>
    </w:lvl>
  </w:abstractNum>
  <w:abstractNum w:abstractNumId="64">
    <w:nsid w:val="25624811"/>
    <w:multiLevelType w:val="hybridMultilevel"/>
    <w:tmpl w:val="C92C4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261A60B4"/>
    <w:multiLevelType w:val="hybridMultilevel"/>
    <w:tmpl w:val="5D1A1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66771CA"/>
    <w:multiLevelType w:val="hybridMultilevel"/>
    <w:tmpl w:val="3028EB0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nsid w:val="26E54A1D"/>
    <w:multiLevelType w:val="hybridMultilevel"/>
    <w:tmpl w:val="185C0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6FC58D3"/>
    <w:multiLevelType w:val="hybridMultilevel"/>
    <w:tmpl w:val="21E2544E"/>
    <w:lvl w:ilvl="0" w:tplc="5F025DE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77320EB"/>
    <w:multiLevelType w:val="hybridMultilevel"/>
    <w:tmpl w:val="1B04D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279D6414"/>
    <w:multiLevelType w:val="hybridMultilevel"/>
    <w:tmpl w:val="251CF7A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1">
    <w:nsid w:val="28092D78"/>
    <w:multiLevelType w:val="hybridMultilevel"/>
    <w:tmpl w:val="3B06B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8E63255"/>
    <w:multiLevelType w:val="hybridMultilevel"/>
    <w:tmpl w:val="27D0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913708B"/>
    <w:multiLevelType w:val="hybridMultilevel"/>
    <w:tmpl w:val="B66C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297F266A"/>
    <w:multiLevelType w:val="hybridMultilevel"/>
    <w:tmpl w:val="AF40D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nsid w:val="2AD14E67"/>
    <w:multiLevelType w:val="hybridMultilevel"/>
    <w:tmpl w:val="3B12A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BE53CEC"/>
    <w:multiLevelType w:val="hybridMultilevel"/>
    <w:tmpl w:val="B8761A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CA44B0E"/>
    <w:multiLevelType w:val="hybridMultilevel"/>
    <w:tmpl w:val="19F8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2DC34D20"/>
    <w:multiLevelType w:val="hybridMultilevel"/>
    <w:tmpl w:val="71EE1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2E0A783D"/>
    <w:multiLevelType w:val="hybridMultilevel"/>
    <w:tmpl w:val="146E1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2E647FE3"/>
    <w:multiLevelType w:val="hybridMultilevel"/>
    <w:tmpl w:val="6E90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EE8400F"/>
    <w:multiLevelType w:val="hybridMultilevel"/>
    <w:tmpl w:val="B5262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2F586E60"/>
    <w:multiLevelType w:val="multilevel"/>
    <w:tmpl w:val="4258BCE0"/>
    <w:lvl w:ilvl="0">
      <w:start w:val="9"/>
      <w:numFmt w:val="decimal"/>
      <w:lvlText w:val="%1"/>
      <w:lvlJc w:val="left"/>
      <w:pPr>
        <w:ind w:left="458" w:hanging="458"/>
      </w:pPr>
      <w:rPr>
        <w:rFonts w:hint="default"/>
      </w:rPr>
    </w:lvl>
    <w:lvl w:ilvl="1">
      <w:start w:val="2"/>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2F5E6898"/>
    <w:multiLevelType w:val="hybridMultilevel"/>
    <w:tmpl w:val="6CEAEEF0"/>
    <w:lvl w:ilvl="0" w:tplc="04090001">
      <w:start w:val="1"/>
      <w:numFmt w:val="bullet"/>
      <w:lvlText w:val=""/>
      <w:lvlJc w:val="left"/>
      <w:pPr>
        <w:ind w:left="360" w:hanging="360"/>
      </w:pPr>
      <w:rPr>
        <w:rFonts w:ascii="Symbol" w:hAnsi="Symbol" w:hint="default"/>
      </w:rPr>
    </w:lvl>
    <w:lvl w:ilvl="1" w:tplc="198EE08C">
      <w:numFmt w:val="bullet"/>
      <w:lvlText w:val="•"/>
      <w:lvlJc w:val="left"/>
      <w:pPr>
        <w:ind w:left="1080" w:hanging="360"/>
      </w:pPr>
      <w:rPr>
        <w:rFonts w:ascii="Avenir Book" w:eastAsia="Calibri" w:hAnsi="Avenir Book"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F5F0CB4"/>
    <w:multiLevelType w:val="hybridMultilevel"/>
    <w:tmpl w:val="09FE94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F7424C4"/>
    <w:multiLevelType w:val="hybridMultilevel"/>
    <w:tmpl w:val="683E7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nsid w:val="2FC71704"/>
    <w:multiLevelType w:val="hybridMultilevel"/>
    <w:tmpl w:val="7D4E79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26C125A"/>
    <w:multiLevelType w:val="hybridMultilevel"/>
    <w:tmpl w:val="94700A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nsid w:val="33643831"/>
    <w:multiLevelType w:val="hybridMultilevel"/>
    <w:tmpl w:val="D188E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336F5A6D"/>
    <w:multiLevelType w:val="hybridMultilevel"/>
    <w:tmpl w:val="C42E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34154E76"/>
    <w:multiLevelType w:val="hybridMultilevel"/>
    <w:tmpl w:val="E1B2F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34B24A7C"/>
    <w:multiLevelType w:val="hybridMultilevel"/>
    <w:tmpl w:val="F306DC8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nsid w:val="351D5123"/>
    <w:multiLevelType w:val="hybridMultilevel"/>
    <w:tmpl w:val="48069BE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51E7E50"/>
    <w:multiLevelType w:val="hybridMultilevel"/>
    <w:tmpl w:val="27007F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5D85326"/>
    <w:multiLevelType w:val="hybridMultilevel"/>
    <w:tmpl w:val="AFE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7A73E1E"/>
    <w:multiLevelType w:val="hybridMultilevel"/>
    <w:tmpl w:val="9DB0E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384E4204"/>
    <w:multiLevelType w:val="hybridMultilevel"/>
    <w:tmpl w:val="9BEE6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394665D2"/>
    <w:multiLevelType w:val="hybridMultilevel"/>
    <w:tmpl w:val="5F467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9F942F4"/>
    <w:multiLevelType w:val="hybridMultilevel"/>
    <w:tmpl w:val="BDF85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BAB43DB"/>
    <w:multiLevelType w:val="hybridMultilevel"/>
    <w:tmpl w:val="2AFEA366"/>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nsid w:val="3BEC7E60"/>
    <w:multiLevelType w:val="hybridMultilevel"/>
    <w:tmpl w:val="1AB04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C3A433D"/>
    <w:multiLevelType w:val="multilevel"/>
    <w:tmpl w:val="94DC59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2">
    <w:nsid w:val="3D1F001E"/>
    <w:multiLevelType w:val="hybridMultilevel"/>
    <w:tmpl w:val="4C98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DB45885"/>
    <w:multiLevelType w:val="hybridMultilevel"/>
    <w:tmpl w:val="63D6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DE23544"/>
    <w:multiLevelType w:val="hybridMultilevel"/>
    <w:tmpl w:val="691482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nsid w:val="3F236D84"/>
    <w:multiLevelType w:val="hybridMultilevel"/>
    <w:tmpl w:val="7C58D8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F2D5F30"/>
    <w:multiLevelType w:val="hybridMultilevel"/>
    <w:tmpl w:val="E996E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3FAF5B2A"/>
    <w:multiLevelType w:val="multilevel"/>
    <w:tmpl w:val="610473A8"/>
    <w:lvl w:ilvl="0">
      <w:start w:val="7"/>
      <w:numFmt w:val="decimal"/>
      <w:lvlText w:val="%1"/>
      <w:lvlJc w:val="left"/>
      <w:pPr>
        <w:ind w:left="458" w:hanging="458"/>
      </w:pPr>
      <w:rPr>
        <w:rFonts w:hint="default"/>
      </w:rPr>
    </w:lvl>
    <w:lvl w:ilvl="1">
      <w:start w:val="5"/>
      <w:numFmt w:val="decimal"/>
      <w:lvlText w:val="%1.%2"/>
      <w:lvlJc w:val="left"/>
      <w:pPr>
        <w:ind w:left="458" w:hanging="45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3FF72B46"/>
    <w:multiLevelType w:val="hybridMultilevel"/>
    <w:tmpl w:val="948410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FFE2DD5"/>
    <w:multiLevelType w:val="multilevel"/>
    <w:tmpl w:val="01D4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031547B"/>
    <w:multiLevelType w:val="hybridMultilevel"/>
    <w:tmpl w:val="347CF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07F0666"/>
    <w:multiLevelType w:val="hybridMultilevel"/>
    <w:tmpl w:val="387C728C"/>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2">
    <w:nsid w:val="41BE61B8"/>
    <w:multiLevelType w:val="hybridMultilevel"/>
    <w:tmpl w:val="3B7C4D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0D1E51"/>
    <w:multiLevelType w:val="hybridMultilevel"/>
    <w:tmpl w:val="71D0DC7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4">
    <w:nsid w:val="43F72113"/>
    <w:multiLevelType w:val="hybridMultilevel"/>
    <w:tmpl w:val="5E56A5F2"/>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nsid w:val="43FE1BE3"/>
    <w:multiLevelType w:val="hybridMultilevel"/>
    <w:tmpl w:val="8E9A3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nsid w:val="442B6997"/>
    <w:multiLevelType w:val="hybridMultilevel"/>
    <w:tmpl w:val="F634BCAC"/>
    <w:lvl w:ilvl="0" w:tplc="BEDC9EB4">
      <w:start w:val="1"/>
      <w:numFmt w:val="decimal"/>
      <w:lvlText w:val="%1."/>
      <w:lvlJc w:val="left"/>
      <w:pPr>
        <w:ind w:left="216" w:hanging="216"/>
      </w:pPr>
      <w:rPr>
        <w:rFonts w:ascii="Avenir Book" w:eastAsiaTheme="minorHAnsi" w:hAnsi="Avenir Book"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44B7686C"/>
    <w:multiLevelType w:val="hybridMultilevel"/>
    <w:tmpl w:val="A1AE1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450F123A"/>
    <w:multiLevelType w:val="hybridMultilevel"/>
    <w:tmpl w:val="FD4611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9">
    <w:nsid w:val="45367557"/>
    <w:multiLevelType w:val="hybridMultilevel"/>
    <w:tmpl w:val="998E8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5B44CC4"/>
    <w:multiLevelType w:val="hybridMultilevel"/>
    <w:tmpl w:val="973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7346781"/>
    <w:multiLevelType w:val="hybridMultilevel"/>
    <w:tmpl w:val="CFEE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nsid w:val="47E024BD"/>
    <w:multiLevelType w:val="hybridMultilevel"/>
    <w:tmpl w:val="52C0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7F12EAB"/>
    <w:multiLevelType w:val="hybridMultilevel"/>
    <w:tmpl w:val="0B8C40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4">
    <w:nsid w:val="48095695"/>
    <w:multiLevelType w:val="hybridMultilevel"/>
    <w:tmpl w:val="D960E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5">
    <w:nsid w:val="483673D6"/>
    <w:multiLevelType w:val="hybridMultilevel"/>
    <w:tmpl w:val="74D44362"/>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nsid w:val="487D315C"/>
    <w:multiLevelType w:val="hybridMultilevel"/>
    <w:tmpl w:val="87E26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nsid w:val="48D7283C"/>
    <w:multiLevelType w:val="hybridMultilevel"/>
    <w:tmpl w:val="A626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9F458E1"/>
    <w:multiLevelType w:val="hybridMultilevel"/>
    <w:tmpl w:val="F138A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nsid w:val="4A8D56BF"/>
    <w:multiLevelType w:val="hybridMultilevel"/>
    <w:tmpl w:val="82FEF2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nsid w:val="4ADC2822"/>
    <w:multiLevelType w:val="hybridMultilevel"/>
    <w:tmpl w:val="D75EB43E"/>
    <w:lvl w:ilvl="0" w:tplc="3BC8CB52">
      <w:start w:val="1"/>
      <w:numFmt w:val="decimal"/>
      <w:lvlText w:val="%1)"/>
      <w:lvlJc w:val="left"/>
      <w:pPr>
        <w:ind w:left="758" w:hanging="360"/>
      </w:pPr>
      <w:rPr>
        <w:b w:val="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131">
    <w:nsid w:val="4B471C30"/>
    <w:multiLevelType w:val="hybridMultilevel"/>
    <w:tmpl w:val="1E7A726E"/>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2">
    <w:nsid w:val="4BDE529D"/>
    <w:multiLevelType w:val="multilevel"/>
    <w:tmpl w:val="17349C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3">
    <w:nsid w:val="4C9665C7"/>
    <w:multiLevelType w:val="hybridMultilevel"/>
    <w:tmpl w:val="9F6C5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CE41692"/>
    <w:multiLevelType w:val="hybridMultilevel"/>
    <w:tmpl w:val="00BA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DB431CA"/>
    <w:multiLevelType w:val="hybridMultilevel"/>
    <w:tmpl w:val="9A66C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FA24771"/>
    <w:multiLevelType w:val="hybridMultilevel"/>
    <w:tmpl w:val="0162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FE959D7"/>
    <w:multiLevelType w:val="hybridMultilevel"/>
    <w:tmpl w:val="B80664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50B870B4"/>
    <w:multiLevelType w:val="hybridMultilevel"/>
    <w:tmpl w:val="D064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0D65CC6"/>
    <w:multiLevelType w:val="hybridMultilevel"/>
    <w:tmpl w:val="E3E8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0F623CB"/>
    <w:multiLevelType w:val="hybridMultilevel"/>
    <w:tmpl w:val="EE860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nsid w:val="51CF2893"/>
    <w:multiLevelType w:val="hybridMultilevel"/>
    <w:tmpl w:val="A2AC2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1E625CF"/>
    <w:multiLevelType w:val="hybridMultilevel"/>
    <w:tmpl w:val="47FCD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5B07DE"/>
    <w:multiLevelType w:val="hybridMultilevel"/>
    <w:tmpl w:val="169A8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854C47"/>
    <w:multiLevelType w:val="hybridMultilevel"/>
    <w:tmpl w:val="06AA2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3D440AE"/>
    <w:multiLevelType w:val="hybridMultilevel"/>
    <w:tmpl w:val="1A523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6">
    <w:nsid w:val="53DE360A"/>
    <w:multiLevelType w:val="hybridMultilevel"/>
    <w:tmpl w:val="A7420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3E71EEC"/>
    <w:multiLevelType w:val="hybridMultilevel"/>
    <w:tmpl w:val="0FDCC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nsid w:val="540C1C72"/>
    <w:multiLevelType w:val="hybridMultilevel"/>
    <w:tmpl w:val="0778E706"/>
    <w:lvl w:ilvl="0" w:tplc="0409001B">
      <w:start w:val="1"/>
      <w:numFmt w:val="lowerRoman"/>
      <w:lvlText w:val="%1."/>
      <w:lvlJc w:val="righ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49">
    <w:nsid w:val="54AB7727"/>
    <w:multiLevelType w:val="hybridMultilevel"/>
    <w:tmpl w:val="DCF4F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55155EB3"/>
    <w:multiLevelType w:val="hybridMultilevel"/>
    <w:tmpl w:val="650CE1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569E36B8"/>
    <w:multiLevelType w:val="hybridMultilevel"/>
    <w:tmpl w:val="E4007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73A26F3"/>
    <w:multiLevelType w:val="hybridMultilevel"/>
    <w:tmpl w:val="C6228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57D96029"/>
    <w:multiLevelType w:val="hybridMultilevel"/>
    <w:tmpl w:val="B6101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nsid w:val="58EF10E6"/>
    <w:multiLevelType w:val="hybridMultilevel"/>
    <w:tmpl w:val="7BB6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90F5210"/>
    <w:multiLevelType w:val="hybridMultilevel"/>
    <w:tmpl w:val="0288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95564BC"/>
    <w:multiLevelType w:val="hybridMultilevel"/>
    <w:tmpl w:val="96F0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95A09CA"/>
    <w:multiLevelType w:val="hybridMultilevel"/>
    <w:tmpl w:val="95C2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A193221"/>
    <w:multiLevelType w:val="hybridMultilevel"/>
    <w:tmpl w:val="C96C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B406133"/>
    <w:multiLevelType w:val="hybridMultilevel"/>
    <w:tmpl w:val="42CACA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nsid w:val="5CB13329"/>
    <w:multiLevelType w:val="hybridMultilevel"/>
    <w:tmpl w:val="9168EF6C"/>
    <w:lvl w:ilvl="0" w:tplc="84F6798E">
      <w:start w:val="1"/>
      <w:numFmt w:val="bullet"/>
      <w:pStyle w:val="Bullet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5D0A1C1F"/>
    <w:multiLevelType w:val="hybridMultilevel"/>
    <w:tmpl w:val="1C763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D28187D"/>
    <w:multiLevelType w:val="hybridMultilevel"/>
    <w:tmpl w:val="3EF6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D902212"/>
    <w:multiLevelType w:val="hybridMultilevel"/>
    <w:tmpl w:val="838E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DD16678"/>
    <w:multiLevelType w:val="hybridMultilevel"/>
    <w:tmpl w:val="21D2F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5">
    <w:nsid w:val="5DF37567"/>
    <w:multiLevelType w:val="hybridMultilevel"/>
    <w:tmpl w:val="74BE1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F40717"/>
    <w:multiLevelType w:val="hybridMultilevel"/>
    <w:tmpl w:val="4836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F742713"/>
    <w:multiLevelType w:val="hybridMultilevel"/>
    <w:tmpl w:val="84DC62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78592D"/>
    <w:multiLevelType w:val="hybridMultilevel"/>
    <w:tmpl w:val="9F2A8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5FA46B18"/>
    <w:multiLevelType w:val="hybridMultilevel"/>
    <w:tmpl w:val="E390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nsid w:val="5FE76543"/>
    <w:multiLevelType w:val="hybridMultilevel"/>
    <w:tmpl w:val="25CEC0EA"/>
    <w:lvl w:ilvl="0" w:tplc="71F2C410">
      <w:start w:val="1"/>
      <w:numFmt w:val="bullet"/>
      <w:lvlText w:val="•"/>
      <w:lvlJc w:val="left"/>
      <w:pPr>
        <w:tabs>
          <w:tab w:val="num" w:pos="360"/>
        </w:tabs>
        <w:ind w:left="360" w:hanging="360"/>
      </w:pPr>
      <w:rPr>
        <w:rFonts w:ascii="Arial" w:hAnsi="Arial" w:hint="default"/>
      </w:rPr>
    </w:lvl>
    <w:lvl w:ilvl="1" w:tplc="4342BB28">
      <w:numFmt w:val="bullet"/>
      <w:lvlText w:val="o"/>
      <w:lvlJc w:val="left"/>
      <w:pPr>
        <w:tabs>
          <w:tab w:val="num" w:pos="1080"/>
        </w:tabs>
        <w:ind w:left="1080" w:hanging="360"/>
      </w:pPr>
      <w:rPr>
        <w:rFonts w:ascii="Courier New" w:hAnsi="Courier New" w:hint="default"/>
      </w:rPr>
    </w:lvl>
    <w:lvl w:ilvl="2" w:tplc="8B500040" w:tentative="1">
      <w:start w:val="1"/>
      <w:numFmt w:val="bullet"/>
      <w:lvlText w:val="•"/>
      <w:lvlJc w:val="left"/>
      <w:pPr>
        <w:tabs>
          <w:tab w:val="num" w:pos="1800"/>
        </w:tabs>
        <w:ind w:left="1800" w:hanging="360"/>
      </w:pPr>
      <w:rPr>
        <w:rFonts w:ascii="Arial" w:hAnsi="Arial" w:hint="default"/>
      </w:rPr>
    </w:lvl>
    <w:lvl w:ilvl="3" w:tplc="141CFE92" w:tentative="1">
      <w:start w:val="1"/>
      <w:numFmt w:val="bullet"/>
      <w:lvlText w:val="•"/>
      <w:lvlJc w:val="left"/>
      <w:pPr>
        <w:tabs>
          <w:tab w:val="num" w:pos="2520"/>
        </w:tabs>
        <w:ind w:left="2520" w:hanging="360"/>
      </w:pPr>
      <w:rPr>
        <w:rFonts w:ascii="Arial" w:hAnsi="Arial" w:hint="default"/>
      </w:rPr>
    </w:lvl>
    <w:lvl w:ilvl="4" w:tplc="F092D482" w:tentative="1">
      <w:start w:val="1"/>
      <w:numFmt w:val="bullet"/>
      <w:lvlText w:val="•"/>
      <w:lvlJc w:val="left"/>
      <w:pPr>
        <w:tabs>
          <w:tab w:val="num" w:pos="3240"/>
        </w:tabs>
        <w:ind w:left="3240" w:hanging="360"/>
      </w:pPr>
      <w:rPr>
        <w:rFonts w:ascii="Arial" w:hAnsi="Arial" w:hint="default"/>
      </w:rPr>
    </w:lvl>
    <w:lvl w:ilvl="5" w:tplc="071AB128" w:tentative="1">
      <w:start w:val="1"/>
      <w:numFmt w:val="bullet"/>
      <w:lvlText w:val="•"/>
      <w:lvlJc w:val="left"/>
      <w:pPr>
        <w:tabs>
          <w:tab w:val="num" w:pos="3960"/>
        </w:tabs>
        <w:ind w:left="3960" w:hanging="360"/>
      </w:pPr>
      <w:rPr>
        <w:rFonts w:ascii="Arial" w:hAnsi="Arial" w:hint="default"/>
      </w:rPr>
    </w:lvl>
    <w:lvl w:ilvl="6" w:tplc="D8689AE2" w:tentative="1">
      <w:start w:val="1"/>
      <w:numFmt w:val="bullet"/>
      <w:lvlText w:val="•"/>
      <w:lvlJc w:val="left"/>
      <w:pPr>
        <w:tabs>
          <w:tab w:val="num" w:pos="4680"/>
        </w:tabs>
        <w:ind w:left="4680" w:hanging="360"/>
      </w:pPr>
      <w:rPr>
        <w:rFonts w:ascii="Arial" w:hAnsi="Arial" w:hint="default"/>
      </w:rPr>
    </w:lvl>
    <w:lvl w:ilvl="7" w:tplc="7B3E9CB0" w:tentative="1">
      <w:start w:val="1"/>
      <w:numFmt w:val="bullet"/>
      <w:lvlText w:val="•"/>
      <w:lvlJc w:val="left"/>
      <w:pPr>
        <w:tabs>
          <w:tab w:val="num" w:pos="5400"/>
        </w:tabs>
        <w:ind w:left="5400" w:hanging="360"/>
      </w:pPr>
      <w:rPr>
        <w:rFonts w:ascii="Arial" w:hAnsi="Arial" w:hint="default"/>
      </w:rPr>
    </w:lvl>
    <w:lvl w:ilvl="8" w:tplc="909046AA" w:tentative="1">
      <w:start w:val="1"/>
      <w:numFmt w:val="bullet"/>
      <w:lvlText w:val="•"/>
      <w:lvlJc w:val="left"/>
      <w:pPr>
        <w:tabs>
          <w:tab w:val="num" w:pos="6120"/>
        </w:tabs>
        <w:ind w:left="6120" w:hanging="360"/>
      </w:pPr>
      <w:rPr>
        <w:rFonts w:ascii="Arial" w:hAnsi="Arial" w:hint="default"/>
      </w:rPr>
    </w:lvl>
  </w:abstractNum>
  <w:abstractNum w:abstractNumId="171">
    <w:nsid w:val="605B4E32"/>
    <w:multiLevelType w:val="hybridMultilevel"/>
    <w:tmpl w:val="39CA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09F7C59"/>
    <w:multiLevelType w:val="hybridMultilevel"/>
    <w:tmpl w:val="752EEC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150111E"/>
    <w:multiLevelType w:val="hybridMultilevel"/>
    <w:tmpl w:val="C2A0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20E7FB8"/>
    <w:multiLevelType w:val="hybridMultilevel"/>
    <w:tmpl w:val="A8BA53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nsid w:val="62B92735"/>
    <w:multiLevelType w:val="hybridMultilevel"/>
    <w:tmpl w:val="99C49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6">
    <w:nsid w:val="64724333"/>
    <w:multiLevelType w:val="hybridMultilevel"/>
    <w:tmpl w:val="74848D48"/>
    <w:lvl w:ilvl="0" w:tplc="82DCCB78">
      <w:start w:val="1"/>
      <w:numFmt w:val="bullet"/>
      <w:lvlText w:val="•"/>
      <w:lvlJc w:val="left"/>
      <w:pPr>
        <w:tabs>
          <w:tab w:val="num" w:pos="720"/>
        </w:tabs>
        <w:ind w:left="720" w:hanging="360"/>
      </w:pPr>
      <w:rPr>
        <w:rFonts w:ascii="Arial" w:hAnsi="Arial" w:hint="default"/>
      </w:rPr>
    </w:lvl>
    <w:lvl w:ilvl="1" w:tplc="6598079A">
      <w:numFmt w:val="bullet"/>
      <w:lvlText w:val="•"/>
      <w:lvlJc w:val="left"/>
      <w:pPr>
        <w:tabs>
          <w:tab w:val="num" w:pos="1440"/>
        </w:tabs>
        <w:ind w:left="1440" w:hanging="360"/>
      </w:pPr>
      <w:rPr>
        <w:rFonts w:ascii="Arial" w:hAnsi="Arial" w:hint="default"/>
      </w:rPr>
    </w:lvl>
    <w:lvl w:ilvl="2" w:tplc="D7D8FC50">
      <w:numFmt w:val="bullet"/>
      <w:lvlText w:val="•"/>
      <w:lvlJc w:val="left"/>
      <w:pPr>
        <w:tabs>
          <w:tab w:val="num" w:pos="2160"/>
        </w:tabs>
        <w:ind w:left="2160" w:hanging="360"/>
      </w:pPr>
      <w:rPr>
        <w:rFonts w:ascii="Arial" w:hAnsi="Arial" w:hint="default"/>
      </w:rPr>
    </w:lvl>
    <w:lvl w:ilvl="3" w:tplc="1D88668C">
      <w:start w:val="1"/>
      <w:numFmt w:val="bullet"/>
      <w:lvlText w:val="•"/>
      <w:lvlJc w:val="left"/>
      <w:pPr>
        <w:tabs>
          <w:tab w:val="num" w:pos="2880"/>
        </w:tabs>
        <w:ind w:left="2880" w:hanging="360"/>
      </w:pPr>
      <w:rPr>
        <w:rFonts w:ascii="Arial" w:hAnsi="Arial" w:hint="default"/>
      </w:rPr>
    </w:lvl>
    <w:lvl w:ilvl="4" w:tplc="77BC002E" w:tentative="1">
      <w:start w:val="1"/>
      <w:numFmt w:val="bullet"/>
      <w:lvlText w:val="•"/>
      <w:lvlJc w:val="left"/>
      <w:pPr>
        <w:tabs>
          <w:tab w:val="num" w:pos="3600"/>
        </w:tabs>
        <w:ind w:left="3600" w:hanging="360"/>
      </w:pPr>
      <w:rPr>
        <w:rFonts w:ascii="Arial" w:hAnsi="Arial" w:hint="default"/>
      </w:rPr>
    </w:lvl>
    <w:lvl w:ilvl="5" w:tplc="511AE148" w:tentative="1">
      <w:start w:val="1"/>
      <w:numFmt w:val="bullet"/>
      <w:lvlText w:val="•"/>
      <w:lvlJc w:val="left"/>
      <w:pPr>
        <w:tabs>
          <w:tab w:val="num" w:pos="4320"/>
        </w:tabs>
        <w:ind w:left="4320" w:hanging="360"/>
      </w:pPr>
      <w:rPr>
        <w:rFonts w:ascii="Arial" w:hAnsi="Arial" w:hint="default"/>
      </w:rPr>
    </w:lvl>
    <w:lvl w:ilvl="6" w:tplc="342E55F8" w:tentative="1">
      <w:start w:val="1"/>
      <w:numFmt w:val="bullet"/>
      <w:lvlText w:val="•"/>
      <w:lvlJc w:val="left"/>
      <w:pPr>
        <w:tabs>
          <w:tab w:val="num" w:pos="5040"/>
        </w:tabs>
        <w:ind w:left="5040" w:hanging="360"/>
      </w:pPr>
      <w:rPr>
        <w:rFonts w:ascii="Arial" w:hAnsi="Arial" w:hint="default"/>
      </w:rPr>
    </w:lvl>
    <w:lvl w:ilvl="7" w:tplc="61EAB7BC" w:tentative="1">
      <w:start w:val="1"/>
      <w:numFmt w:val="bullet"/>
      <w:lvlText w:val="•"/>
      <w:lvlJc w:val="left"/>
      <w:pPr>
        <w:tabs>
          <w:tab w:val="num" w:pos="5760"/>
        </w:tabs>
        <w:ind w:left="5760" w:hanging="360"/>
      </w:pPr>
      <w:rPr>
        <w:rFonts w:ascii="Arial" w:hAnsi="Arial" w:hint="default"/>
      </w:rPr>
    </w:lvl>
    <w:lvl w:ilvl="8" w:tplc="58C29D74" w:tentative="1">
      <w:start w:val="1"/>
      <w:numFmt w:val="bullet"/>
      <w:lvlText w:val="•"/>
      <w:lvlJc w:val="left"/>
      <w:pPr>
        <w:tabs>
          <w:tab w:val="num" w:pos="6480"/>
        </w:tabs>
        <w:ind w:left="6480" w:hanging="360"/>
      </w:pPr>
      <w:rPr>
        <w:rFonts w:ascii="Arial" w:hAnsi="Arial" w:hint="default"/>
      </w:rPr>
    </w:lvl>
  </w:abstractNum>
  <w:abstractNum w:abstractNumId="177">
    <w:nsid w:val="65466E15"/>
    <w:multiLevelType w:val="hybridMultilevel"/>
    <w:tmpl w:val="CF7AF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66BE60C1"/>
    <w:multiLevelType w:val="hybridMultilevel"/>
    <w:tmpl w:val="45A07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7271A90"/>
    <w:multiLevelType w:val="hybridMultilevel"/>
    <w:tmpl w:val="791E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0">
    <w:nsid w:val="673E0584"/>
    <w:multiLevelType w:val="hybridMultilevel"/>
    <w:tmpl w:val="1D245050"/>
    <w:lvl w:ilvl="0" w:tplc="3AB6B250">
      <w:start w:val="6"/>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81">
    <w:nsid w:val="67A16556"/>
    <w:multiLevelType w:val="hybridMultilevel"/>
    <w:tmpl w:val="9D8EF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85B3740"/>
    <w:multiLevelType w:val="hybridMultilevel"/>
    <w:tmpl w:val="BEC87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AB166F9"/>
    <w:multiLevelType w:val="hybridMultilevel"/>
    <w:tmpl w:val="65840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B183844"/>
    <w:multiLevelType w:val="hybridMultilevel"/>
    <w:tmpl w:val="AB627A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B1B3D9A"/>
    <w:multiLevelType w:val="hybridMultilevel"/>
    <w:tmpl w:val="B492FD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6">
    <w:nsid w:val="6B352CAF"/>
    <w:multiLevelType w:val="hybridMultilevel"/>
    <w:tmpl w:val="FB381E4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D5345BF"/>
    <w:multiLevelType w:val="hybridMultilevel"/>
    <w:tmpl w:val="FBB4E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8">
    <w:nsid w:val="6EB27A5D"/>
    <w:multiLevelType w:val="hybridMultilevel"/>
    <w:tmpl w:val="371ED09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9">
    <w:nsid w:val="6EE7505B"/>
    <w:multiLevelType w:val="hybridMultilevel"/>
    <w:tmpl w:val="F6E0A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EFA493E"/>
    <w:multiLevelType w:val="hybridMultilevel"/>
    <w:tmpl w:val="97D444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1">
    <w:nsid w:val="6F962FAC"/>
    <w:multiLevelType w:val="hybridMultilevel"/>
    <w:tmpl w:val="41B4F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nsid w:val="70A8368B"/>
    <w:multiLevelType w:val="hybridMultilevel"/>
    <w:tmpl w:val="6AC22ED8"/>
    <w:lvl w:ilvl="0" w:tplc="B98EFC52">
      <w:start w:val="1"/>
      <w:numFmt w:val="decimal"/>
      <w:lvlText w:val="%1."/>
      <w:lvlJc w:val="left"/>
      <w:pPr>
        <w:ind w:left="36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nsid w:val="70D14711"/>
    <w:multiLevelType w:val="hybridMultilevel"/>
    <w:tmpl w:val="43C6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0D56C7D"/>
    <w:multiLevelType w:val="hybridMultilevel"/>
    <w:tmpl w:val="EC840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nsid w:val="712C68DC"/>
    <w:multiLevelType w:val="hybridMultilevel"/>
    <w:tmpl w:val="3A92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2F627C5"/>
    <w:multiLevelType w:val="hybridMultilevel"/>
    <w:tmpl w:val="ECB21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737C2C39"/>
    <w:multiLevelType w:val="hybridMultilevel"/>
    <w:tmpl w:val="973C8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nsid w:val="74647F32"/>
    <w:multiLevelType w:val="hybridMultilevel"/>
    <w:tmpl w:val="DB3AEF6A"/>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9">
    <w:nsid w:val="746C2D70"/>
    <w:multiLevelType w:val="hybridMultilevel"/>
    <w:tmpl w:val="C3FAD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74791F09"/>
    <w:multiLevelType w:val="hybridMultilevel"/>
    <w:tmpl w:val="9F62E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7507510E"/>
    <w:multiLevelType w:val="hybridMultilevel"/>
    <w:tmpl w:val="D5C8EC0A"/>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2">
    <w:nsid w:val="76031F3B"/>
    <w:multiLevelType w:val="hybridMultilevel"/>
    <w:tmpl w:val="946803F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03">
    <w:nsid w:val="773C05AE"/>
    <w:multiLevelType w:val="hybridMultilevel"/>
    <w:tmpl w:val="29CCB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4">
    <w:nsid w:val="77BD5D9D"/>
    <w:multiLevelType w:val="hybridMultilevel"/>
    <w:tmpl w:val="23723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nsid w:val="77EB3EF6"/>
    <w:multiLevelType w:val="hybridMultilevel"/>
    <w:tmpl w:val="E2CEB0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8065DC1"/>
    <w:multiLevelType w:val="hybridMultilevel"/>
    <w:tmpl w:val="272630E0"/>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7">
    <w:nsid w:val="79155B43"/>
    <w:multiLevelType w:val="hybridMultilevel"/>
    <w:tmpl w:val="FC6C7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nsid w:val="79335D7F"/>
    <w:multiLevelType w:val="hybridMultilevel"/>
    <w:tmpl w:val="13EED8A0"/>
    <w:lvl w:ilvl="0" w:tplc="2E48F1E2">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9">
    <w:nsid w:val="798955F5"/>
    <w:multiLevelType w:val="hybridMultilevel"/>
    <w:tmpl w:val="A426CD3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0">
    <w:nsid w:val="7A084E86"/>
    <w:multiLevelType w:val="hybridMultilevel"/>
    <w:tmpl w:val="551C9E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7A377104"/>
    <w:multiLevelType w:val="hybridMultilevel"/>
    <w:tmpl w:val="11CAB328"/>
    <w:lvl w:ilvl="0" w:tplc="9CF842F0">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B262C8E"/>
    <w:multiLevelType w:val="hybridMultilevel"/>
    <w:tmpl w:val="DA081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C3547C8"/>
    <w:multiLevelType w:val="hybridMultilevel"/>
    <w:tmpl w:val="0B5A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CB051E0"/>
    <w:multiLevelType w:val="hybridMultilevel"/>
    <w:tmpl w:val="8E40CC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5">
    <w:nsid w:val="7D19770E"/>
    <w:multiLevelType w:val="hybridMultilevel"/>
    <w:tmpl w:val="33F0E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D07311"/>
    <w:multiLevelType w:val="hybridMultilevel"/>
    <w:tmpl w:val="63E8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DE92CDD"/>
    <w:multiLevelType w:val="hybridMultilevel"/>
    <w:tmpl w:val="A27E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nsid w:val="7DF314BF"/>
    <w:multiLevelType w:val="hybridMultilevel"/>
    <w:tmpl w:val="0F626E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7EDF081F"/>
    <w:multiLevelType w:val="hybridMultilevel"/>
    <w:tmpl w:val="745A37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7F7A45C7"/>
    <w:multiLevelType w:val="hybridMultilevel"/>
    <w:tmpl w:val="6F6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FB75BB2"/>
    <w:multiLevelType w:val="hybridMultilevel"/>
    <w:tmpl w:val="26E44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nsid w:val="7FF810C4"/>
    <w:multiLevelType w:val="hybridMultilevel"/>
    <w:tmpl w:val="9D04362A"/>
    <w:lvl w:ilvl="0" w:tplc="04090001">
      <w:start w:val="1"/>
      <w:numFmt w:val="bullet"/>
      <w:lvlText w:val=""/>
      <w:lvlJc w:val="left"/>
      <w:pPr>
        <w:ind w:left="360" w:hanging="360"/>
      </w:pPr>
      <w:rPr>
        <w:rFonts w:ascii="Symbol" w:hAnsi="Symbol" w:hint="default"/>
      </w:rPr>
    </w:lvl>
    <w:lvl w:ilvl="1" w:tplc="694AA798">
      <w:numFmt w:val="bullet"/>
      <w:lvlText w:val="•"/>
      <w:lvlJc w:val="left"/>
      <w:pPr>
        <w:ind w:left="1080" w:hanging="360"/>
      </w:pPr>
      <w:rPr>
        <w:rFonts w:ascii="Avenir Book" w:eastAsia="Calibri" w:hAnsi="Avenir Book"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1"/>
  </w:num>
  <w:num w:numId="2">
    <w:abstractNumId w:val="193"/>
  </w:num>
  <w:num w:numId="3">
    <w:abstractNumId w:val="108"/>
  </w:num>
  <w:num w:numId="4">
    <w:abstractNumId w:val="65"/>
  </w:num>
  <w:num w:numId="5">
    <w:abstractNumId w:val="0"/>
  </w:num>
  <w:num w:numId="6">
    <w:abstractNumId w:val="145"/>
  </w:num>
  <w:num w:numId="7">
    <w:abstractNumId w:val="124"/>
  </w:num>
  <w:num w:numId="8">
    <w:abstractNumId w:val="69"/>
  </w:num>
  <w:num w:numId="9">
    <w:abstractNumId w:val="165"/>
  </w:num>
  <w:num w:numId="10">
    <w:abstractNumId w:val="152"/>
  </w:num>
  <w:num w:numId="11">
    <w:abstractNumId w:val="205"/>
  </w:num>
  <w:num w:numId="12">
    <w:abstractNumId w:val="110"/>
  </w:num>
  <w:num w:numId="13">
    <w:abstractNumId w:val="219"/>
  </w:num>
  <w:num w:numId="14">
    <w:abstractNumId w:val="48"/>
  </w:num>
  <w:num w:numId="15">
    <w:abstractNumId w:val="29"/>
  </w:num>
  <w:num w:numId="16">
    <w:abstractNumId w:val="150"/>
  </w:num>
  <w:num w:numId="17">
    <w:abstractNumId w:val="154"/>
  </w:num>
  <w:num w:numId="18">
    <w:abstractNumId w:val="16"/>
  </w:num>
  <w:num w:numId="19">
    <w:abstractNumId w:val="102"/>
  </w:num>
  <w:num w:numId="20">
    <w:abstractNumId w:val="111"/>
  </w:num>
  <w:num w:numId="21">
    <w:abstractNumId w:val="136"/>
  </w:num>
  <w:num w:numId="22">
    <w:abstractNumId w:val="56"/>
  </w:num>
  <w:num w:numId="23">
    <w:abstractNumId w:val="122"/>
  </w:num>
  <w:num w:numId="24">
    <w:abstractNumId w:val="97"/>
  </w:num>
  <w:num w:numId="25">
    <w:abstractNumId w:val="55"/>
  </w:num>
  <w:num w:numId="2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0"/>
  </w:num>
  <w:num w:numId="28">
    <w:abstractNumId w:val="58"/>
  </w:num>
  <w:num w:numId="29">
    <w:abstractNumId w:val="53"/>
  </w:num>
  <w:num w:numId="30">
    <w:abstractNumId w:val="160"/>
  </w:num>
  <w:num w:numId="31">
    <w:abstractNumId w:val="28"/>
  </w:num>
  <w:num w:numId="32">
    <w:abstractNumId w:val="30"/>
  </w:num>
  <w:num w:numId="33">
    <w:abstractNumId w:val="27"/>
  </w:num>
  <w:num w:numId="34">
    <w:abstractNumId w:val="103"/>
  </w:num>
  <w:num w:numId="35">
    <w:abstractNumId w:val="34"/>
  </w:num>
  <w:num w:numId="36">
    <w:abstractNumId w:val="43"/>
  </w:num>
  <w:num w:numId="37">
    <w:abstractNumId w:val="215"/>
  </w:num>
  <w:num w:numId="38">
    <w:abstractNumId w:val="31"/>
  </w:num>
  <w:num w:numId="39">
    <w:abstractNumId w:val="12"/>
  </w:num>
  <w:num w:numId="40">
    <w:abstractNumId w:val="112"/>
  </w:num>
  <w:num w:numId="41">
    <w:abstractNumId w:val="33"/>
  </w:num>
  <w:num w:numId="42">
    <w:abstractNumId w:val="144"/>
  </w:num>
  <w:num w:numId="43">
    <w:abstractNumId w:val="161"/>
  </w:num>
  <w:num w:numId="44">
    <w:abstractNumId w:val="62"/>
  </w:num>
  <w:num w:numId="45">
    <w:abstractNumId w:val="49"/>
  </w:num>
  <w:num w:numId="46">
    <w:abstractNumId w:val="213"/>
  </w:num>
  <w:num w:numId="47">
    <w:abstractNumId w:val="189"/>
  </w:num>
  <w:num w:numId="48">
    <w:abstractNumId w:val="178"/>
  </w:num>
  <w:num w:numId="49">
    <w:abstractNumId w:val="100"/>
  </w:num>
  <w:num w:numId="50">
    <w:abstractNumId w:val="68"/>
  </w:num>
  <w:num w:numId="51">
    <w:abstractNumId w:val="67"/>
  </w:num>
  <w:num w:numId="52">
    <w:abstractNumId w:val="200"/>
  </w:num>
  <w:num w:numId="53">
    <w:abstractNumId w:val="139"/>
  </w:num>
  <w:num w:numId="54">
    <w:abstractNumId w:val="46"/>
  </w:num>
  <w:num w:numId="55">
    <w:abstractNumId w:val="176"/>
  </w:num>
  <w:num w:numId="56">
    <w:abstractNumId w:val="181"/>
  </w:num>
  <w:num w:numId="57">
    <w:abstractNumId w:val="66"/>
  </w:num>
  <w:num w:numId="58">
    <w:abstractNumId w:val="173"/>
  </w:num>
  <w:num w:numId="59">
    <w:abstractNumId w:val="166"/>
  </w:num>
  <w:num w:numId="60">
    <w:abstractNumId w:val="94"/>
  </w:num>
  <w:num w:numId="61">
    <w:abstractNumId w:val="5"/>
  </w:num>
  <w:num w:numId="62">
    <w:abstractNumId w:val="163"/>
  </w:num>
  <w:num w:numId="63">
    <w:abstractNumId w:val="130"/>
  </w:num>
  <w:num w:numId="64">
    <w:abstractNumId w:val="107"/>
  </w:num>
  <w:num w:numId="65">
    <w:abstractNumId w:val="156"/>
  </w:num>
  <w:num w:numId="66">
    <w:abstractNumId w:val="17"/>
  </w:num>
  <w:num w:numId="67">
    <w:abstractNumId w:val="21"/>
  </w:num>
  <w:num w:numId="68">
    <w:abstractNumId w:val="146"/>
  </w:num>
  <w:num w:numId="69">
    <w:abstractNumId w:val="35"/>
  </w:num>
  <w:num w:numId="70">
    <w:abstractNumId w:val="6"/>
  </w:num>
  <w:num w:numId="71">
    <w:abstractNumId w:val="37"/>
  </w:num>
  <w:num w:numId="72">
    <w:abstractNumId w:val="195"/>
  </w:num>
  <w:num w:numId="73">
    <w:abstractNumId w:val="157"/>
  </w:num>
  <w:num w:numId="74">
    <w:abstractNumId w:val="88"/>
  </w:num>
  <w:num w:numId="75">
    <w:abstractNumId w:val="212"/>
  </w:num>
  <w:num w:numId="76">
    <w:abstractNumId w:val="3"/>
  </w:num>
  <w:num w:numId="77">
    <w:abstractNumId w:val="135"/>
  </w:num>
  <w:num w:numId="78">
    <w:abstractNumId w:val="14"/>
  </w:num>
  <w:num w:numId="79">
    <w:abstractNumId w:val="4"/>
  </w:num>
  <w:num w:numId="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9"/>
  </w:num>
  <w:num w:numId="82">
    <w:abstractNumId w:val="19"/>
  </w:num>
  <w:num w:numId="83">
    <w:abstractNumId w:val="87"/>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num>
  <w:num w:numId="86">
    <w:abstractNumId w:val="132"/>
  </w:num>
  <w:num w:numId="87">
    <w:abstractNumId w:val="138"/>
  </w:num>
  <w:num w:numId="88">
    <w:abstractNumId w:val="171"/>
  </w:num>
  <w:num w:numId="89">
    <w:abstractNumId w:val="60"/>
  </w:num>
  <w:num w:numId="90">
    <w:abstractNumId w:val="1"/>
  </w:num>
  <w:num w:numId="91">
    <w:abstractNumId w:val="177"/>
  </w:num>
  <w:num w:numId="92">
    <w:abstractNumId w:val="158"/>
  </w:num>
  <w:num w:numId="93">
    <w:abstractNumId w:val="143"/>
  </w:num>
  <w:num w:numId="94">
    <w:abstractNumId w:val="222"/>
  </w:num>
  <w:num w:numId="95">
    <w:abstractNumId w:val="151"/>
  </w:num>
  <w:num w:numId="96">
    <w:abstractNumId w:val="142"/>
  </w:num>
  <w:num w:numId="97">
    <w:abstractNumId w:val="83"/>
  </w:num>
  <w:num w:numId="98">
    <w:abstractNumId w:val="184"/>
  </w:num>
  <w:num w:numId="99">
    <w:abstractNumId w:val="105"/>
  </w:num>
  <w:num w:numId="100">
    <w:abstractNumId w:val="133"/>
  </w:num>
  <w:num w:numId="101">
    <w:abstractNumId w:val="75"/>
  </w:num>
  <w:num w:numId="102">
    <w:abstractNumId w:val="182"/>
  </w:num>
  <w:num w:numId="103">
    <w:abstractNumId w:val="183"/>
  </w:num>
  <w:num w:numId="104">
    <w:abstractNumId w:val="137"/>
  </w:num>
  <w:num w:numId="105">
    <w:abstractNumId w:val="22"/>
  </w:num>
  <w:num w:numId="106">
    <w:abstractNumId w:val="86"/>
  </w:num>
  <w:num w:numId="107">
    <w:abstractNumId w:val="98"/>
  </w:num>
  <w:num w:numId="108">
    <w:abstractNumId w:val="186"/>
  </w:num>
  <w:num w:numId="109">
    <w:abstractNumId w:val="216"/>
  </w:num>
  <w:num w:numId="110">
    <w:abstractNumId w:val="9"/>
  </w:num>
  <w:num w:numId="111">
    <w:abstractNumId w:val="80"/>
  </w:num>
  <w:num w:numId="112">
    <w:abstractNumId w:val="109"/>
  </w:num>
  <w:num w:numId="113">
    <w:abstractNumId w:val="26"/>
  </w:num>
  <w:num w:numId="114">
    <w:abstractNumId w:val="162"/>
  </w:num>
  <w:num w:numId="115">
    <w:abstractNumId w:val="24"/>
  </w:num>
  <w:num w:numId="116">
    <w:abstractNumId w:val="95"/>
  </w:num>
  <w:num w:numId="117">
    <w:abstractNumId w:val="18"/>
  </w:num>
  <w:num w:numId="118">
    <w:abstractNumId w:val="76"/>
  </w:num>
  <w:num w:numId="119">
    <w:abstractNumId w:val="167"/>
  </w:num>
  <w:num w:numId="120">
    <w:abstractNumId w:val="7"/>
  </w:num>
  <w:num w:numId="121">
    <w:abstractNumId w:val="199"/>
  </w:num>
  <w:num w:numId="122">
    <w:abstractNumId w:val="210"/>
  </w:num>
  <w:num w:numId="123">
    <w:abstractNumId w:val="84"/>
  </w:num>
  <w:num w:numId="124">
    <w:abstractNumId w:val="218"/>
  </w:num>
  <w:num w:numId="125">
    <w:abstractNumId w:val="172"/>
  </w:num>
  <w:num w:numId="126">
    <w:abstractNumId w:val="141"/>
  </w:num>
  <w:num w:numId="127">
    <w:abstractNumId w:val="92"/>
  </w:num>
  <w:num w:numId="128">
    <w:abstractNumId w:val="41"/>
  </w:num>
  <w:num w:numId="129">
    <w:abstractNumId w:val="120"/>
  </w:num>
  <w:num w:numId="130">
    <w:abstractNumId w:val="72"/>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8"/>
    <w:lvlOverride w:ilvl="0">
      <w:startOverride w:val="1"/>
    </w:lvlOverride>
    <w:lvlOverride w:ilvl="1"/>
    <w:lvlOverride w:ilvl="2"/>
    <w:lvlOverride w:ilvl="3"/>
    <w:lvlOverride w:ilvl="4"/>
    <w:lvlOverride w:ilvl="5"/>
    <w:lvlOverride w:ilvl="6"/>
    <w:lvlOverride w:ilvl="7"/>
    <w:lvlOverride w:ilvl="8"/>
  </w:num>
  <w:num w:numId="1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3"/>
  </w:num>
  <w:num w:numId="154">
    <w:abstractNumId w:val="59"/>
  </w:num>
  <w:num w:numId="15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1"/>
  </w:num>
  <w:num w:numId="157">
    <w:abstractNumId w:val="25"/>
  </w:num>
  <w:num w:numId="158">
    <w:abstractNumId w:val="64"/>
  </w:num>
  <w:num w:numId="159">
    <w:abstractNumId w:val="36"/>
  </w:num>
  <w:num w:numId="160">
    <w:abstractNumId w:val="89"/>
  </w:num>
  <w:num w:numId="161">
    <w:abstractNumId w:val="140"/>
  </w:num>
  <w:num w:numId="162">
    <w:abstractNumId w:val="119"/>
  </w:num>
  <w:num w:numId="163">
    <w:abstractNumId w:val="50"/>
  </w:num>
  <w:num w:numId="164">
    <w:abstractNumId w:val="128"/>
  </w:num>
  <w:num w:numId="165">
    <w:abstractNumId w:val="164"/>
  </w:num>
  <w:num w:numId="166">
    <w:abstractNumId w:val="73"/>
  </w:num>
  <w:num w:numId="167">
    <w:abstractNumId w:val="194"/>
  </w:num>
  <w:num w:numId="168">
    <w:abstractNumId w:val="11"/>
  </w:num>
  <w:num w:numId="169">
    <w:abstractNumId w:val="39"/>
  </w:num>
  <w:num w:numId="170">
    <w:abstractNumId w:val="20"/>
  </w:num>
  <w:num w:numId="171">
    <w:abstractNumId w:val="191"/>
  </w:num>
  <w:num w:numId="172">
    <w:abstractNumId w:val="44"/>
  </w:num>
  <w:num w:numId="173">
    <w:abstractNumId w:val="79"/>
  </w:num>
  <w:num w:numId="174">
    <w:abstractNumId w:val="81"/>
  </w:num>
  <w:num w:numId="175">
    <w:abstractNumId w:val="2"/>
  </w:num>
  <w:num w:numId="176">
    <w:abstractNumId w:val="129"/>
  </w:num>
  <w:num w:numId="177">
    <w:abstractNumId w:val="52"/>
  </w:num>
  <w:num w:numId="178">
    <w:abstractNumId w:val="149"/>
  </w:num>
  <w:num w:numId="179">
    <w:abstractNumId w:val="32"/>
  </w:num>
  <w:num w:numId="180">
    <w:abstractNumId w:val="57"/>
  </w:num>
  <w:num w:numId="181">
    <w:abstractNumId w:val="74"/>
  </w:num>
  <w:num w:numId="182">
    <w:abstractNumId w:val="77"/>
  </w:num>
  <w:num w:numId="183">
    <w:abstractNumId w:val="90"/>
  </w:num>
  <w:num w:numId="184">
    <w:abstractNumId w:val="196"/>
  </w:num>
  <w:num w:numId="185">
    <w:abstractNumId w:val="202"/>
  </w:num>
  <w:num w:numId="186">
    <w:abstractNumId w:val="106"/>
  </w:num>
  <w:num w:numId="187">
    <w:abstractNumId w:val="71"/>
  </w:num>
  <w:num w:numId="188">
    <w:abstractNumId w:val="197"/>
  </w:num>
  <w:num w:numId="189">
    <w:abstractNumId w:val="147"/>
  </w:num>
  <w:num w:numId="190">
    <w:abstractNumId w:val="153"/>
  </w:num>
  <w:num w:numId="191">
    <w:abstractNumId w:val="118"/>
  </w:num>
  <w:num w:numId="192">
    <w:abstractNumId w:val="185"/>
  </w:num>
  <w:num w:numId="193">
    <w:abstractNumId w:val="175"/>
  </w:num>
  <w:num w:numId="194">
    <w:abstractNumId w:val="96"/>
  </w:num>
  <w:num w:numId="195">
    <w:abstractNumId w:val="104"/>
  </w:num>
  <w:num w:numId="196">
    <w:abstractNumId w:val="214"/>
  </w:num>
  <w:num w:numId="197">
    <w:abstractNumId w:val="204"/>
  </w:num>
  <w:num w:numId="198">
    <w:abstractNumId w:val="123"/>
  </w:num>
  <w:num w:numId="199">
    <w:abstractNumId w:val="42"/>
  </w:num>
  <w:num w:numId="200">
    <w:abstractNumId w:val="217"/>
  </w:num>
  <w:num w:numId="201">
    <w:abstractNumId w:val="78"/>
  </w:num>
  <w:num w:numId="202">
    <w:abstractNumId w:val="168"/>
  </w:num>
  <w:num w:numId="203">
    <w:abstractNumId w:val="115"/>
  </w:num>
  <w:num w:numId="204">
    <w:abstractNumId w:val="187"/>
  </w:num>
  <w:num w:numId="205">
    <w:abstractNumId w:val="15"/>
  </w:num>
  <w:num w:numId="206">
    <w:abstractNumId w:val="126"/>
  </w:num>
  <w:num w:numId="207">
    <w:abstractNumId w:val="85"/>
  </w:num>
  <w:num w:numId="208">
    <w:abstractNumId w:val="179"/>
  </w:num>
  <w:num w:numId="209">
    <w:abstractNumId w:val="10"/>
  </w:num>
  <w:num w:numId="210">
    <w:abstractNumId w:val="169"/>
  </w:num>
  <w:num w:numId="211">
    <w:abstractNumId w:val="121"/>
  </w:num>
  <w:num w:numId="212">
    <w:abstractNumId w:val="207"/>
  </w:num>
  <w:num w:numId="213">
    <w:abstractNumId w:val="117"/>
  </w:num>
  <w:num w:numId="214">
    <w:abstractNumId w:val="38"/>
  </w:num>
  <w:num w:numId="215">
    <w:abstractNumId w:val="13"/>
  </w:num>
  <w:num w:numId="216">
    <w:abstractNumId w:val="203"/>
  </w:num>
  <w:num w:numId="217">
    <w:abstractNumId w:val="8"/>
  </w:num>
  <w:num w:numId="218">
    <w:abstractNumId w:val="127"/>
  </w:num>
  <w:num w:numId="219">
    <w:abstractNumId w:val="134"/>
  </w:num>
  <w:num w:numId="220">
    <w:abstractNumId w:val="220"/>
  </w:num>
  <w:num w:numId="221">
    <w:abstractNumId w:val="155"/>
  </w:num>
  <w:num w:numId="222">
    <w:abstractNumId w:val="63"/>
  </w:num>
  <w:num w:numId="223">
    <w:abstractNumId w:val="82"/>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A5A07"/>
    <w:rsid w:val="00010603"/>
    <w:rsid w:val="00031906"/>
    <w:rsid w:val="000352D3"/>
    <w:rsid w:val="000354FE"/>
    <w:rsid w:val="0004118F"/>
    <w:rsid w:val="00047E40"/>
    <w:rsid w:val="00054460"/>
    <w:rsid w:val="00064C42"/>
    <w:rsid w:val="000732BC"/>
    <w:rsid w:val="00076564"/>
    <w:rsid w:val="0007712A"/>
    <w:rsid w:val="0008555D"/>
    <w:rsid w:val="000B4D46"/>
    <w:rsid w:val="000C4FD1"/>
    <w:rsid w:val="000D1921"/>
    <w:rsid w:val="000E23F9"/>
    <w:rsid w:val="000E4D6C"/>
    <w:rsid w:val="00100F6E"/>
    <w:rsid w:val="00103D93"/>
    <w:rsid w:val="00117290"/>
    <w:rsid w:val="00135C1E"/>
    <w:rsid w:val="00141BD2"/>
    <w:rsid w:val="00141D9F"/>
    <w:rsid w:val="00142E41"/>
    <w:rsid w:val="001474AB"/>
    <w:rsid w:val="001566A0"/>
    <w:rsid w:val="00163424"/>
    <w:rsid w:val="00183B70"/>
    <w:rsid w:val="001929BE"/>
    <w:rsid w:val="001953F9"/>
    <w:rsid w:val="001B2AB5"/>
    <w:rsid w:val="001C4D71"/>
    <w:rsid w:val="001F69FD"/>
    <w:rsid w:val="001F6AF7"/>
    <w:rsid w:val="00202B6A"/>
    <w:rsid w:val="0021516E"/>
    <w:rsid w:val="00220895"/>
    <w:rsid w:val="002403CC"/>
    <w:rsid w:val="002615E7"/>
    <w:rsid w:val="00264C5A"/>
    <w:rsid w:val="00282593"/>
    <w:rsid w:val="002920DE"/>
    <w:rsid w:val="00293C9C"/>
    <w:rsid w:val="00294BE4"/>
    <w:rsid w:val="002A5775"/>
    <w:rsid w:val="002B02D3"/>
    <w:rsid w:val="002D6047"/>
    <w:rsid w:val="002E1134"/>
    <w:rsid w:val="002E171C"/>
    <w:rsid w:val="002E4AE3"/>
    <w:rsid w:val="00303A7D"/>
    <w:rsid w:val="00312C4B"/>
    <w:rsid w:val="00337D1F"/>
    <w:rsid w:val="003402D1"/>
    <w:rsid w:val="00355000"/>
    <w:rsid w:val="003604CF"/>
    <w:rsid w:val="003715CF"/>
    <w:rsid w:val="00392500"/>
    <w:rsid w:val="003A5A07"/>
    <w:rsid w:val="003B3B17"/>
    <w:rsid w:val="003C1AFC"/>
    <w:rsid w:val="003C6E76"/>
    <w:rsid w:val="003D13C7"/>
    <w:rsid w:val="003E0186"/>
    <w:rsid w:val="003F0EA7"/>
    <w:rsid w:val="003F329B"/>
    <w:rsid w:val="003F4301"/>
    <w:rsid w:val="00405874"/>
    <w:rsid w:val="004143E3"/>
    <w:rsid w:val="00427A58"/>
    <w:rsid w:val="004432AB"/>
    <w:rsid w:val="004521A9"/>
    <w:rsid w:val="00471449"/>
    <w:rsid w:val="00472F60"/>
    <w:rsid w:val="00474CCF"/>
    <w:rsid w:val="00484D65"/>
    <w:rsid w:val="004A364A"/>
    <w:rsid w:val="004A3787"/>
    <w:rsid w:val="004B62FD"/>
    <w:rsid w:val="004D06EB"/>
    <w:rsid w:val="004D2867"/>
    <w:rsid w:val="004D7165"/>
    <w:rsid w:val="004D7E95"/>
    <w:rsid w:val="004E1A57"/>
    <w:rsid w:val="004E3922"/>
    <w:rsid w:val="004E6604"/>
    <w:rsid w:val="004F205B"/>
    <w:rsid w:val="004F3A19"/>
    <w:rsid w:val="004F6E30"/>
    <w:rsid w:val="004F7BCE"/>
    <w:rsid w:val="00501995"/>
    <w:rsid w:val="005140CE"/>
    <w:rsid w:val="005217E5"/>
    <w:rsid w:val="00572D89"/>
    <w:rsid w:val="005809EA"/>
    <w:rsid w:val="00581D02"/>
    <w:rsid w:val="005A572B"/>
    <w:rsid w:val="005C0AEF"/>
    <w:rsid w:val="005D5E1C"/>
    <w:rsid w:val="005D7BAB"/>
    <w:rsid w:val="005E3B07"/>
    <w:rsid w:val="005E4B12"/>
    <w:rsid w:val="00604343"/>
    <w:rsid w:val="006078C5"/>
    <w:rsid w:val="00613316"/>
    <w:rsid w:val="00613F74"/>
    <w:rsid w:val="00623875"/>
    <w:rsid w:val="00630E3A"/>
    <w:rsid w:val="006354B8"/>
    <w:rsid w:val="00646A45"/>
    <w:rsid w:val="00667BB2"/>
    <w:rsid w:val="00667CEB"/>
    <w:rsid w:val="00674DFF"/>
    <w:rsid w:val="00697D55"/>
    <w:rsid w:val="006A006A"/>
    <w:rsid w:val="006A0586"/>
    <w:rsid w:val="006A212C"/>
    <w:rsid w:val="006B6E03"/>
    <w:rsid w:val="006B7F74"/>
    <w:rsid w:val="006C01A7"/>
    <w:rsid w:val="006C2AE4"/>
    <w:rsid w:val="006C657B"/>
    <w:rsid w:val="006C6E23"/>
    <w:rsid w:val="006C7374"/>
    <w:rsid w:val="006D1010"/>
    <w:rsid w:val="006D73BD"/>
    <w:rsid w:val="006F3A32"/>
    <w:rsid w:val="00732353"/>
    <w:rsid w:val="0073684C"/>
    <w:rsid w:val="00736B39"/>
    <w:rsid w:val="00740259"/>
    <w:rsid w:val="00741855"/>
    <w:rsid w:val="00746561"/>
    <w:rsid w:val="00764ED7"/>
    <w:rsid w:val="00772C6A"/>
    <w:rsid w:val="0077317E"/>
    <w:rsid w:val="00775D29"/>
    <w:rsid w:val="007C036F"/>
    <w:rsid w:val="007C2D92"/>
    <w:rsid w:val="007E571F"/>
    <w:rsid w:val="00802358"/>
    <w:rsid w:val="00817965"/>
    <w:rsid w:val="00824BD0"/>
    <w:rsid w:val="00830F34"/>
    <w:rsid w:val="0083285A"/>
    <w:rsid w:val="00841038"/>
    <w:rsid w:val="008429F9"/>
    <w:rsid w:val="008502C4"/>
    <w:rsid w:val="00856156"/>
    <w:rsid w:val="008731E8"/>
    <w:rsid w:val="00890E95"/>
    <w:rsid w:val="008942DD"/>
    <w:rsid w:val="008A2AF8"/>
    <w:rsid w:val="008B4AC1"/>
    <w:rsid w:val="008D395E"/>
    <w:rsid w:val="008D41AF"/>
    <w:rsid w:val="008F002A"/>
    <w:rsid w:val="00920127"/>
    <w:rsid w:val="00930C59"/>
    <w:rsid w:val="009427E4"/>
    <w:rsid w:val="00945D53"/>
    <w:rsid w:val="00951A09"/>
    <w:rsid w:val="0095297C"/>
    <w:rsid w:val="009626A4"/>
    <w:rsid w:val="00965AD2"/>
    <w:rsid w:val="009777F1"/>
    <w:rsid w:val="0098194C"/>
    <w:rsid w:val="00983C53"/>
    <w:rsid w:val="00991700"/>
    <w:rsid w:val="009931CE"/>
    <w:rsid w:val="009949D8"/>
    <w:rsid w:val="009A33DB"/>
    <w:rsid w:val="009A4242"/>
    <w:rsid w:val="009A4E4F"/>
    <w:rsid w:val="009C0614"/>
    <w:rsid w:val="009C3E1D"/>
    <w:rsid w:val="009C4337"/>
    <w:rsid w:val="009D20B2"/>
    <w:rsid w:val="009F4E2B"/>
    <w:rsid w:val="00A14533"/>
    <w:rsid w:val="00A15BB7"/>
    <w:rsid w:val="00A16976"/>
    <w:rsid w:val="00A2752C"/>
    <w:rsid w:val="00A33090"/>
    <w:rsid w:val="00A4700E"/>
    <w:rsid w:val="00A912CE"/>
    <w:rsid w:val="00A95BFE"/>
    <w:rsid w:val="00AA27A5"/>
    <w:rsid w:val="00AC4360"/>
    <w:rsid w:val="00AC7328"/>
    <w:rsid w:val="00AD467B"/>
    <w:rsid w:val="00AF6A3C"/>
    <w:rsid w:val="00B06331"/>
    <w:rsid w:val="00B40E29"/>
    <w:rsid w:val="00B56860"/>
    <w:rsid w:val="00BA11C2"/>
    <w:rsid w:val="00BA5F5B"/>
    <w:rsid w:val="00BC1302"/>
    <w:rsid w:val="00BC2900"/>
    <w:rsid w:val="00BE1EDA"/>
    <w:rsid w:val="00BE2356"/>
    <w:rsid w:val="00C245B1"/>
    <w:rsid w:val="00C4317B"/>
    <w:rsid w:val="00C65598"/>
    <w:rsid w:val="00C7179F"/>
    <w:rsid w:val="00C743C4"/>
    <w:rsid w:val="00C76C70"/>
    <w:rsid w:val="00C85F43"/>
    <w:rsid w:val="00C97931"/>
    <w:rsid w:val="00C97970"/>
    <w:rsid w:val="00C97D8B"/>
    <w:rsid w:val="00CC54B7"/>
    <w:rsid w:val="00CC69CB"/>
    <w:rsid w:val="00CC74B9"/>
    <w:rsid w:val="00CD6F98"/>
    <w:rsid w:val="00CE4517"/>
    <w:rsid w:val="00D1053B"/>
    <w:rsid w:val="00D13B0F"/>
    <w:rsid w:val="00D14A92"/>
    <w:rsid w:val="00D349BA"/>
    <w:rsid w:val="00D35D3D"/>
    <w:rsid w:val="00D7018B"/>
    <w:rsid w:val="00D811EB"/>
    <w:rsid w:val="00D90C92"/>
    <w:rsid w:val="00D921C6"/>
    <w:rsid w:val="00DA42B5"/>
    <w:rsid w:val="00DB0301"/>
    <w:rsid w:val="00DB18A5"/>
    <w:rsid w:val="00DB21D8"/>
    <w:rsid w:val="00DD4B70"/>
    <w:rsid w:val="00DE4A04"/>
    <w:rsid w:val="00DF7DDA"/>
    <w:rsid w:val="00E065F1"/>
    <w:rsid w:val="00E158EB"/>
    <w:rsid w:val="00E31236"/>
    <w:rsid w:val="00E31721"/>
    <w:rsid w:val="00E318CC"/>
    <w:rsid w:val="00E32776"/>
    <w:rsid w:val="00E32BF2"/>
    <w:rsid w:val="00E44573"/>
    <w:rsid w:val="00E47BD0"/>
    <w:rsid w:val="00E47BFB"/>
    <w:rsid w:val="00E5443A"/>
    <w:rsid w:val="00E54F44"/>
    <w:rsid w:val="00E57AF1"/>
    <w:rsid w:val="00E67D33"/>
    <w:rsid w:val="00E73013"/>
    <w:rsid w:val="00E87A16"/>
    <w:rsid w:val="00E87B6A"/>
    <w:rsid w:val="00E921E6"/>
    <w:rsid w:val="00EB31D3"/>
    <w:rsid w:val="00EB7E8A"/>
    <w:rsid w:val="00EC1794"/>
    <w:rsid w:val="00EC7102"/>
    <w:rsid w:val="00ED1D1B"/>
    <w:rsid w:val="00EF1C6B"/>
    <w:rsid w:val="00F04BC0"/>
    <w:rsid w:val="00F17737"/>
    <w:rsid w:val="00F51AF8"/>
    <w:rsid w:val="00F6011C"/>
    <w:rsid w:val="00F643A2"/>
    <w:rsid w:val="00F67563"/>
    <w:rsid w:val="00F9175F"/>
    <w:rsid w:val="00FA33DD"/>
    <w:rsid w:val="00FA4F2B"/>
    <w:rsid w:val="00FA7F1A"/>
    <w:rsid w:val="00FB254A"/>
    <w:rsid w:val="00FB267C"/>
    <w:rsid w:val="00FB2711"/>
    <w:rsid w:val="00FB7889"/>
    <w:rsid w:val="00FC45E9"/>
    <w:rsid w:val="00FC77F4"/>
    <w:rsid w:val="00FD4AC6"/>
    <w:rsid w:val="00FE5C36"/>
    <w:rsid w:val="00FF43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A0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A5A07"/>
    <w:pPr>
      <w:keepNext/>
      <w:keepLines/>
      <w:spacing w:before="240" w:after="0"/>
      <w:outlineLvl w:val="0"/>
    </w:pPr>
    <w:rPr>
      <w:rFonts w:ascii="Cambria" w:eastAsia="MS Gothic" w:hAnsi="Cambria"/>
      <w:color w:val="365F91"/>
      <w:sz w:val="32"/>
      <w:szCs w:val="32"/>
    </w:rPr>
  </w:style>
  <w:style w:type="paragraph" w:styleId="Heading2">
    <w:name w:val="heading 2"/>
    <w:basedOn w:val="Normal"/>
    <w:link w:val="Heading2Char"/>
    <w:uiPriority w:val="9"/>
    <w:qFormat/>
    <w:rsid w:val="003A5A07"/>
    <w:pPr>
      <w:spacing w:before="100" w:beforeAutospacing="1" w:after="100" w:afterAutospacing="1" w:line="240" w:lineRule="auto"/>
      <w:outlineLvl w:val="1"/>
    </w:pPr>
    <w:rPr>
      <w:rFonts w:ascii="Times" w:hAnsi="Times"/>
      <w:b/>
      <w:bCs/>
      <w:sz w:val="36"/>
      <w:szCs w:val="36"/>
      <w:lang w:val="en-GB"/>
    </w:rPr>
  </w:style>
  <w:style w:type="paragraph" w:styleId="Heading3">
    <w:name w:val="heading 3"/>
    <w:basedOn w:val="Normal"/>
    <w:next w:val="Normal"/>
    <w:link w:val="Heading3Char"/>
    <w:uiPriority w:val="9"/>
    <w:unhideWhenUsed/>
    <w:qFormat/>
    <w:rsid w:val="003A5A07"/>
    <w:pPr>
      <w:keepNext/>
      <w:keepLines/>
      <w:spacing w:before="40" w:after="0"/>
      <w:outlineLvl w:val="2"/>
    </w:pPr>
    <w:rPr>
      <w:rFonts w:ascii="Cambria" w:eastAsia="MS Gothic" w:hAnsi="Cambria"/>
      <w:color w:val="243F60"/>
      <w:sz w:val="24"/>
      <w:szCs w:val="24"/>
    </w:rPr>
  </w:style>
  <w:style w:type="paragraph" w:styleId="Heading4">
    <w:name w:val="heading 4"/>
    <w:basedOn w:val="Normal"/>
    <w:next w:val="Normal"/>
    <w:link w:val="Heading4Char"/>
    <w:uiPriority w:val="9"/>
    <w:semiHidden/>
    <w:unhideWhenUsed/>
    <w:qFormat/>
    <w:rsid w:val="003A5A07"/>
    <w:pPr>
      <w:keepNext/>
      <w:keepLines/>
      <w:spacing w:before="40" w:after="0" w:line="240" w:lineRule="auto"/>
      <w:outlineLvl w:val="3"/>
    </w:pPr>
    <w:rPr>
      <w:rFonts w:ascii="Cambria" w:eastAsia="MS Gothic" w:hAnsi="Cambria"/>
      <w:i/>
      <w:iCs/>
      <w:color w:val="365F91"/>
      <w:sz w:val="20"/>
      <w:szCs w:val="20"/>
    </w:rPr>
  </w:style>
  <w:style w:type="paragraph" w:styleId="Heading5">
    <w:name w:val="heading 5"/>
    <w:basedOn w:val="Normal"/>
    <w:next w:val="Normal"/>
    <w:link w:val="Heading5Char"/>
    <w:uiPriority w:val="9"/>
    <w:semiHidden/>
    <w:unhideWhenUsed/>
    <w:qFormat/>
    <w:rsid w:val="003A5A07"/>
    <w:pPr>
      <w:keepNext/>
      <w:keepLines/>
      <w:spacing w:before="40" w:after="0" w:line="240" w:lineRule="auto"/>
      <w:outlineLvl w:val="4"/>
    </w:pPr>
    <w:rPr>
      <w:rFonts w:ascii="Cambria" w:eastAsia="MS Gothic" w:hAnsi="Cambria"/>
      <w:color w:val="365F91"/>
      <w:sz w:val="20"/>
      <w:szCs w:val="20"/>
    </w:rPr>
  </w:style>
  <w:style w:type="paragraph" w:styleId="Heading6">
    <w:name w:val="heading 6"/>
    <w:basedOn w:val="Normal"/>
    <w:next w:val="Normal"/>
    <w:link w:val="Heading6Char"/>
    <w:uiPriority w:val="9"/>
    <w:semiHidden/>
    <w:unhideWhenUsed/>
    <w:qFormat/>
    <w:rsid w:val="003A5A07"/>
    <w:pPr>
      <w:keepNext/>
      <w:keepLines/>
      <w:spacing w:before="40" w:after="0" w:line="240" w:lineRule="auto"/>
      <w:outlineLvl w:val="5"/>
    </w:pPr>
    <w:rPr>
      <w:rFonts w:ascii="Cambria" w:eastAsia="MS Gothic" w:hAnsi="Cambria"/>
      <w:color w:val="243F60"/>
      <w:sz w:val="20"/>
      <w:szCs w:val="20"/>
    </w:rPr>
  </w:style>
  <w:style w:type="paragraph" w:styleId="Heading7">
    <w:name w:val="heading 7"/>
    <w:basedOn w:val="Normal"/>
    <w:next w:val="Normal"/>
    <w:link w:val="Heading7Char"/>
    <w:uiPriority w:val="9"/>
    <w:semiHidden/>
    <w:unhideWhenUsed/>
    <w:qFormat/>
    <w:rsid w:val="003A5A07"/>
    <w:pPr>
      <w:keepNext/>
      <w:keepLines/>
      <w:spacing w:before="40" w:after="0" w:line="240" w:lineRule="auto"/>
      <w:outlineLvl w:val="6"/>
    </w:pPr>
    <w:rPr>
      <w:rFonts w:ascii="Cambria" w:eastAsia="MS Gothic" w:hAnsi="Cambria"/>
      <w:i/>
      <w:iCs/>
      <w:color w:val="243F60"/>
      <w:sz w:val="20"/>
      <w:szCs w:val="20"/>
    </w:rPr>
  </w:style>
  <w:style w:type="paragraph" w:styleId="Heading8">
    <w:name w:val="heading 8"/>
    <w:basedOn w:val="Normal"/>
    <w:next w:val="Normal"/>
    <w:link w:val="Heading8Char"/>
    <w:uiPriority w:val="9"/>
    <w:semiHidden/>
    <w:unhideWhenUsed/>
    <w:qFormat/>
    <w:rsid w:val="003A5A07"/>
    <w:pPr>
      <w:keepNext/>
      <w:keepLines/>
      <w:spacing w:before="40" w:after="0" w:line="240" w:lineRule="auto"/>
      <w:outlineLvl w:val="7"/>
    </w:pPr>
    <w:rPr>
      <w:rFonts w:ascii="Cambria" w:eastAsia="MS Gothic" w:hAnsi="Cambria"/>
      <w:color w:val="272727"/>
      <w:sz w:val="21"/>
      <w:szCs w:val="21"/>
    </w:rPr>
  </w:style>
  <w:style w:type="paragraph" w:styleId="Heading9">
    <w:name w:val="heading 9"/>
    <w:basedOn w:val="Normal"/>
    <w:next w:val="Normal"/>
    <w:link w:val="Heading9Char"/>
    <w:uiPriority w:val="9"/>
    <w:semiHidden/>
    <w:unhideWhenUsed/>
    <w:qFormat/>
    <w:rsid w:val="003A5A07"/>
    <w:pPr>
      <w:keepNext/>
      <w:keepLines/>
      <w:spacing w:before="40" w:after="0" w:line="240" w:lineRule="auto"/>
      <w:outlineLvl w:val="8"/>
    </w:pPr>
    <w:rPr>
      <w:rFonts w:ascii="Cambria" w:eastAsia="MS Gothic"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A07"/>
    <w:rPr>
      <w:rFonts w:ascii="Cambria" w:eastAsia="MS Gothic" w:hAnsi="Cambria" w:cs="Times New Roman"/>
      <w:color w:val="365F91"/>
      <w:sz w:val="32"/>
      <w:szCs w:val="32"/>
    </w:rPr>
  </w:style>
  <w:style w:type="character" w:customStyle="1" w:styleId="Heading2Char">
    <w:name w:val="Heading 2 Char"/>
    <w:basedOn w:val="DefaultParagraphFont"/>
    <w:link w:val="Heading2"/>
    <w:uiPriority w:val="9"/>
    <w:rsid w:val="003A5A07"/>
    <w:rPr>
      <w:rFonts w:ascii="Times" w:eastAsia="Calibri" w:hAnsi="Times" w:cs="Times New Roman"/>
      <w:b/>
      <w:bCs/>
      <w:sz w:val="36"/>
      <w:szCs w:val="36"/>
      <w:lang w:val="en-GB"/>
    </w:rPr>
  </w:style>
  <w:style w:type="character" w:customStyle="1" w:styleId="Heading3Char">
    <w:name w:val="Heading 3 Char"/>
    <w:basedOn w:val="DefaultParagraphFont"/>
    <w:link w:val="Heading3"/>
    <w:uiPriority w:val="9"/>
    <w:rsid w:val="003A5A07"/>
    <w:rPr>
      <w:rFonts w:ascii="Cambria" w:eastAsia="MS Gothic" w:hAnsi="Cambria" w:cs="Times New Roman"/>
      <w:color w:val="243F60"/>
      <w:sz w:val="24"/>
      <w:szCs w:val="24"/>
    </w:rPr>
  </w:style>
  <w:style w:type="character" w:customStyle="1" w:styleId="Heading4Char">
    <w:name w:val="Heading 4 Char"/>
    <w:basedOn w:val="DefaultParagraphFont"/>
    <w:link w:val="Heading4"/>
    <w:uiPriority w:val="9"/>
    <w:semiHidden/>
    <w:rsid w:val="003A5A07"/>
    <w:rPr>
      <w:rFonts w:ascii="Cambria" w:eastAsia="MS Gothic" w:hAnsi="Cambria" w:cs="Times New Roman"/>
      <w:i/>
      <w:iCs/>
      <w:color w:val="365F91"/>
      <w:sz w:val="20"/>
      <w:szCs w:val="20"/>
    </w:rPr>
  </w:style>
  <w:style w:type="character" w:customStyle="1" w:styleId="Heading5Char">
    <w:name w:val="Heading 5 Char"/>
    <w:basedOn w:val="DefaultParagraphFont"/>
    <w:link w:val="Heading5"/>
    <w:uiPriority w:val="9"/>
    <w:semiHidden/>
    <w:rsid w:val="003A5A07"/>
    <w:rPr>
      <w:rFonts w:ascii="Cambria" w:eastAsia="MS Gothic" w:hAnsi="Cambria" w:cs="Times New Roman"/>
      <w:color w:val="365F91"/>
      <w:sz w:val="20"/>
      <w:szCs w:val="20"/>
    </w:rPr>
  </w:style>
  <w:style w:type="character" w:customStyle="1" w:styleId="Heading6Char">
    <w:name w:val="Heading 6 Char"/>
    <w:basedOn w:val="DefaultParagraphFont"/>
    <w:link w:val="Heading6"/>
    <w:uiPriority w:val="9"/>
    <w:semiHidden/>
    <w:rsid w:val="003A5A07"/>
    <w:rPr>
      <w:rFonts w:ascii="Cambria" w:eastAsia="MS Gothic" w:hAnsi="Cambria" w:cs="Times New Roman"/>
      <w:color w:val="243F60"/>
      <w:sz w:val="20"/>
      <w:szCs w:val="20"/>
    </w:rPr>
  </w:style>
  <w:style w:type="character" w:customStyle="1" w:styleId="Heading7Char">
    <w:name w:val="Heading 7 Char"/>
    <w:basedOn w:val="DefaultParagraphFont"/>
    <w:link w:val="Heading7"/>
    <w:uiPriority w:val="9"/>
    <w:semiHidden/>
    <w:rsid w:val="003A5A07"/>
    <w:rPr>
      <w:rFonts w:ascii="Cambria" w:eastAsia="MS Gothic" w:hAnsi="Cambria" w:cs="Times New Roman"/>
      <w:i/>
      <w:iCs/>
      <w:color w:val="243F60"/>
      <w:sz w:val="20"/>
      <w:szCs w:val="20"/>
    </w:rPr>
  </w:style>
  <w:style w:type="character" w:customStyle="1" w:styleId="Heading8Char">
    <w:name w:val="Heading 8 Char"/>
    <w:basedOn w:val="DefaultParagraphFont"/>
    <w:link w:val="Heading8"/>
    <w:uiPriority w:val="9"/>
    <w:semiHidden/>
    <w:rsid w:val="003A5A07"/>
    <w:rPr>
      <w:rFonts w:ascii="Cambria" w:eastAsia="MS Gothic" w:hAnsi="Cambria" w:cs="Times New Roman"/>
      <w:color w:val="272727"/>
      <w:sz w:val="21"/>
      <w:szCs w:val="21"/>
    </w:rPr>
  </w:style>
  <w:style w:type="character" w:customStyle="1" w:styleId="Heading9Char">
    <w:name w:val="Heading 9 Char"/>
    <w:basedOn w:val="DefaultParagraphFont"/>
    <w:link w:val="Heading9"/>
    <w:uiPriority w:val="9"/>
    <w:semiHidden/>
    <w:rsid w:val="003A5A07"/>
    <w:rPr>
      <w:rFonts w:ascii="Cambria" w:eastAsia="MS Gothic" w:hAnsi="Cambria" w:cs="Times New Roman"/>
      <w:i/>
      <w:iCs/>
      <w:color w:val="272727"/>
      <w:sz w:val="21"/>
      <w:szCs w:val="21"/>
    </w:rPr>
  </w:style>
  <w:style w:type="paragraph" w:styleId="Header">
    <w:name w:val="header"/>
    <w:basedOn w:val="Normal"/>
    <w:link w:val="HeaderChar"/>
    <w:uiPriority w:val="99"/>
    <w:unhideWhenUsed/>
    <w:rsid w:val="003A5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A07"/>
    <w:rPr>
      <w:rFonts w:ascii="Calibri" w:eastAsia="Calibri" w:hAnsi="Calibri" w:cs="Times New Roman"/>
    </w:rPr>
  </w:style>
  <w:style w:type="paragraph" w:styleId="Footer">
    <w:name w:val="footer"/>
    <w:basedOn w:val="Normal"/>
    <w:link w:val="FooterChar"/>
    <w:uiPriority w:val="99"/>
    <w:unhideWhenUsed/>
    <w:rsid w:val="003A5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A07"/>
    <w:rPr>
      <w:rFonts w:ascii="Calibri" w:eastAsia="Calibri" w:hAnsi="Calibri" w:cs="Times New Roman"/>
    </w:rPr>
  </w:style>
  <w:style w:type="paragraph" w:styleId="ListParagraph">
    <w:name w:val="List Paragraph"/>
    <w:aliases w:val="Bullets,References,List Paragraph2,normal,Premier,Paragraphe de liste1,Liste 1,Numbered List Paragraph,ReferencesCxSpLast,Paragraphe de liste,Paragrap,List Paragraph1,Normal2,Normal3,Normal4,Normal5,Normal6,Normal7,Numbered paragraph,列出段落"/>
    <w:basedOn w:val="Normal"/>
    <w:link w:val="ListParagraphChar"/>
    <w:uiPriority w:val="34"/>
    <w:qFormat/>
    <w:rsid w:val="003A5A07"/>
    <w:pPr>
      <w:ind w:left="720"/>
      <w:contextualSpacing/>
    </w:pPr>
  </w:style>
  <w:style w:type="character" w:customStyle="1" w:styleId="ListParagraphChar">
    <w:name w:val="List Paragraph Char"/>
    <w:aliases w:val="Bullets Char,References Char,List Paragraph2 Char,normal Char,Premier Char,Paragraphe de liste1 Char,Liste 1 Char,Numbered List Paragraph Char,ReferencesCxSpLast Char,Paragraphe de liste Char,Paragrap Char,List Paragraph1 Char"/>
    <w:link w:val="ListParagraph"/>
    <w:uiPriority w:val="34"/>
    <w:qFormat/>
    <w:locked/>
    <w:rsid w:val="003A5A07"/>
    <w:rPr>
      <w:rFonts w:ascii="Calibri" w:eastAsia="Calibri" w:hAnsi="Calibri" w:cs="Times New Roman"/>
    </w:rPr>
  </w:style>
  <w:style w:type="character" w:styleId="PageNumber">
    <w:name w:val="page number"/>
    <w:basedOn w:val="DefaultParagraphFont"/>
    <w:uiPriority w:val="99"/>
    <w:semiHidden/>
    <w:unhideWhenUsed/>
    <w:rsid w:val="003A5A07"/>
  </w:style>
  <w:style w:type="table" w:styleId="TableGrid">
    <w:name w:val="Table Grid"/>
    <w:basedOn w:val="TableNormal"/>
    <w:uiPriority w:val="59"/>
    <w:rsid w:val="003A5A0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5A0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A5A07"/>
    <w:rPr>
      <w:rFonts w:ascii="Lucida Grande" w:eastAsia="Calibri" w:hAnsi="Lucida Grande" w:cs="Times New Roman"/>
      <w:sz w:val="18"/>
      <w:szCs w:val="18"/>
    </w:rPr>
  </w:style>
  <w:style w:type="paragraph" w:styleId="NormalWeb">
    <w:name w:val="Normal (Web)"/>
    <w:basedOn w:val="Normal"/>
    <w:uiPriority w:val="99"/>
    <w:unhideWhenUsed/>
    <w:rsid w:val="003A5A07"/>
    <w:pPr>
      <w:spacing w:before="100" w:beforeAutospacing="1" w:after="100" w:afterAutospacing="1" w:line="240" w:lineRule="auto"/>
    </w:pPr>
    <w:rPr>
      <w:rFonts w:ascii="Times" w:hAnsi="Times"/>
      <w:sz w:val="20"/>
      <w:szCs w:val="20"/>
      <w:lang w:val="en-GB"/>
    </w:rPr>
  </w:style>
  <w:style w:type="paragraph" w:styleId="Caption">
    <w:name w:val="caption"/>
    <w:basedOn w:val="Normal"/>
    <w:next w:val="Normal"/>
    <w:link w:val="CaptionChar"/>
    <w:uiPriority w:val="35"/>
    <w:unhideWhenUsed/>
    <w:qFormat/>
    <w:rsid w:val="003A5A07"/>
    <w:pPr>
      <w:spacing w:line="240" w:lineRule="auto"/>
    </w:pPr>
    <w:rPr>
      <w:i/>
      <w:iCs/>
      <w:color w:val="1F497D"/>
      <w:sz w:val="18"/>
      <w:szCs w:val="18"/>
    </w:rPr>
  </w:style>
  <w:style w:type="character" w:styleId="Hyperlink">
    <w:name w:val="Hyperlink"/>
    <w:uiPriority w:val="99"/>
    <w:unhideWhenUsed/>
    <w:rsid w:val="003A5A07"/>
    <w:rPr>
      <w:color w:val="0000FF"/>
      <w:u w:val="single"/>
    </w:rPr>
  </w:style>
  <w:style w:type="paragraph" w:customStyle="1" w:styleId="msonormal0">
    <w:name w:val="msonormal"/>
    <w:basedOn w:val="Normal"/>
    <w:rsid w:val="003A5A07"/>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aliases w:val="single space Char,footnote text Char,fn Char,FOOTNOTES Char,FN Char,Geneva 9 Char,Font: Geneva 9 Char,Boston 10 Char,f Char,Footnote Text Char Char Char Char Char Char1,Footnote Text Char Char Char Char Char Char Char,ft Char"/>
    <w:link w:val="FootnoteText"/>
    <w:uiPriority w:val="99"/>
    <w:locked/>
    <w:rsid w:val="003A5A07"/>
    <w:rPr>
      <w:rFonts w:ascii="Times New Roman" w:eastAsia="Times New Roman" w:hAnsi="Times New Roman" w:cs="Times New Roman"/>
    </w:rPr>
  </w:style>
  <w:style w:type="paragraph" w:styleId="FootnoteText">
    <w:name w:val="footnote text"/>
    <w:aliases w:val="single space,footnote text,fn,FOOTNOTES,FN,Geneva 9,Font: Geneva 9,Boston 10,f,Footnote Text Char Char Char Char Char,Footnote Text Char Char Char Char Char Char,ft,(NECG) Footnote Text Char Char Char,Fodnotetekst Tegn,ALTS FOOTNOTE,fn Car"/>
    <w:basedOn w:val="Normal"/>
    <w:link w:val="FootnoteTextChar"/>
    <w:uiPriority w:val="99"/>
    <w:unhideWhenUsed/>
    <w:qFormat/>
    <w:rsid w:val="003A5A07"/>
    <w:pPr>
      <w:spacing w:after="0" w:line="240" w:lineRule="auto"/>
    </w:pPr>
    <w:rPr>
      <w:rFonts w:ascii="Times New Roman" w:eastAsia="Times New Roman" w:hAnsi="Times New Roman"/>
    </w:rPr>
  </w:style>
  <w:style w:type="character" w:customStyle="1" w:styleId="FootnoteTextChar1">
    <w:name w:val="Footnote Text Char1"/>
    <w:aliases w:val="single space Char1,footnote text Char1,fn Char1,FOOTNOTES Char1,FN Char1,Geneva 9 Char1,Font: Geneva 9 Char1,Boston 10 Char1,f Char1,Footnote Text Char Char Char Char Char Char2,Footnote Text Char Char Char Char Char Char Char1"/>
    <w:basedOn w:val="DefaultParagraphFont"/>
    <w:uiPriority w:val="99"/>
    <w:semiHidden/>
    <w:rsid w:val="003A5A07"/>
    <w:rPr>
      <w:rFonts w:ascii="Calibri" w:eastAsia="Calibri" w:hAnsi="Calibri" w:cs="Times New Roman"/>
      <w:sz w:val="20"/>
      <w:szCs w:val="20"/>
    </w:rPr>
  </w:style>
  <w:style w:type="character" w:customStyle="1" w:styleId="NoSpacingChar">
    <w:name w:val="No Spacing Char"/>
    <w:link w:val="NoSpacing"/>
    <w:uiPriority w:val="1"/>
    <w:locked/>
    <w:rsid w:val="003A5A07"/>
    <w:rPr>
      <w:rFonts w:ascii="PMingLiU" w:eastAsia="PMingLiU"/>
    </w:rPr>
  </w:style>
  <w:style w:type="paragraph" w:styleId="NoSpacing">
    <w:name w:val="No Spacing"/>
    <w:link w:val="NoSpacingChar"/>
    <w:uiPriority w:val="1"/>
    <w:qFormat/>
    <w:rsid w:val="003A5A07"/>
    <w:pPr>
      <w:spacing w:after="0" w:line="240" w:lineRule="auto"/>
    </w:pPr>
    <w:rPr>
      <w:rFonts w:ascii="PMingLiU" w:eastAsia="PMingLiU"/>
    </w:rPr>
  </w:style>
  <w:style w:type="paragraph" w:styleId="Revision">
    <w:name w:val="Revision"/>
    <w:uiPriority w:val="99"/>
    <w:semiHidden/>
    <w:rsid w:val="003A5A07"/>
    <w:pPr>
      <w:spacing w:after="0" w:line="240" w:lineRule="auto"/>
    </w:pPr>
    <w:rPr>
      <w:rFonts w:ascii="Calibri" w:eastAsia="Calibri" w:hAnsi="Calibri" w:cs="Times New Roman"/>
    </w:rPr>
  </w:style>
  <w:style w:type="paragraph" w:customStyle="1" w:styleId="ATRbodytext">
    <w:name w:val="ATR body text"/>
    <w:basedOn w:val="Normal"/>
    <w:qFormat/>
    <w:rsid w:val="003A5A07"/>
    <w:pPr>
      <w:autoSpaceDE w:val="0"/>
      <w:autoSpaceDN w:val="0"/>
      <w:adjustRightInd w:val="0"/>
      <w:spacing w:before="120" w:after="120" w:line="240" w:lineRule="auto"/>
      <w:jc w:val="both"/>
    </w:pPr>
  </w:style>
  <w:style w:type="character" w:styleId="FootnoteReference">
    <w:name w:val="footnote reference"/>
    <w:aliases w:val="16 Point,Superscript 6 Point,ftref,Estilo de nota al pie de Africa,BVI fnr,Ref,de nota al pie,fr,Used by Word for Help footnote symbols,Car Car Char Car Char Car Car Char Car Char Char,Footnote Reference1,heading1,SUPERS,4_G, BVI fnr"/>
    <w:link w:val="CarattereCarattereCharCharCharCharCharCharZchn"/>
    <w:uiPriority w:val="99"/>
    <w:unhideWhenUsed/>
    <w:qFormat/>
    <w:rsid w:val="003A5A07"/>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3A5A07"/>
    <w:pPr>
      <w:spacing w:after="160" w:line="240" w:lineRule="exact"/>
      <w:jc w:val="both"/>
    </w:pPr>
    <w:rPr>
      <w:rFonts w:asciiTheme="minorHAnsi" w:eastAsiaTheme="minorHAnsi" w:hAnsiTheme="minorHAnsi" w:cstheme="minorBidi"/>
      <w:vertAlign w:val="superscript"/>
    </w:rPr>
  </w:style>
  <w:style w:type="paragraph" w:customStyle="1" w:styleId="Default">
    <w:name w:val="Default"/>
    <w:rsid w:val="003A5A07"/>
    <w:pPr>
      <w:autoSpaceDE w:val="0"/>
      <w:autoSpaceDN w:val="0"/>
      <w:adjustRightInd w:val="0"/>
      <w:spacing w:after="0" w:line="240" w:lineRule="auto"/>
    </w:pPr>
    <w:rPr>
      <w:rFonts w:ascii="Arial" w:eastAsia="Calibri" w:hAnsi="Arial" w:cs="Arial"/>
      <w:color w:val="000000"/>
      <w:sz w:val="24"/>
      <w:szCs w:val="24"/>
    </w:rPr>
  </w:style>
  <w:style w:type="character" w:customStyle="1" w:styleId="MainParawithChapterChar">
    <w:name w:val="Main Para with Chapter# Char"/>
    <w:link w:val="MainParawithChapter"/>
    <w:locked/>
    <w:rsid w:val="003A5A07"/>
    <w:rPr>
      <w:rFonts w:ascii="Times New Roman" w:eastAsia="Times New Roman" w:hAnsi="Times New Roman" w:cs="Times New Roman"/>
      <w:sz w:val="24"/>
      <w:szCs w:val="24"/>
    </w:rPr>
  </w:style>
  <w:style w:type="paragraph" w:customStyle="1" w:styleId="MainParawithChapter">
    <w:name w:val="Main Para with Chapter#"/>
    <w:basedOn w:val="Normal"/>
    <w:link w:val="MainParawithChapterChar"/>
    <w:qFormat/>
    <w:rsid w:val="003A5A07"/>
    <w:pPr>
      <w:spacing w:after="240" w:line="240" w:lineRule="auto"/>
      <w:outlineLvl w:val="1"/>
    </w:pPr>
    <w:rPr>
      <w:rFonts w:ascii="Times New Roman" w:eastAsia="Times New Roman" w:hAnsi="Times New Roman"/>
      <w:sz w:val="24"/>
      <w:szCs w:val="24"/>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3A5A07"/>
    <w:pPr>
      <w:spacing w:after="0" w:line="240" w:lineRule="exact"/>
      <w:jc w:val="both"/>
    </w:pPr>
    <w:rPr>
      <w:sz w:val="20"/>
      <w:szCs w:val="20"/>
      <w:vertAlign w:val="superscript"/>
      <w:lang w:val="en-GB"/>
    </w:rPr>
  </w:style>
  <w:style w:type="paragraph" w:customStyle="1" w:styleId="AICDbodycopy">
    <w:name w:val="AICD body copy"/>
    <w:basedOn w:val="Normal"/>
    <w:uiPriority w:val="99"/>
    <w:rsid w:val="003A5A07"/>
    <w:pPr>
      <w:spacing w:before="120" w:after="120" w:line="288" w:lineRule="auto"/>
      <w:ind w:firstLine="360"/>
    </w:pPr>
    <w:rPr>
      <w:rFonts w:ascii="Times New Roman" w:eastAsia="Times New Roman" w:hAnsi="Times New Roman"/>
      <w:szCs w:val="20"/>
    </w:rPr>
  </w:style>
  <w:style w:type="paragraph" w:styleId="TOCHeading">
    <w:name w:val="TOC Heading"/>
    <w:basedOn w:val="Heading1"/>
    <w:next w:val="Normal"/>
    <w:uiPriority w:val="39"/>
    <w:unhideWhenUsed/>
    <w:qFormat/>
    <w:rsid w:val="003A5A07"/>
    <w:pPr>
      <w:spacing w:line="259" w:lineRule="auto"/>
      <w:outlineLvl w:val="9"/>
    </w:pPr>
  </w:style>
  <w:style w:type="paragraph" w:styleId="CommentText">
    <w:name w:val="annotation text"/>
    <w:basedOn w:val="Normal"/>
    <w:link w:val="CommentTextChar"/>
    <w:uiPriority w:val="99"/>
    <w:unhideWhenUsed/>
    <w:rsid w:val="003A5A07"/>
    <w:rPr>
      <w:sz w:val="20"/>
      <w:szCs w:val="20"/>
    </w:rPr>
  </w:style>
  <w:style w:type="character" w:customStyle="1" w:styleId="CommentTextChar">
    <w:name w:val="Comment Text Char"/>
    <w:basedOn w:val="DefaultParagraphFont"/>
    <w:link w:val="CommentText"/>
    <w:uiPriority w:val="99"/>
    <w:rsid w:val="003A5A07"/>
    <w:rPr>
      <w:rFonts w:ascii="Calibri" w:eastAsia="Calibri" w:hAnsi="Calibri" w:cs="Times New Roman"/>
      <w:sz w:val="20"/>
      <w:szCs w:val="20"/>
    </w:rPr>
  </w:style>
  <w:style w:type="paragraph" w:customStyle="1" w:styleId="LightGrid-Accent31">
    <w:name w:val="Light Grid - Accent 31"/>
    <w:basedOn w:val="Normal"/>
    <w:link w:val="LightGrid-Accent3Char"/>
    <w:uiPriority w:val="99"/>
    <w:qFormat/>
    <w:rsid w:val="003A5A07"/>
    <w:pPr>
      <w:ind w:left="720"/>
      <w:contextualSpacing/>
    </w:pPr>
    <w:rPr>
      <w:sz w:val="20"/>
      <w:szCs w:val="20"/>
      <w:lang w:val="en-GB"/>
    </w:rPr>
  </w:style>
  <w:style w:type="character" w:customStyle="1" w:styleId="LightGrid-Accent3Char">
    <w:name w:val="Light Grid - Accent 3 Char"/>
    <w:link w:val="LightGrid-Accent31"/>
    <w:uiPriority w:val="99"/>
    <w:locked/>
    <w:rsid w:val="003A5A07"/>
    <w:rPr>
      <w:rFonts w:ascii="Calibri" w:eastAsia="Calibri" w:hAnsi="Calibri" w:cs="Times New Roman"/>
      <w:sz w:val="20"/>
      <w:szCs w:val="20"/>
      <w:lang w:val="en-GB"/>
    </w:rPr>
  </w:style>
  <w:style w:type="paragraph" w:styleId="BodyText2">
    <w:name w:val="Body Text 2"/>
    <w:basedOn w:val="Normal"/>
    <w:link w:val="BodyText2Char"/>
    <w:rsid w:val="003A5A07"/>
    <w:pPr>
      <w:spacing w:after="0" w:line="24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3A5A07"/>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3A5A07"/>
    <w:pPr>
      <w:spacing w:after="120"/>
    </w:pPr>
  </w:style>
  <w:style w:type="character" w:customStyle="1" w:styleId="BodyTextChar">
    <w:name w:val="Body Text Char"/>
    <w:basedOn w:val="DefaultParagraphFont"/>
    <w:link w:val="BodyText"/>
    <w:uiPriority w:val="99"/>
    <w:rsid w:val="003A5A07"/>
    <w:rPr>
      <w:rFonts w:ascii="Calibri" w:eastAsia="Calibri" w:hAnsi="Calibri" w:cs="Times New Roman"/>
    </w:rPr>
  </w:style>
  <w:style w:type="paragraph" w:customStyle="1" w:styleId="AKFHeading">
    <w:name w:val="A_KFHeading"/>
    <w:next w:val="Normal"/>
    <w:qFormat/>
    <w:rsid w:val="003A5A07"/>
    <w:pPr>
      <w:spacing w:after="80" w:line="264" w:lineRule="auto"/>
    </w:pPr>
    <w:rPr>
      <w:rFonts w:ascii="Arial" w:eastAsia="Times New Roman" w:hAnsi="Arial" w:cs="Arial"/>
      <w:b/>
      <w:sz w:val="20"/>
      <w:szCs w:val="20"/>
    </w:rPr>
  </w:style>
  <w:style w:type="paragraph" w:styleId="TOC1">
    <w:name w:val="toc 1"/>
    <w:basedOn w:val="Normal"/>
    <w:next w:val="Normal"/>
    <w:autoRedefine/>
    <w:uiPriority w:val="39"/>
    <w:unhideWhenUsed/>
    <w:rsid w:val="004F205B"/>
    <w:pPr>
      <w:tabs>
        <w:tab w:val="right" w:leader="dot" w:pos="9350"/>
      </w:tabs>
      <w:spacing w:after="100"/>
    </w:pPr>
    <w:rPr>
      <w:rFonts w:cstheme="minorHAnsi"/>
      <w:noProof/>
      <w:color w:val="0070C0"/>
    </w:rPr>
  </w:style>
  <w:style w:type="paragraph" w:styleId="TOC2">
    <w:name w:val="toc 2"/>
    <w:basedOn w:val="Normal"/>
    <w:next w:val="Normal"/>
    <w:autoRedefine/>
    <w:uiPriority w:val="39"/>
    <w:unhideWhenUsed/>
    <w:rsid w:val="003A5A07"/>
    <w:pPr>
      <w:spacing w:after="100"/>
      <w:ind w:left="220"/>
    </w:pPr>
  </w:style>
  <w:style w:type="paragraph" w:styleId="TOC3">
    <w:name w:val="toc 3"/>
    <w:basedOn w:val="Normal"/>
    <w:next w:val="Normal"/>
    <w:autoRedefine/>
    <w:uiPriority w:val="39"/>
    <w:unhideWhenUsed/>
    <w:rsid w:val="003A5A07"/>
    <w:pPr>
      <w:spacing w:after="100"/>
      <w:ind w:left="440"/>
    </w:pPr>
  </w:style>
  <w:style w:type="paragraph" w:styleId="TOC4">
    <w:name w:val="toc 4"/>
    <w:basedOn w:val="Normal"/>
    <w:next w:val="Normal"/>
    <w:autoRedefine/>
    <w:uiPriority w:val="39"/>
    <w:unhideWhenUsed/>
    <w:rsid w:val="003A5A07"/>
    <w:pPr>
      <w:spacing w:after="100" w:line="259" w:lineRule="auto"/>
      <w:ind w:left="660"/>
    </w:pPr>
    <w:rPr>
      <w:rFonts w:eastAsia="MS Mincho"/>
    </w:rPr>
  </w:style>
  <w:style w:type="paragraph" w:styleId="TOC5">
    <w:name w:val="toc 5"/>
    <w:basedOn w:val="Normal"/>
    <w:next w:val="Normal"/>
    <w:autoRedefine/>
    <w:uiPriority w:val="39"/>
    <w:unhideWhenUsed/>
    <w:rsid w:val="003A5A07"/>
    <w:pPr>
      <w:spacing w:after="100" w:line="259" w:lineRule="auto"/>
      <w:ind w:left="880"/>
    </w:pPr>
    <w:rPr>
      <w:rFonts w:eastAsia="MS Mincho"/>
    </w:rPr>
  </w:style>
  <w:style w:type="paragraph" w:styleId="TOC6">
    <w:name w:val="toc 6"/>
    <w:basedOn w:val="Normal"/>
    <w:next w:val="Normal"/>
    <w:autoRedefine/>
    <w:uiPriority w:val="39"/>
    <w:unhideWhenUsed/>
    <w:rsid w:val="003A5A07"/>
    <w:pPr>
      <w:spacing w:after="100" w:line="259" w:lineRule="auto"/>
      <w:ind w:left="1100"/>
    </w:pPr>
    <w:rPr>
      <w:rFonts w:eastAsia="MS Mincho"/>
    </w:rPr>
  </w:style>
  <w:style w:type="paragraph" w:styleId="TOC7">
    <w:name w:val="toc 7"/>
    <w:basedOn w:val="Normal"/>
    <w:next w:val="Normal"/>
    <w:autoRedefine/>
    <w:uiPriority w:val="39"/>
    <w:unhideWhenUsed/>
    <w:rsid w:val="003A5A07"/>
    <w:pPr>
      <w:spacing w:after="100" w:line="259" w:lineRule="auto"/>
      <w:ind w:left="1320"/>
    </w:pPr>
    <w:rPr>
      <w:rFonts w:eastAsia="MS Mincho"/>
    </w:rPr>
  </w:style>
  <w:style w:type="paragraph" w:styleId="TOC8">
    <w:name w:val="toc 8"/>
    <w:basedOn w:val="Normal"/>
    <w:next w:val="Normal"/>
    <w:autoRedefine/>
    <w:uiPriority w:val="39"/>
    <w:unhideWhenUsed/>
    <w:rsid w:val="003A5A07"/>
    <w:pPr>
      <w:spacing w:after="100" w:line="259" w:lineRule="auto"/>
      <w:ind w:left="1540"/>
    </w:pPr>
    <w:rPr>
      <w:rFonts w:eastAsia="MS Mincho"/>
    </w:rPr>
  </w:style>
  <w:style w:type="paragraph" w:styleId="TOC9">
    <w:name w:val="toc 9"/>
    <w:basedOn w:val="Normal"/>
    <w:next w:val="Normal"/>
    <w:autoRedefine/>
    <w:uiPriority w:val="39"/>
    <w:unhideWhenUsed/>
    <w:rsid w:val="003A5A07"/>
    <w:pPr>
      <w:spacing w:after="100" w:line="259" w:lineRule="auto"/>
      <w:ind w:left="1760"/>
    </w:pPr>
    <w:rPr>
      <w:rFonts w:eastAsia="MS Mincho"/>
    </w:rPr>
  </w:style>
  <w:style w:type="character" w:customStyle="1" w:styleId="UnresolvedMention1">
    <w:name w:val="Unresolved Mention1"/>
    <w:uiPriority w:val="99"/>
    <w:semiHidden/>
    <w:unhideWhenUsed/>
    <w:rsid w:val="003A5A07"/>
    <w:rPr>
      <w:color w:val="808080"/>
      <w:shd w:val="clear" w:color="auto" w:fill="E6E6E6"/>
    </w:rPr>
  </w:style>
  <w:style w:type="character" w:customStyle="1" w:styleId="UnresolvedMention11">
    <w:name w:val="Unresolved Mention11"/>
    <w:uiPriority w:val="99"/>
    <w:semiHidden/>
    <w:unhideWhenUsed/>
    <w:rsid w:val="003A5A07"/>
    <w:rPr>
      <w:color w:val="808080"/>
      <w:shd w:val="clear" w:color="auto" w:fill="E6E6E6"/>
    </w:rPr>
  </w:style>
  <w:style w:type="character" w:styleId="CommentReference">
    <w:name w:val="annotation reference"/>
    <w:uiPriority w:val="99"/>
    <w:unhideWhenUsed/>
    <w:rsid w:val="003A5A07"/>
    <w:rPr>
      <w:sz w:val="16"/>
      <w:szCs w:val="16"/>
    </w:rPr>
  </w:style>
  <w:style w:type="paragraph" w:styleId="CommentSubject">
    <w:name w:val="annotation subject"/>
    <w:basedOn w:val="CommentText"/>
    <w:next w:val="CommentText"/>
    <w:link w:val="CommentSubjectChar"/>
    <w:uiPriority w:val="99"/>
    <w:semiHidden/>
    <w:unhideWhenUsed/>
    <w:rsid w:val="003A5A07"/>
    <w:pPr>
      <w:spacing w:line="240" w:lineRule="auto"/>
    </w:pPr>
    <w:rPr>
      <w:rFonts w:eastAsia="MS Mincho"/>
      <w:b/>
      <w:bCs/>
    </w:rPr>
  </w:style>
  <w:style w:type="character" w:customStyle="1" w:styleId="CommentSubjectChar">
    <w:name w:val="Comment Subject Char"/>
    <w:basedOn w:val="CommentTextChar"/>
    <w:link w:val="CommentSubject"/>
    <w:uiPriority w:val="99"/>
    <w:semiHidden/>
    <w:rsid w:val="003A5A07"/>
    <w:rPr>
      <w:rFonts w:ascii="Calibri" w:eastAsia="MS Mincho" w:hAnsi="Calibri" w:cs="Times New Roman"/>
      <w:b/>
      <w:bCs/>
      <w:sz w:val="20"/>
      <w:szCs w:val="20"/>
    </w:rPr>
  </w:style>
  <w:style w:type="character" w:customStyle="1" w:styleId="CaptionChar">
    <w:name w:val="Caption Char"/>
    <w:link w:val="Caption"/>
    <w:uiPriority w:val="35"/>
    <w:rsid w:val="003A5A07"/>
    <w:rPr>
      <w:rFonts w:ascii="Calibri" w:eastAsia="Calibri" w:hAnsi="Calibri" w:cs="Times New Roman"/>
      <w:i/>
      <w:iCs/>
      <w:color w:val="1F497D"/>
      <w:sz w:val="18"/>
      <w:szCs w:val="18"/>
    </w:rPr>
  </w:style>
  <w:style w:type="paragraph" w:customStyle="1" w:styleId="Heading11">
    <w:name w:val="Heading 11"/>
    <w:basedOn w:val="Normal"/>
    <w:next w:val="Normal"/>
    <w:uiPriority w:val="9"/>
    <w:qFormat/>
    <w:rsid w:val="003A5A07"/>
    <w:pPr>
      <w:keepNext/>
      <w:keepLines/>
      <w:numPr>
        <w:numId w:val="31"/>
      </w:numPr>
      <w:spacing w:before="240" w:after="0"/>
      <w:outlineLvl w:val="0"/>
    </w:pPr>
    <w:rPr>
      <w:rFonts w:ascii="Cambria" w:eastAsia="MS Gothic" w:hAnsi="Cambria"/>
      <w:color w:val="365F91"/>
      <w:sz w:val="32"/>
      <w:szCs w:val="32"/>
    </w:rPr>
  </w:style>
  <w:style w:type="paragraph" w:customStyle="1" w:styleId="Heading21">
    <w:name w:val="Heading 21"/>
    <w:basedOn w:val="Normal"/>
    <w:next w:val="Normal"/>
    <w:uiPriority w:val="9"/>
    <w:unhideWhenUsed/>
    <w:qFormat/>
    <w:rsid w:val="003A5A07"/>
    <w:pPr>
      <w:keepNext/>
      <w:keepLines/>
      <w:numPr>
        <w:ilvl w:val="1"/>
        <w:numId w:val="31"/>
      </w:numPr>
      <w:spacing w:before="240" w:after="240" w:line="240" w:lineRule="auto"/>
      <w:jc w:val="center"/>
      <w:outlineLvl w:val="1"/>
    </w:pPr>
    <w:rPr>
      <w:rFonts w:ascii="Times New Roman Bold" w:eastAsia="MS Gothic" w:hAnsi="Times New Roman Bold"/>
      <w:b/>
      <w:bCs/>
      <w:smallCaps/>
      <w:sz w:val="24"/>
      <w:szCs w:val="26"/>
    </w:rPr>
  </w:style>
  <w:style w:type="paragraph" w:customStyle="1" w:styleId="Heading31">
    <w:name w:val="Heading 31"/>
    <w:basedOn w:val="Normal"/>
    <w:next w:val="Normal"/>
    <w:uiPriority w:val="9"/>
    <w:unhideWhenUsed/>
    <w:qFormat/>
    <w:rsid w:val="003A5A07"/>
    <w:pPr>
      <w:keepNext/>
      <w:keepLines/>
      <w:numPr>
        <w:ilvl w:val="2"/>
        <w:numId w:val="31"/>
      </w:numPr>
      <w:spacing w:before="40" w:after="0"/>
      <w:outlineLvl w:val="2"/>
    </w:pPr>
    <w:rPr>
      <w:rFonts w:ascii="Cambria" w:eastAsia="MS Gothic" w:hAnsi="Cambria"/>
      <w:color w:val="243F60"/>
      <w:sz w:val="24"/>
      <w:szCs w:val="24"/>
    </w:rPr>
  </w:style>
  <w:style w:type="paragraph" w:customStyle="1" w:styleId="Heading41">
    <w:name w:val="Heading 41"/>
    <w:basedOn w:val="Normal"/>
    <w:next w:val="Normal"/>
    <w:uiPriority w:val="9"/>
    <w:semiHidden/>
    <w:unhideWhenUsed/>
    <w:qFormat/>
    <w:rsid w:val="003A5A07"/>
    <w:pPr>
      <w:keepNext/>
      <w:keepLines/>
      <w:numPr>
        <w:ilvl w:val="3"/>
        <w:numId w:val="31"/>
      </w:numPr>
      <w:tabs>
        <w:tab w:val="num" w:pos="360"/>
      </w:tabs>
      <w:spacing w:before="40" w:after="0"/>
      <w:outlineLvl w:val="3"/>
    </w:pPr>
    <w:rPr>
      <w:rFonts w:ascii="Cambria" w:eastAsia="MS Gothic" w:hAnsi="Cambria"/>
      <w:i/>
      <w:iCs/>
      <w:color w:val="365F91"/>
    </w:rPr>
  </w:style>
  <w:style w:type="paragraph" w:customStyle="1" w:styleId="Heading51">
    <w:name w:val="Heading 51"/>
    <w:basedOn w:val="Normal"/>
    <w:next w:val="Normal"/>
    <w:uiPriority w:val="9"/>
    <w:semiHidden/>
    <w:unhideWhenUsed/>
    <w:qFormat/>
    <w:rsid w:val="003A5A07"/>
    <w:pPr>
      <w:keepNext/>
      <w:keepLines/>
      <w:numPr>
        <w:ilvl w:val="4"/>
        <w:numId w:val="31"/>
      </w:numPr>
      <w:tabs>
        <w:tab w:val="num" w:pos="360"/>
      </w:tabs>
      <w:spacing w:before="40" w:after="0"/>
      <w:outlineLvl w:val="4"/>
    </w:pPr>
    <w:rPr>
      <w:rFonts w:ascii="Cambria" w:eastAsia="MS Gothic" w:hAnsi="Cambria"/>
      <w:color w:val="365F91"/>
    </w:rPr>
  </w:style>
  <w:style w:type="paragraph" w:customStyle="1" w:styleId="Heading61">
    <w:name w:val="Heading 61"/>
    <w:basedOn w:val="Normal"/>
    <w:next w:val="Normal"/>
    <w:uiPriority w:val="9"/>
    <w:semiHidden/>
    <w:unhideWhenUsed/>
    <w:qFormat/>
    <w:rsid w:val="003A5A07"/>
    <w:pPr>
      <w:keepNext/>
      <w:keepLines/>
      <w:numPr>
        <w:ilvl w:val="5"/>
        <w:numId w:val="31"/>
      </w:numPr>
      <w:tabs>
        <w:tab w:val="num" w:pos="360"/>
      </w:tabs>
      <w:spacing w:before="40" w:after="0"/>
      <w:outlineLvl w:val="5"/>
    </w:pPr>
    <w:rPr>
      <w:rFonts w:ascii="Cambria" w:eastAsia="MS Gothic" w:hAnsi="Cambria"/>
      <w:color w:val="243F60"/>
    </w:rPr>
  </w:style>
  <w:style w:type="paragraph" w:customStyle="1" w:styleId="Heading71">
    <w:name w:val="Heading 71"/>
    <w:basedOn w:val="Normal"/>
    <w:next w:val="Normal"/>
    <w:uiPriority w:val="9"/>
    <w:semiHidden/>
    <w:unhideWhenUsed/>
    <w:qFormat/>
    <w:rsid w:val="003A5A07"/>
    <w:pPr>
      <w:keepNext/>
      <w:keepLines/>
      <w:numPr>
        <w:ilvl w:val="6"/>
        <w:numId w:val="31"/>
      </w:numPr>
      <w:tabs>
        <w:tab w:val="num" w:pos="360"/>
      </w:tabs>
      <w:spacing w:before="40" w:after="0"/>
      <w:outlineLvl w:val="6"/>
    </w:pPr>
    <w:rPr>
      <w:rFonts w:ascii="Cambria" w:eastAsia="MS Gothic" w:hAnsi="Cambria"/>
      <w:i/>
      <w:iCs/>
      <w:color w:val="243F60"/>
    </w:rPr>
  </w:style>
  <w:style w:type="paragraph" w:customStyle="1" w:styleId="Heading81">
    <w:name w:val="Heading 81"/>
    <w:basedOn w:val="Normal"/>
    <w:next w:val="Normal"/>
    <w:uiPriority w:val="9"/>
    <w:semiHidden/>
    <w:unhideWhenUsed/>
    <w:qFormat/>
    <w:rsid w:val="003A5A07"/>
    <w:pPr>
      <w:keepNext/>
      <w:keepLines/>
      <w:numPr>
        <w:ilvl w:val="7"/>
        <w:numId w:val="31"/>
      </w:numPr>
      <w:tabs>
        <w:tab w:val="num" w:pos="360"/>
      </w:tabs>
      <w:spacing w:before="40" w:after="0"/>
      <w:outlineLvl w:val="7"/>
    </w:pPr>
    <w:rPr>
      <w:rFonts w:ascii="Cambria" w:eastAsia="MS Gothic" w:hAnsi="Cambria"/>
      <w:color w:val="272727"/>
      <w:sz w:val="21"/>
      <w:szCs w:val="21"/>
    </w:rPr>
  </w:style>
  <w:style w:type="paragraph" w:customStyle="1" w:styleId="Heading91">
    <w:name w:val="Heading 91"/>
    <w:basedOn w:val="Normal"/>
    <w:next w:val="Normal"/>
    <w:uiPriority w:val="9"/>
    <w:semiHidden/>
    <w:unhideWhenUsed/>
    <w:qFormat/>
    <w:rsid w:val="003A5A07"/>
    <w:pPr>
      <w:keepNext/>
      <w:keepLines/>
      <w:numPr>
        <w:ilvl w:val="8"/>
        <w:numId w:val="31"/>
      </w:numPr>
      <w:tabs>
        <w:tab w:val="num" w:pos="360"/>
      </w:tabs>
      <w:spacing w:before="40" w:after="0"/>
      <w:outlineLvl w:val="8"/>
    </w:pPr>
    <w:rPr>
      <w:rFonts w:ascii="Cambria" w:eastAsia="MS Gothic" w:hAnsi="Cambria"/>
      <w:i/>
      <w:iCs/>
      <w:color w:val="272727"/>
      <w:sz w:val="21"/>
      <w:szCs w:val="21"/>
    </w:rPr>
  </w:style>
  <w:style w:type="numbering" w:customStyle="1" w:styleId="NoList1">
    <w:name w:val="No List1"/>
    <w:next w:val="NoList"/>
    <w:uiPriority w:val="99"/>
    <w:semiHidden/>
    <w:unhideWhenUsed/>
    <w:rsid w:val="003A5A07"/>
  </w:style>
  <w:style w:type="character" w:customStyle="1" w:styleId="Hyperlink1">
    <w:name w:val="Hyperlink1"/>
    <w:uiPriority w:val="99"/>
    <w:rsid w:val="003A5A07"/>
    <w:rPr>
      <w:color w:val="0000FF"/>
      <w:u w:val="single"/>
    </w:rPr>
  </w:style>
  <w:style w:type="paragraph" w:customStyle="1" w:styleId="NoSpacing1">
    <w:name w:val="No Spacing1"/>
    <w:next w:val="NoSpacing"/>
    <w:uiPriority w:val="1"/>
    <w:qFormat/>
    <w:rsid w:val="003A5A07"/>
    <w:pPr>
      <w:spacing w:after="0" w:line="240" w:lineRule="auto"/>
    </w:pPr>
    <w:rPr>
      <w:rFonts w:ascii="Calibri" w:eastAsia="Calibri" w:hAnsi="Calibri" w:cs="Times New Roman"/>
    </w:rPr>
  </w:style>
  <w:style w:type="character" w:customStyle="1" w:styleId="apple-converted-space">
    <w:name w:val="apple-converted-space"/>
    <w:rsid w:val="003A5A07"/>
  </w:style>
  <w:style w:type="paragraph" w:styleId="HTMLPreformatted">
    <w:name w:val="HTML Preformatted"/>
    <w:basedOn w:val="Normal"/>
    <w:link w:val="HTMLPreformattedChar"/>
    <w:uiPriority w:val="99"/>
    <w:unhideWhenUsed/>
    <w:rsid w:val="003A5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3A5A07"/>
    <w:rPr>
      <w:rFonts w:ascii="Courier New" w:eastAsia="Times New Roman" w:hAnsi="Courier New" w:cs="Times New Roman"/>
      <w:sz w:val="20"/>
      <w:szCs w:val="20"/>
    </w:rPr>
  </w:style>
  <w:style w:type="paragraph" w:customStyle="1" w:styleId="BulletLevel1">
    <w:name w:val="Bullet Level 1"/>
    <w:basedOn w:val="Normal"/>
    <w:link w:val="BulletLevel1Char"/>
    <w:autoRedefine/>
    <w:qFormat/>
    <w:rsid w:val="003A5A07"/>
    <w:pPr>
      <w:numPr>
        <w:numId w:val="30"/>
      </w:numPr>
      <w:spacing w:after="0" w:line="240" w:lineRule="auto"/>
    </w:pPr>
    <w:rPr>
      <w:rFonts w:ascii="Times New Roman" w:eastAsia="Times New Roman" w:hAnsi="Times New Roman"/>
      <w:bCs/>
      <w:noProof/>
      <w:sz w:val="20"/>
      <w:szCs w:val="25"/>
    </w:rPr>
  </w:style>
  <w:style w:type="character" w:customStyle="1" w:styleId="BulletLevel1Char">
    <w:name w:val="Bullet Level 1 Char"/>
    <w:link w:val="BulletLevel1"/>
    <w:rsid w:val="003A5A07"/>
    <w:rPr>
      <w:rFonts w:ascii="Times New Roman" w:eastAsia="Times New Roman" w:hAnsi="Times New Roman" w:cs="Times New Roman"/>
      <w:bCs/>
      <w:noProof/>
      <w:sz w:val="20"/>
      <w:szCs w:val="25"/>
    </w:rPr>
  </w:style>
  <w:style w:type="paragraph" w:customStyle="1" w:styleId="xmsonormal">
    <w:name w:val="x_msonormal"/>
    <w:basedOn w:val="Normal"/>
    <w:rsid w:val="003A5A07"/>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highlight">
    <w:name w:val="highlight"/>
    <w:basedOn w:val="DefaultParagraphFont"/>
    <w:rsid w:val="003A5A07"/>
  </w:style>
  <w:style w:type="paragraph" w:customStyle="1" w:styleId="Titretableau1">
    <w:name w:val="Titre tableau1"/>
    <w:basedOn w:val="Normal"/>
    <w:next w:val="Normal"/>
    <w:uiPriority w:val="35"/>
    <w:unhideWhenUsed/>
    <w:qFormat/>
    <w:rsid w:val="003A5A07"/>
    <w:pPr>
      <w:spacing w:after="60" w:line="240" w:lineRule="auto"/>
      <w:jc w:val="center"/>
    </w:pPr>
    <w:rPr>
      <w:rFonts w:eastAsia="Times New Roman" w:cs="Calibri"/>
      <w:b/>
      <w:color w:val="000000"/>
    </w:rPr>
  </w:style>
  <w:style w:type="paragraph" w:customStyle="1" w:styleId="Body">
    <w:name w:val="Body"/>
    <w:rsid w:val="003A5A07"/>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styleId="Strong">
    <w:name w:val="Strong"/>
    <w:uiPriority w:val="22"/>
    <w:qFormat/>
    <w:rsid w:val="003A5A07"/>
    <w:rPr>
      <w:b w:val="0"/>
      <w:bCs w:val="0"/>
    </w:rPr>
  </w:style>
  <w:style w:type="paragraph" w:styleId="PlainText">
    <w:name w:val="Plain Text"/>
    <w:basedOn w:val="Normal"/>
    <w:link w:val="PlainTextChar"/>
    <w:uiPriority w:val="99"/>
    <w:semiHidden/>
    <w:unhideWhenUsed/>
    <w:rsid w:val="003A5A07"/>
    <w:pPr>
      <w:spacing w:after="0" w:line="240" w:lineRule="auto"/>
    </w:pPr>
    <w:rPr>
      <w:rFonts w:eastAsia="MS Mincho"/>
      <w:sz w:val="20"/>
      <w:szCs w:val="20"/>
      <w:lang w:eastAsia="ja-JP"/>
    </w:rPr>
  </w:style>
  <w:style w:type="character" w:customStyle="1" w:styleId="PlainTextChar">
    <w:name w:val="Plain Text Char"/>
    <w:basedOn w:val="DefaultParagraphFont"/>
    <w:link w:val="PlainText"/>
    <w:uiPriority w:val="99"/>
    <w:semiHidden/>
    <w:rsid w:val="003A5A07"/>
    <w:rPr>
      <w:rFonts w:ascii="Calibri" w:eastAsia="MS Mincho" w:hAnsi="Calibri" w:cs="Times New Roman"/>
      <w:sz w:val="20"/>
      <w:szCs w:val="20"/>
      <w:lang w:eastAsia="ja-JP"/>
    </w:rPr>
  </w:style>
  <w:style w:type="paragraph" w:customStyle="1" w:styleId="Date1">
    <w:name w:val="Date1"/>
    <w:basedOn w:val="Normal"/>
    <w:rsid w:val="003A5A07"/>
    <w:pPr>
      <w:spacing w:before="240" w:after="240" w:line="240" w:lineRule="auto"/>
    </w:pPr>
    <w:rPr>
      <w:rFonts w:ascii="MuseoSlab-500" w:eastAsia="Times New Roman" w:hAnsi="MuseoSlab-500"/>
      <w:color w:val="A2A09B"/>
      <w:sz w:val="24"/>
      <w:szCs w:val="24"/>
    </w:rPr>
  </w:style>
  <w:style w:type="character" w:customStyle="1" w:styleId="Heading1Char1">
    <w:name w:val="Heading 1 Char1"/>
    <w:uiPriority w:val="9"/>
    <w:rsid w:val="003A5A07"/>
    <w:rPr>
      <w:rFonts w:ascii="Calibri Light" w:eastAsia="Times New Roman" w:hAnsi="Calibri Light" w:cs="Times New Roman"/>
      <w:color w:val="2E74B5"/>
      <w:sz w:val="32"/>
      <w:szCs w:val="32"/>
    </w:rPr>
  </w:style>
  <w:style w:type="paragraph" w:styleId="TableofFigures">
    <w:name w:val="table of figures"/>
    <w:basedOn w:val="Normal"/>
    <w:next w:val="Normal"/>
    <w:uiPriority w:val="99"/>
    <w:unhideWhenUsed/>
    <w:rsid w:val="003A5A07"/>
    <w:pPr>
      <w:spacing w:after="0"/>
    </w:pPr>
    <w:rPr>
      <w:rFonts w:eastAsia="MS Mincho"/>
    </w:rPr>
  </w:style>
  <w:style w:type="character" w:customStyle="1" w:styleId="uccinverseresultunit2">
    <w:name w:val="uccinverseresultunit2"/>
    <w:rsid w:val="003A5A07"/>
    <w:rPr>
      <w:vanish w:val="0"/>
      <w:webHidden w:val="0"/>
      <w:specVanish w:val="0"/>
    </w:rPr>
  </w:style>
  <w:style w:type="paragraph" w:customStyle="1" w:styleId="ParagraphNumbering">
    <w:name w:val="Paragraph Numbering"/>
    <w:basedOn w:val="Normal"/>
    <w:link w:val="ParagraphNumberingChar"/>
    <w:qFormat/>
    <w:rsid w:val="003A5A07"/>
    <w:pPr>
      <w:numPr>
        <w:numId w:val="32"/>
      </w:numPr>
      <w:spacing w:after="240" w:line="300" w:lineRule="exact"/>
    </w:pPr>
    <w:rPr>
      <w:rFonts w:ascii="Segoe UI" w:eastAsia="MS Mincho" w:hAnsi="Segoe UI"/>
      <w:sz w:val="21"/>
      <w:szCs w:val="24"/>
    </w:rPr>
  </w:style>
  <w:style w:type="character" w:customStyle="1" w:styleId="ParagraphNumberingChar">
    <w:name w:val="Paragraph Numbering Char"/>
    <w:link w:val="ParagraphNumbering"/>
    <w:locked/>
    <w:rsid w:val="003A5A07"/>
    <w:rPr>
      <w:rFonts w:ascii="Segoe UI" w:eastAsia="MS Mincho" w:hAnsi="Segoe UI" w:cs="Times New Roman"/>
      <w:sz w:val="21"/>
      <w:szCs w:val="24"/>
    </w:rPr>
  </w:style>
  <w:style w:type="paragraph" w:customStyle="1" w:styleId="Referencestyle">
    <w:name w:val="Reference style"/>
    <w:basedOn w:val="Normal"/>
    <w:rsid w:val="003A5A07"/>
    <w:pPr>
      <w:spacing w:after="0" w:line="240" w:lineRule="auto"/>
    </w:pPr>
    <w:rPr>
      <w:rFonts w:ascii="Times New Roman" w:eastAsia="Times New Roman" w:hAnsi="Times New Roman"/>
      <w:sz w:val="24"/>
      <w:szCs w:val="20"/>
    </w:rPr>
  </w:style>
  <w:style w:type="character" w:customStyle="1" w:styleId="Heading2Char1">
    <w:name w:val="Heading 2 Char1"/>
    <w:uiPriority w:val="9"/>
    <w:semiHidden/>
    <w:rsid w:val="003A5A07"/>
    <w:rPr>
      <w:rFonts w:ascii="Calibri Light" w:eastAsia="Times New Roman" w:hAnsi="Calibri Light" w:cs="Times New Roman"/>
      <w:color w:val="2E74B5"/>
      <w:sz w:val="26"/>
      <w:szCs w:val="26"/>
    </w:rPr>
  </w:style>
  <w:style w:type="character" w:customStyle="1" w:styleId="Heading3Char1">
    <w:name w:val="Heading 3 Char1"/>
    <w:uiPriority w:val="9"/>
    <w:semiHidden/>
    <w:rsid w:val="003A5A07"/>
    <w:rPr>
      <w:rFonts w:ascii="Calibri Light" w:eastAsia="Times New Roman" w:hAnsi="Calibri Light" w:cs="Times New Roman"/>
      <w:color w:val="1F4D78"/>
      <w:sz w:val="24"/>
      <w:szCs w:val="24"/>
    </w:rPr>
  </w:style>
  <w:style w:type="character" w:customStyle="1" w:styleId="Heading4Char1">
    <w:name w:val="Heading 4 Char1"/>
    <w:uiPriority w:val="9"/>
    <w:semiHidden/>
    <w:rsid w:val="003A5A07"/>
    <w:rPr>
      <w:rFonts w:ascii="Calibri Light" w:eastAsia="Times New Roman" w:hAnsi="Calibri Light" w:cs="Times New Roman"/>
      <w:i/>
      <w:iCs/>
      <w:color w:val="2E74B5"/>
    </w:rPr>
  </w:style>
  <w:style w:type="character" w:customStyle="1" w:styleId="Heading5Char1">
    <w:name w:val="Heading 5 Char1"/>
    <w:uiPriority w:val="9"/>
    <w:semiHidden/>
    <w:rsid w:val="003A5A07"/>
    <w:rPr>
      <w:rFonts w:ascii="Calibri Light" w:eastAsia="Times New Roman" w:hAnsi="Calibri Light" w:cs="Times New Roman"/>
      <w:color w:val="2E74B5"/>
    </w:rPr>
  </w:style>
  <w:style w:type="character" w:customStyle="1" w:styleId="Heading6Char1">
    <w:name w:val="Heading 6 Char1"/>
    <w:uiPriority w:val="9"/>
    <w:semiHidden/>
    <w:rsid w:val="003A5A07"/>
    <w:rPr>
      <w:rFonts w:ascii="Calibri Light" w:eastAsia="Times New Roman" w:hAnsi="Calibri Light" w:cs="Times New Roman"/>
      <w:color w:val="1F4D78"/>
    </w:rPr>
  </w:style>
  <w:style w:type="character" w:customStyle="1" w:styleId="Heading7Char1">
    <w:name w:val="Heading 7 Char1"/>
    <w:uiPriority w:val="9"/>
    <w:semiHidden/>
    <w:rsid w:val="003A5A07"/>
    <w:rPr>
      <w:rFonts w:ascii="Calibri Light" w:eastAsia="Times New Roman" w:hAnsi="Calibri Light" w:cs="Times New Roman"/>
      <w:i/>
      <w:iCs/>
      <w:color w:val="1F4D78"/>
    </w:rPr>
  </w:style>
  <w:style w:type="character" w:customStyle="1" w:styleId="Heading8Char1">
    <w:name w:val="Heading 8 Char1"/>
    <w:uiPriority w:val="9"/>
    <w:semiHidden/>
    <w:rsid w:val="003A5A07"/>
    <w:rPr>
      <w:rFonts w:ascii="Calibri Light" w:eastAsia="Times New Roman" w:hAnsi="Calibri Light" w:cs="Times New Roman"/>
      <w:color w:val="272727"/>
      <w:sz w:val="21"/>
      <w:szCs w:val="21"/>
    </w:rPr>
  </w:style>
  <w:style w:type="character" w:customStyle="1" w:styleId="Heading9Char1">
    <w:name w:val="Heading 9 Char1"/>
    <w:uiPriority w:val="9"/>
    <w:semiHidden/>
    <w:rsid w:val="003A5A07"/>
    <w:rPr>
      <w:rFonts w:ascii="Calibri Light" w:eastAsia="Times New Roman" w:hAnsi="Calibri Light" w:cs="Times New Roman"/>
      <w:i/>
      <w:iCs/>
      <w:color w:val="272727"/>
      <w:sz w:val="21"/>
      <w:szCs w:val="21"/>
    </w:rPr>
  </w:style>
  <w:style w:type="character" w:styleId="Emphasis">
    <w:name w:val="Emphasis"/>
    <w:uiPriority w:val="20"/>
    <w:qFormat/>
    <w:rsid w:val="003A5A07"/>
    <w:rPr>
      <w:b/>
      <w:bCs/>
      <w:i w:val="0"/>
      <w:iCs w:val="0"/>
    </w:rPr>
  </w:style>
  <w:style w:type="character" w:customStyle="1" w:styleId="st1">
    <w:name w:val="st1"/>
    <w:basedOn w:val="DefaultParagraphFont"/>
    <w:rsid w:val="003A5A07"/>
  </w:style>
  <w:style w:type="paragraph" w:customStyle="1" w:styleId="WBPara">
    <w:name w:val="WB Para"/>
    <w:basedOn w:val="Normal"/>
    <w:link w:val="WBParaChar"/>
    <w:qFormat/>
    <w:rsid w:val="003A5A07"/>
    <w:pPr>
      <w:tabs>
        <w:tab w:val="num" w:pos="360"/>
      </w:tabs>
      <w:spacing w:after="240" w:line="240" w:lineRule="auto"/>
      <w:jc w:val="both"/>
    </w:pPr>
    <w:rPr>
      <w:rFonts w:ascii="Times New Roman" w:hAnsi="Times New Roman"/>
      <w:sz w:val="24"/>
      <w:szCs w:val="24"/>
    </w:rPr>
  </w:style>
  <w:style w:type="character" w:customStyle="1" w:styleId="WBParaChar">
    <w:name w:val="WB Para Char"/>
    <w:link w:val="WBPara"/>
    <w:rsid w:val="003A5A07"/>
    <w:rPr>
      <w:rFonts w:ascii="Times New Roman" w:eastAsia="Calibri" w:hAnsi="Times New Roman" w:cs="Times New Roman"/>
      <w:sz w:val="24"/>
      <w:szCs w:val="24"/>
    </w:rPr>
  </w:style>
  <w:style w:type="paragraph" w:customStyle="1" w:styleId="BVIfnrCarCarCarCarChar">
    <w:name w:val="BVI fnr Car Car Car Car Char"/>
    <w:basedOn w:val="Normal"/>
    <w:uiPriority w:val="99"/>
    <w:rsid w:val="003A5A07"/>
    <w:pPr>
      <w:spacing w:after="240" w:line="240" w:lineRule="exact"/>
      <w:jc w:val="both"/>
    </w:pPr>
    <w:rPr>
      <w:vertAlign w:val="superscript"/>
    </w:rPr>
  </w:style>
  <w:style w:type="table" w:customStyle="1" w:styleId="GridTable6Colorful-Accent31">
    <w:name w:val="Grid Table 6 Colorful - Accent 31"/>
    <w:basedOn w:val="TableNormal"/>
    <w:uiPriority w:val="51"/>
    <w:rsid w:val="003A5A07"/>
    <w:pPr>
      <w:spacing w:after="0" w:line="240" w:lineRule="auto"/>
    </w:pPr>
    <w:rPr>
      <w:rFonts w:ascii="Calibri" w:eastAsia="Calibri" w:hAnsi="Calibri" w:cs="Times New Roman"/>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
    <w:name w:val="Plain Table 51"/>
    <w:basedOn w:val="TableNormal"/>
    <w:uiPriority w:val="45"/>
    <w:rsid w:val="003A5A07"/>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
    <w:name w:val="列出段落1"/>
    <w:basedOn w:val="Normal"/>
    <w:next w:val="ListParagraph"/>
    <w:uiPriority w:val="34"/>
    <w:qFormat/>
    <w:rsid w:val="003A5A07"/>
    <w:pPr>
      <w:ind w:left="720"/>
      <w:contextualSpacing/>
    </w:pPr>
  </w:style>
  <w:style w:type="table" w:customStyle="1" w:styleId="GridTable4-Accent11">
    <w:name w:val="Grid Table 4 - Accent 11"/>
    <w:basedOn w:val="TableNormal"/>
    <w:uiPriority w:val="49"/>
    <w:rsid w:val="003A5A0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2">
    <w:name w:val="Unresolved Mention2"/>
    <w:uiPriority w:val="99"/>
    <w:semiHidden/>
    <w:unhideWhenUsed/>
    <w:rsid w:val="003B3B17"/>
    <w:rPr>
      <w:color w:val="808080"/>
      <w:shd w:val="clear" w:color="auto" w:fill="E6E6E6"/>
    </w:rPr>
  </w:style>
  <w:style w:type="table" w:styleId="MediumShading1-Accent5">
    <w:name w:val="Medium Shading 1 Accent 5"/>
    <w:basedOn w:val="TableNormal"/>
    <w:uiPriority w:val="63"/>
    <w:rsid w:val="003B3B1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5">
    <w:name w:val="Light Grid Accent 5"/>
    <w:basedOn w:val="TableNormal"/>
    <w:uiPriority w:val="62"/>
    <w:rsid w:val="003B3B1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4-Accent12">
    <w:name w:val="Grid Table 4 - Accent 12"/>
    <w:basedOn w:val="TableNormal"/>
    <w:uiPriority w:val="49"/>
    <w:rsid w:val="003B3B1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DefaultParagraphFont"/>
    <w:uiPriority w:val="99"/>
    <w:semiHidden/>
    <w:unhideWhenUsed/>
    <w:rsid w:val="00031906"/>
    <w:rPr>
      <w:color w:val="808080"/>
      <w:shd w:val="clear" w:color="auto" w:fill="E6E6E6"/>
    </w:rPr>
  </w:style>
  <w:style w:type="table" w:customStyle="1" w:styleId="ListTable4Accent1">
    <w:name w:val="List Table 4 Accent 1"/>
    <w:basedOn w:val="TableNormal"/>
    <w:uiPriority w:val="49"/>
    <w:rsid w:val="004E1A57"/>
    <w:pPr>
      <w:spacing w:after="0" w:line="240" w:lineRule="auto"/>
    </w:pPr>
    <w:rPr>
      <w:rFonts w:eastAsiaTheme="minorEastAsia"/>
      <w:sz w:val="24"/>
      <w:szCs w:val="24"/>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200363630">
      <w:bodyDiv w:val="1"/>
      <w:marLeft w:val="0"/>
      <w:marRight w:val="0"/>
      <w:marTop w:val="0"/>
      <w:marBottom w:val="0"/>
      <w:divBdr>
        <w:top w:val="none" w:sz="0" w:space="0" w:color="auto"/>
        <w:left w:val="none" w:sz="0" w:space="0" w:color="auto"/>
        <w:bottom w:val="none" w:sz="0" w:space="0" w:color="auto"/>
        <w:right w:val="none" w:sz="0" w:space="0" w:color="auto"/>
      </w:divBdr>
    </w:div>
    <w:div w:id="218202098">
      <w:bodyDiv w:val="1"/>
      <w:marLeft w:val="0"/>
      <w:marRight w:val="0"/>
      <w:marTop w:val="0"/>
      <w:marBottom w:val="0"/>
      <w:divBdr>
        <w:top w:val="none" w:sz="0" w:space="0" w:color="auto"/>
        <w:left w:val="none" w:sz="0" w:space="0" w:color="auto"/>
        <w:bottom w:val="none" w:sz="0" w:space="0" w:color="auto"/>
        <w:right w:val="none" w:sz="0" w:space="0" w:color="auto"/>
      </w:divBdr>
    </w:div>
    <w:div w:id="674696486">
      <w:bodyDiv w:val="1"/>
      <w:marLeft w:val="0"/>
      <w:marRight w:val="0"/>
      <w:marTop w:val="0"/>
      <w:marBottom w:val="0"/>
      <w:divBdr>
        <w:top w:val="none" w:sz="0" w:space="0" w:color="auto"/>
        <w:left w:val="none" w:sz="0" w:space="0" w:color="auto"/>
        <w:bottom w:val="none" w:sz="0" w:space="0" w:color="auto"/>
        <w:right w:val="none" w:sz="0" w:space="0" w:color="auto"/>
      </w:divBdr>
    </w:div>
    <w:div w:id="180010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image" Target="media/image10.jpe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hart" Target="charts/chart7.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file:///C:\Users\tijan\OneDrive\Documents\NDP%20Documents\Revised%20NDP%20Draft%20(05.09.17%5b18578%5d.docx" TargetMode="External"/><Relationship Id="rId19"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emf"/></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tarr\Desktop\Annual%20Report%20Docs\2016\Annual%20Report%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wb364671\AppData\Local\Microsoft\Windows\INetCache\Content.Outlook\VPOSXI3T\gmbDSA_v15.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tarr\Desktop\Desktop%20Files%20&amp;%20Folders\Annual%20Report%20Docs\2016\Annual%20Repo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56033380442814E-2"/>
          <c:y val="3.7027032204916016E-2"/>
          <c:w val="0.88894727101420012"/>
          <c:h val="0.73323945820641179"/>
        </c:manualLayout>
      </c:layout>
      <c:barChart>
        <c:barDir val="bar"/>
        <c:grouping val="stacked"/>
        <c:varyColors val="1"/>
        <c:ser>
          <c:idx val="0"/>
          <c:order val="0"/>
          <c:tx>
            <c:v>Persistence</c:v>
          </c:tx>
          <c:spPr>
            <a:solidFill>
              <a:srgbClr val="4F81BD"/>
            </a:solidFill>
            <a:ln>
              <a:noFill/>
            </a:ln>
          </c:spPr>
          <c:invertIfNegative val="1"/>
          <c:cat>
            <c:strLit>
              <c:ptCount val="15"/>
              <c:pt idx="0">
                <c:v>Central African Republic</c:v>
              </c:pt>
              <c:pt idx="1">
                <c:v>Chad </c:v>
              </c:pt>
              <c:pt idx="2">
                <c:v>Benin</c:v>
              </c:pt>
              <c:pt idx="3">
                <c:v>Burkina Faso</c:v>
              </c:pt>
              <c:pt idx="4">
                <c:v>Cabo Verde</c:v>
              </c:pt>
              <c:pt idx="5">
                <c:v>Cote d'ivoire</c:v>
              </c:pt>
              <c:pt idx="6">
                <c:v>Gambia</c:v>
              </c:pt>
              <c:pt idx="7">
                <c:v>Guinea</c:v>
              </c:pt>
              <c:pt idx="8">
                <c:v>Guinea Bissau</c:v>
              </c:pt>
              <c:pt idx="9">
                <c:v>Mali</c:v>
              </c:pt>
              <c:pt idx="10">
                <c:v>Mauritania</c:v>
              </c:pt>
              <c:pt idx="11">
                <c:v>Niger</c:v>
              </c:pt>
              <c:pt idx="12">
                <c:v>Senegal</c:v>
              </c:pt>
              <c:pt idx="13">
                <c:v>Togo</c:v>
              </c:pt>
              <c:pt idx="14">
                <c:v>SSA</c:v>
              </c:pt>
            </c:strLit>
          </c:cat>
          <c:val>
            <c:numLit>
              <c:formatCode>General</c:formatCode>
              <c:ptCount val="15"/>
              <c:pt idx="0">
                <c:v>-0.24501532000000023</c:v>
              </c:pt>
              <c:pt idx="1">
                <c:v>0.46860000000000002</c:v>
              </c:pt>
              <c:pt idx="2">
                <c:v>0.32036620000000054</c:v>
              </c:pt>
              <c:pt idx="3">
                <c:v>0.6740030000000008</c:v>
              </c:pt>
              <c:pt idx="4">
                <c:v>1.1169322207866901</c:v>
              </c:pt>
              <c:pt idx="5">
                <c:v>0.10153000000000002</c:v>
              </c:pt>
              <c:pt idx="6">
                <c:v>0.23190585311481601</c:v>
              </c:pt>
              <c:pt idx="7">
                <c:v>0.14990979414010927</c:v>
              </c:pt>
              <c:pt idx="8">
                <c:v>0.3670700000000004</c:v>
              </c:pt>
              <c:pt idx="9">
                <c:v>0.46860000000000002</c:v>
              </c:pt>
              <c:pt idx="10">
                <c:v>0.43239986900000066</c:v>
              </c:pt>
              <c:pt idx="11">
                <c:v>-4.6079000000000016E-2</c:v>
              </c:pt>
              <c:pt idx="12">
                <c:v>0.46599666666666739</c:v>
              </c:pt>
              <c:pt idx="13">
                <c:v>0.32567700000000033</c:v>
              </c:pt>
              <c:pt idx="14">
                <c:v>0.60918000000000005</c:v>
              </c:pt>
            </c:numLit>
          </c:val>
          <c:extLst xmlns:c16r2="http://schemas.microsoft.com/office/drawing/2015/06/chart">
            <c:ext xmlns:c16="http://schemas.microsoft.com/office/drawing/2014/chart" uri="{C3380CC4-5D6E-409C-BE32-E72D297353CC}">
              <c16:uniqueId val="{00000000-3F70-4D00-BEA8-64DE0A89DC43}"/>
            </c:ex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ser>
          <c:idx val="1"/>
          <c:order val="1"/>
          <c:tx>
            <c:v>Structural factors</c:v>
          </c:tx>
          <c:spPr>
            <a:solidFill>
              <a:srgbClr val="254061"/>
            </a:solidFill>
            <a:ln>
              <a:noFill/>
            </a:ln>
          </c:spPr>
          <c:invertIfNegative val="1"/>
          <c:cat>
            <c:strLit>
              <c:ptCount val="15"/>
              <c:pt idx="0">
                <c:v>Central African Republic</c:v>
              </c:pt>
              <c:pt idx="1">
                <c:v>Chad </c:v>
              </c:pt>
              <c:pt idx="2">
                <c:v>Benin</c:v>
              </c:pt>
              <c:pt idx="3">
                <c:v>Burkina Faso</c:v>
              </c:pt>
              <c:pt idx="4">
                <c:v>Cabo Verde</c:v>
              </c:pt>
              <c:pt idx="5">
                <c:v>Cote d'ivoire</c:v>
              </c:pt>
              <c:pt idx="6">
                <c:v>Gambia</c:v>
              </c:pt>
              <c:pt idx="7">
                <c:v>Guinea</c:v>
              </c:pt>
              <c:pt idx="8">
                <c:v>Guinea Bissau</c:v>
              </c:pt>
              <c:pt idx="9">
                <c:v>Mali</c:v>
              </c:pt>
              <c:pt idx="10">
                <c:v>Mauritania</c:v>
              </c:pt>
              <c:pt idx="11">
                <c:v>Niger</c:v>
              </c:pt>
              <c:pt idx="12">
                <c:v>Senegal</c:v>
              </c:pt>
              <c:pt idx="13">
                <c:v>Togo</c:v>
              </c:pt>
              <c:pt idx="14">
                <c:v>SSA</c:v>
              </c:pt>
            </c:strLit>
          </c:cat>
          <c:val>
            <c:numLit>
              <c:formatCode>General</c:formatCode>
              <c:ptCount val="15"/>
              <c:pt idx="0">
                <c:v>0.53668888539200099</c:v>
              </c:pt>
              <c:pt idx="1">
                <c:v>1.0847975400557761</c:v>
              </c:pt>
              <c:pt idx="2">
                <c:v>0.58713548124207349</c:v>
              </c:pt>
              <c:pt idx="3">
                <c:v>0.94198492433365599</c:v>
              </c:pt>
              <c:pt idx="4">
                <c:v>1.4882449885935281</c:v>
              </c:pt>
              <c:pt idx="5">
                <c:v>0.21123817167910616</c:v>
              </c:pt>
              <c:pt idx="6">
                <c:v>0.89449015460726844</c:v>
              </c:pt>
              <c:pt idx="7">
                <c:v>0.64039578761849447</c:v>
              </c:pt>
              <c:pt idx="8">
                <c:v>-0.26476029621973002</c:v>
              </c:pt>
              <c:pt idx="9">
                <c:v>0.49271178329763654</c:v>
              </c:pt>
              <c:pt idx="10">
                <c:v>0.47569418372778832</c:v>
              </c:pt>
              <c:pt idx="11">
                <c:v>0.68631132123409111</c:v>
              </c:pt>
              <c:pt idx="12">
                <c:v>0.67098769969839633</c:v>
              </c:pt>
              <c:pt idx="13">
                <c:v>0.48107781246004033</c:v>
              </c:pt>
              <c:pt idx="14">
                <c:v>0.60441211816792706</c:v>
              </c:pt>
            </c:numLit>
          </c:val>
          <c:extLst xmlns:c16r2="http://schemas.microsoft.com/office/drawing/2015/06/chart">
            <c:ext xmlns:c16="http://schemas.microsoft.com/office/drawing/2014/chart" uri="{C3380CC4-5D6E-409C-BE32-E72D297353CC}">
              <c16:uniqueId val="{00000001-3F70-4D00-BEA8-64DE0A89DC43}"/>
            </c:ex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ser>
          <c:idx val="2"/>
          <c:order val="2"/>
          <c:tx>
            <c:v>Stabilization policies</c:v>
          </c:tx>
          <c:spPr>
            <a:pattFill prst="pct60">
              <a:fgClr>
                <a:srgbClr val="FF0000"/>
              </a:fgClr>
              <a:bgClr>
                <a:schemeClr val="bg1"/>
              </a:bgClr>
            </a:pattFill>
            <a:ln>
              <a:noFill/>
            </a:ln>
          </c:spPr>
          <c:invertIfNegative val="1"/>
          <c:cat>
            <c:strLit>
              <c:ptCount val="15"/>
              <c:pt idx="0">
                <c:v>Central African Republic</c:v>
              </c:pt>
              <c:pt idx="1">
                <c:v>Chad </c:v>
              </c:pt>
              <c:pt idx="2">
                <c:v>Benin</c:v>
              </c:pt>
              <c:pt idx="3">
                <c:v>Burkina Faso</c:v>
              </c:pt>
              <c:pt idx="4">
                <c:v>Cabo Verde</c:v>
              </c:pt>
              <c:pt idx="5">
                <c:v>Cote d'ivoire</c:v>
              </c:pt>
              <c:pt idx="6">
                <c:v>Gambia</c:v>
              </c:pt>
              <c:pt idx="7">
                <c:v>Guinea</c:v>
              </c:pt>
              <c:pt idx="8">
                <c:v>Guinea Bissau</c:v>
              </c:pt>
              <c:pt idx="9">
                <c:v>Mali</c:v>
              </c:pt>
              <c:pt idx="10">
                <c:v>Mauritania</c:v>
              </c:pt>
              <c:pt idx="11">
                <c:v>Niger</c:v>
              </c:pt>
              <c:pt idx="12">
                <c:v>Senegal</c:v>
              </c:pt>
              <c:pt idx="13">
                <c:v>Togo</c:v>
              </c:pt>
              <c:pt idx="14">
                <c:v>SSA</c:v>
              </c:pt>
            </c:strLit>
          </c:cat>
          <c:val>
            <c:numLit>
              <c:formatCode>General</c:formatCode>
              <c:ptCount val="15"/>
              <c:pt idx="0">
                <c:v>-2.0803176104597931E-2</c:v>
              </c:pt>
              <c:pt idx="1">
                <c:v>6.9968193319154506E-2</c:v>
              </c:pt>
              <c:pt idx="2">
                <c:v>2.1766132025773943E-2</c:v>
              </c:pt>
              <c:pt idx="3">
                <c:v>0.185101209966688</c:v>
              </c:pt>
              <c:pt idx="4">
                <c:v>8.6895292423824863E-2</c:v>
              </c:pt>
              <c:pt idx="5">
                <c:v>6.7992974670058895E-2</c:v>
              </c:pt>
              <c:pt idx="6">
                <c:v>-0.37684050116091466</c:v>
              </c:pt>
              <c:pt idx="7">
                <c:v>-0.18329353000225326</c:v>
              </c:pt>
              <c:pt idx="8">
                <c:v>0.23093684472872417</c:v>
              </c:pt>
              <c:pt idx="9">
                <c:v>0.12676614744932227</c:v>
              </c:pt>
              <c:pt idx="10">
                <c:v>0.14725799364054201</c:v>
              </c:pt>
              <c:pt idx="11">
                <c:v>0.10571883965708398</c:v>
              </c:pt>
              <c:pt idx="12">
                <c:v>-3.5452262850013973E-3</c:v>
              </c:pt>
              <c:pt idx="13">
                <c:v>9.7574152182661522E-2</c:v>
              </c:pt>
              <c:pt idx="14">
                <c:v>9.8342357180057724E-2</c:v>
              </c:pt>
            </c:numLit>
          </c:val>
          <c:extLst xmlns:c16r2="http://schemas.microsoft.com/office/drawing/2015/06/chart">
            <c:ext xmlns:c16="http://schemas.microsoft.com/office/drawing/2014/chart" uri="{C3380CC4-5D6E-409C-BE32-E72D297353CC}">
              <c16:uniqueId val="{00000002-3F70-4D00-BEA8-64DE0A89DC43}"/>
            </c:ext>
          </c:extLst>
        </c:ser>
        <c:ser>
          <c:idx val="3"/>
          <c:order val="3"/>
          <c:tx>
            <c:v>External conditions</c:v>
          </c:tx>
          <c:spPr>
            <a:pattFill prst="trellis">
              <a:fgClr>
                <a:schemeClr val="accent1"/>
              </a:fgClr>
              <a:bgClr>
                <a:schemeClr val="bg1"/>
              </a:bgClr>
            </a:pattFill>
            <a:ln>
              <a:noFill/>
            </a:ln>
          </c:spPr>
          <c:invertIfNegative val="1"/>
          <c:cat>
            <c:strLit>
              <c:ptCount val="15"/>
              <c:pt idx="0">
                <c:v>Central African Republic</c:v>
              </c:pt>
              <c:pt idx="1">
                <c:v>Chad </c:v>
              </c:pt>
              <c:pt idx="2">
                <c:v>Benin</c:v>
              </c:pt>
              <c:pt idx="3">
                <c:v>Burkina Faso</c:v>
              </c:pt>
              <c:pt idx="4">
                <c:v>Cabo Verde</c:v>
              </c:pt>
              <c:pt idx="5">
                <c:v>Cote d'ivoire</c:v>
              </c:pt>
              <c:pt idx="6">
                <c:v>Gambia</c:v>
              </c:pt>
              <c:pt idx="7">
                <c:v>Guinea</c:v>
              </c:pt>
              <c:pt idx="8">
                <c:v>Guinea Bissau</c:v>
              </c:pt>
              <c:pt idx="9">
                <c:v>Mali</c:v>
              </c:pt>
              <c:pt idx="10">
                <c:v>Mauritania</c:v>
              </c:pt>
              <c:pt idx="11">
                <c:v>Niger</c:v>
              </c:pt>
              <c:pt idx="12">
                <c:v>Senegal</c:v>
              </c:pt>
              <c:pt idx="13">
                <c:v>Togo</c:v>
              </c:pt>
              <c:pt idx="14">
                <c:v>SSA</c:v>
              </c:pt>
            </c:strLit>
          </c:cat>
          <c:val>
            <c:numLit>
              <c:formatCode>General</c:formatCode>
              <c:ptCount val="15"/>
              <c:pt idx="0">
                <c:v>0.26722496227661446</c:v>
              </c:pt>
              <c:pt idx="1">
                <c:v>1.3726448694816193</c:v>
              </c:pt>
              <c:pt idx="2">
                <c:v>8.1720133269042747E-2</c:v>
              </c:pt>
              <c:pt idx="3">
                <c:v>0.36969922583394133</c:v>
              </c:pt>
              <c:pt idx="4">
                <c:v>0.21598727262721126</c:v>
              </c:pt>
              <c:pt idx="5">
                <c:v>0.26648555053609174</c:v>
              </c:pt>
              <c:pt idx="6">
                <c:v>5.3330000000000023E-2</c:v>
              </c:pt>
              <c:pt idx="7">
                <c:v>0.14377749824940217</c:v>
              </c:pt>
              <c:pt idx="8">
                <c:v>0.17396553754003433</c:v>
              </c:pt>
              <c:pt idx="9">
                <c:v>0.32671083750993646</c:v>
              </c:pt>
              <c:pt idx="10">
                <c:v>0.56491068346369566</c:v>
              </c:pt>
              <c:pt idx="11">
                <c:v>0.20434385321991</c:v>
              </c:pt>
              <c:pt idx="12">
                <c:v>6.2394019542877696E-2</c:v>
              </c:pt>
              <c:pt idx="13">
                <c:v>0.22260060174598087</c:v>
              </c:pt>
              <c:pt idx="14">
                <c:v>0.57128936752860004</c:v>
              </c:pt>
            </c:numLit>
          </c:val>
          <c:extLst xmlns:c16r2="http://schemas.microsoft.com/office/drawing/2015/06/chart">
            <c:ext xmlns:c16="http://schemas.microsoft.com/office/drawing/2014/chart" uri="{C3380CC4-5D6E-409C-BE32-E72D297353CC}">
              <c16:uniqueId val="{00000003-3F70-4D00-BEA8-64DE0A89DC43}"/>
            </c:ext>
          </c:extLst>
        </c:ser>
        <c:ser>
          <c:idx val="4"/>
          <c:order val="4"/>
          <c:tx>
            <c:v>Residual (Unexplained growth)</c:v>
          </c:tx>
          <c:spPr>
            <a:solidFill>
              <a:srgbClr val="FAC090"/>
            </a:solidFill>
            <a:ln>
              <a:noFill/>
            </a:ln>
          </c:spPr>
          <c:invertIfNegative val="1"/>
          <c:cat>
            <c:strLit>
              <c:ptCount val="15"/>
              <c:pt idx="0">
                <c:v>Central African Republic</c:v>
              </c:pt>
              <c:pt idx="1">
                <c:v>Chad </c:v>
              </c:pt>
              <c:pt idx="2">
                <c:v>Benin</c:v>
              </c:pt>
              <c:pt idx="3">
                <c:v>Burkina Faso</c:v>
              </c:pt>
              <c:pt idx="4">
                <c:v>Cabo Verde</c:v>
              </c:pt>
              <c:pt idx="5">
                <c:v>Cote d'ivoire</c:v>
              </c:pt>
              <c:pt idx="6">
                <c:v>Gambia</c:v>
              </c:pt>
              <c:pt idx="7">
                <c:v>Guinea</c:v>
              </c:pt>
              <c:pt idx="8">
                <c:v>Guinea Bissau</c:v>
              </c:pt>
              <c:pt idx="9">
                <c:v>Mali</c:v>
              </c:pt>
              <c:pt idx="10">
                <c:v>Mauritania</c:v>
              </c:pt>
              <c:pt idx="11">
                <c:v>Niger</c:v>
              </c:pt>
              <c:pt idx="12">
                <c:v>Senegal</c:v>
              </c:pt>
              <c:pt idx="13">
                <c:v>Togo</c:v>
              </c:pt>
              <c:pt idx="14">
                <c:v>SSA</c:v>
              </c:pt>
            </c:strLit>
          </c:cat>
          <c:val>
            <c:numLit>
              <c:formatCode>General</c:formatCode>
              <c:ptCount val="15"/>
              <c:pt idx="0">
                <c:v>4.2771344428087311E-2</c:v>
              </c:pt>
              <c:pt idx="1">
                <c:v>0.53031210301113207</c:v>
              </c:pt>
              <c:pt idx="2">
                <c:v>0.25603885262133247</c:v>
              </c:pt>
              <c:pt idx="3">
                <c:v>0.26902621195799548</c:v>
              </c:pt>
              <c:pt idx="4">
                <c:v>0.28615828992149434</c:v>
              </c:pt>
              <c:pt idx="5">
                <c:v>0.1204942648232271</c:v>
              </c:pt>
              <c:pt idx="6">
                <c:v>0.11100000000000002</c:v>
              </c:pt>
              <c:pt idx="7">
                <c:v>0.10209038026962913</c:v>
              </c:pt>
              <c:pt idx="8">
                <c:v>0.10718468922100312</c:v>
              </c:pt>
              <c:pt idx="9">
                <c:v>0.171676638291926</c:v>
              </c:pt>
              <c:pt idx="10">
                <c:v>0.22844145105210337</c:v>
              </c:pt>
              <c:pt idx="11">
                <c:v>0.19595161522257487</c:v>
              </c:pt>
              <c:pt idx="12">
                <c:v>9.4780369571892967E-2</c:v>
              </c:pt>
              <c:pt idx="13">
                <c:v>0.21441748054423057</c:v>
              </c:pt>
              <c:pt idx="14">
                <c:v>0.38342507371974299</c:v>
              </c:pt>
            </c:numLit>
          </c:val>
          <c:extLst xmlns:c16r2="http://schemas.microsoft.com/office/drawing/2015/06/chart">
            <c:ext xmlns:c16="http://schemas.microsoft.com/office/drawing/2014/chart" uri="{C3380CC4-5D6E-409C-BE32-E72D297353CC}">
              <c16:uniqueId val="{00000004-3F70-4D00-BEA8-64DE0A89DC43}"/>
            </c:ex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gapWidth val="60"/>
        <c:overlap val="100"/>
        <c:axId val="171879040"/>
        <c:axId val="171877504"/>
      </c:barChart>
      <c:valAx>
        <c:axId val="171877504"/>
        <c:scaling>
          <c:orientation val="minMax"/>
          <c:max val="4"/>
        </c:scaling>
        <c:delete val="1"/>
        <c:axPos val="b"/>
        <c:majorGridlines>
          <c:spPr>
            <a:ln w="9528" cap="flat">
              <a:noFill/>
              <a:prstDash val="solid"/>
              <a:round/>
            </a:ln>
          </c:spPr>
        </c:majorGridlines>
        <c:numFmt formatCode="0.0" sourceLinked="0"/>
        <c:majorTickMark val="none"/>
        <c:minorTickMark val="cross"/>
        <c:tickLblPos val="none"/>
        <c:crossAx val="171879040"/>
        <c:crosses val="autoZero"/>
        <c:crossBetween val="between"/>
      </c:valAx>
      <c:catAx>
        <c:axId val="171879040"/>
        <c:scaling>
          <c:orientation val="minMax"/>
        </c:scaling>
        <c:delete val="1"/>
        <c:axPos val="l"/>
        <c:numFmt formatCode="General" sourceLinked="0"/>
        <c:majorTickMark val="none"/>
        <c:minorTickMark val="cross"/>
        <c:tickLblPos val="none"/>
        <c:crossAx val="171877504"/>
        <c:crosses val="autoZero"/>
        <c:auto val="1"/>
        <c:lblAlgn val="ctr"/>
        <c:lblOffset val="100"/>
        <c:noMultiLvlLbl val="1"/>
      </c:catAx>
      <c:spPr>
        <a:noFill/>
        <a:ln>
          <a:noFill/>
        </a:ln>
      </c:spPr>
    </c:plotArea>
    <c:legend>
      <c:legendPos val="r"/>
      <c:layout>
        <c:manualLayout>
          <c:xMode val="edge"/>
          <c:yMode val="edge"/>
          <c:x val="1.3137015867940404E-2"/>
          <c:y val="0.88501324912712331"/>
          <c:w val="0.98353051680722403"/>
          <c:h val="0.11498675087287502"/>
        </c:manualLayout>
      </c:layout>
      <c:overlay val="1"/>
      <c:spPr>
        <a:noFill/>
        <a:ln>
          <a:noFill/>
        </a:ln>
      </c:spPr>
      <c:txPr>
        <a:bodyPr lIns="0" tIns="0" rIns="0" bIns="0"/>
        <a:lstStyle/>
        <a:p>
          <a:pPr marL="0" marR="0" indent="0" defTabSz="914400" fontAlgn="auto" hangingPunct="1">
            <a:lnSpc>
              <a:spcPct val="100000"/>
            </a:lnSpc>
            <a:spcBef>
              <a:spcPts val="0"/>
            </a:spcBef>
            <a:spcAft>
              <a:spcPts val="0"/>
            </a:spcAft>
            <a:tabLst/>
            <a:defRPr sz="800" b="0" i="0" u="none" strike="noStrike" kern="1200" baseline="0">
              <a:solidFill>
                <a:srgbClr val="000000"/>
              </a:solidFill>
              <a:latin typeface="Arial Narrow" pitchFamily="34"/>
              <a:cs typeface="Arial" pitchFamily="34"/>
            </a:defRPr>
          </a:pPr>
          <a:endParaRPr lang="en-US"/>
        </a:p>
      </c:txPr>
    </c:legend>
    <c:plotVisOnly val="1"/>
    <c:dispBlanksAs val="gap"/>
    <c:showDLblsOverMax val="1"/>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30"/>
      <c:rAngAx val="1"/>
    </c:view3D>
    <c:plotArea>
      <c:layout/>
      <c:pie3DChart>
        <c:varyColors val="1"/>
        <c:ser>
          <c:idx val="0"/>
          <c:order val="0"/>
          <c:explosion val="25"/>
          <c:dPt>
            <c:idx val="0"/>
            <c:spPr>
              <a:solidFill>
                <a:srgbClr val="0070C0"/>
              </a:solidFill>
            </c:spPr>
            <c:extLst xmlns:c16r2="http://schemas.microsoft.com/office/drawing/2015/06/chart">
              <c:ext xmlns:c16="http://schemas.microsoft.com/office/drawing/2014/chart" uri="{C3380CC4-5D6E-409C-BE32-E72D297353CC}">
                <c16:uniqueId val="{00000000-68EB-4950-ADAC-B8AB62663DC0}"/>
              </c:ext>
            </c:extLst>
          </c:dPt>
          <c:dPt>
            <c:idx val="1"/>
            <c:spPr>
              <a:solidFill>
                <a:srgbClr val="7030A0"/>
              </a:solidFill>
            </c:spPr>
            <c:extLst xmlns:c16r2="http://schemas.microsoft.com/office/drawing/2015/06/chart">
              <c:ext xmlns:c16="http://schemas.microsoft.com/office/drawing/2014/chart" uri="{C3380CC4-5D6E-409C-BE32-E72D297353CC}">
                <c16:uniqueId val="{00000001-68EB-4950-ADAC-B8AB62663DC0}"/>
              </c:ext>
            </c:extLst>
          </c:dPt>
          <c:dPt>
            <c:idx val="2"/>
            <c:spPr>
              <a:solidFill>
                <a:srgbClr val="00B050"/>
              </a:solidFill>
            </c:spPr>
            <c:extLst xmlns:c16r2="http://schemas.microsoft.com/office/drawing/2015/06/chart">
              <c:ext xmlns:c16="http://schemas.microsoft.com/office/drawing/2014/chart" uri="{C3380CC4-5D6E-409C-BE32-E72D297353CC}">
                <c16:uniqueId val="{00000002-68EB-4950-ADAC-B8AB62663DC0}"/>
              </c:ext>
            </c:extLst>
          </c:dPt>
          <c:dPt>
            <c:idx val="3"/>
            <c:spPr>
              <a:solidFill>
                <a:schemeClr val="accent2">
                  <a:lumMod val="75000"/>
                </a:schemeClr>
              </a:solidFill>
            </c:spPr>
            <c:extLst xmlns:c16r2="http://schemas.microsoft.com/office/drawing/2015/06/chart">
              <c:ext xmlns:c16="http://schemas.microsoft.com/office/drawing/2014/chart" uri="{C3380CC4-5D6E-409C-BE32-E72D297353CC}">
                <c16:uniqueId val="{00000003-68EB-4950-ADAC-B8AB62663DC0}"/>
              </c:ext>
            </c:extLst>
          </c:dPt>
          <c:dPt>
            <c:idx val="4"/>
            <c:spPr>
              <a:solidFill>
                <a:srgbClr val="FF0000"/>
              </a:solidFill>
            </c:spPr>
            <c:extLst xmlns:c16r2="http://schemas.microsoft.com/office/drawing/2015/06/chart">
              <c:ext xmlns:c16="http://schemas.microsoft.com/office/drawing/2014/chart" uri="{C3380CC4-5D6E-409C-BE32-E72D297353CC}">
                <c16:uniqueId val="{00000004-68EB-4950-ADAC-B8AB62663DC0}"/>
              </c:ext>
            </c:extLst>
          </c:dPt>
          <c:dLbls>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'Employee Data'!$A$19:$A$23</c:f>
              <c:strCache>
                <c:ptCount val="5"/>
                <c:pt idx="0">
                  <c:v>GAMTEL </c:v>
                </c:pt>
                <c:pt idx="1">
                  <c:v>AFRICELL</c:v>
                </c:pt>
                <c:pt idx="2">
                  <c:v>GAMCEL</c:v>
                </c:pt>
                <c:pt idx="3">
                  <c:v>QCELL</c:v>
                </c:pt>
                <c:pt idx="4">
                  <c:v>COMIUM</c:v>
                </c:pt>
              </c:strCache>
            </c:strRef>
          </c:cat>
          <c:val>
            <c:numRef>
              <c:f>'Employee Data'!$B$19:$B$23</c:f>
              <c:numCache>
                <c:formatCode>0%</c:formatCode>
                <c:ptCount val="5"/>
                <c:pt idx="0">
                  <c:v>0.51313969571230711</c:v>
                </c:pt>
                <c:pt idx="1">
                  <c:v>0.14292300599354488</c:v>
                </c:pt>
                <c:pt idx="2">
                  <c:v>0.22314430613185804</c:v>
                </c:pt>
                <c:pt idx="3">
                  <c:v>9.4974642692485539E-2</c:v>
                </c:pt>
                <c:pt idx="4">
                  <c:v>5.6708160442600311E-2</c:v>
                </c:pt>
              </c:numCache>
            </c:numRef>
          </c:val>
          <c:extLst xmlns:c16r2="http://schemas.microsoft.com/office/drawing/2015/06/chart">
            <c:ext xmlns:c16="http://schemas.microsoft.com/office/drawing/2014/chart" uri="{C3380CC4-5D6E-409C-BE32-E72D297353CC}">
              <c16:uniqueId val="{00000005-68EB-4950-ADAC-B8AB62663DC0}"/>
            </c:ext>
          </c:extLst>
        </c:ser>
      </c:pie3DChart>
    </c:plotArea>
    <c:legend>
      <c:legendPos val="r"/>
      <c:overlay val="1"/>
      <c:txPr>
        <a:bodyPr/>
        <a:lstStyle/>
        <a:p>
          <a:pPr rtl="0">
            <a:defRPr/>
          </a:pPr>
          <a:endParaRPr lang="en-US"/>
        </a:p>
      </c:txPr>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cked"/>
        <c:ser>
          <c:idx val="0"/>
          <c:order val="0"/>
          <c:tx>
            <c:strRef>
              <c:f>Sheet1!$C$2</c:f>
              <c:strCache>
                <c:ptCount val="1"/>
                <c:pt idx="0">
                  <c:v>Domestic Tax Revenue</c:v>
                </c:pt>
              </c:strCache>
            </c:strRef>
          </c:tx>
          <c:spPr>
            <a:ln w="3172">
              <a:solidFill>
                <a:srgbClr val="33CCCC"/>
              </a:solidFill>
              <a:prstDash val="solid"/>
            </a:ln>
          </c:spPr>
          <c:marker>
            <c:symbol val="none"/>
          </c:marker>
          <c:cat>
            <c:strRef>
              <c:f>Sheet1!$D$1:$I$1</c:f>
              <c:strCache>
                <c:ptCount val="6"/>
                <c:pt idx="0">
                  <c:v>2010</c:v>
                </c:pt>
                <c:pt idx="1">
                  <c:v>2011</c:v>
                </c:pt>
                <c:pt idx="2">
                  <c:v>2012</c:v>
                </c:pt>
                <c:pt idx="3">
                  <c:v>2013</c:v>
                </c:pt>
                <c:pt idx="4">
                  <c:v>2014 (prelim)</c:v>
                </c:pt>
                <c:pt idx="5">
                  <c:v>2015 (est.)</c:v>
                </c:pt>
              </c:strCache>
            </c:strRef>
          </c:cat>
          <c:val>
            <c:numRef>
              <c:f>Sheet1!$D$2:$I$2</c:f>
              <c:numCache>
                <c:formatCode>General</c:formatCode>
                <c:ptCount val="6"/>
                <c:pt idx="0">
                  <c:v>18.899999999999999</c:v>
                </c:pt>
                <c:pt idx="1">
                  <c:v>21.2</c:v>
                </c:pt>
                <c:pt idx="2">
                  <c:v>25.3</c:v>
                </c:pt>
                <c:pt idx="3">
                  <c:v>18.5</c:v>
                </c:pt>
                <c:pt idx="4">
                  <c:v>22.4</c:v>
                </c:pt>
                <c:pt idx="5">
                  <c:v>26.3</c:v>
                </c:pt>
              </c:numCache>
            </c:numRef>
          </c:val>
          <c:extLst xmlns:c16r2="http://schemas.microsoft.com/office/drawing/2015/06/chart">
            <c:ext xmlns:c16="http://schemas.microsoft.com/office/drawing/2014/chart" uri="{C3380CC4-5D6E-409C-BE32-E72D297353CC}">
              <c16:uniqueId val="{00000000-8197-46D1-89D5-EAE35FFF1775}"/>
            </c:ext>
          </c:extLst>
        </c:ser>
        <c:ser>
          <c:idx val="1"/>
          <c:order val="1"/>
          <c:tx>
            <c:strRef>
              <c:f>Sheet1!$C$3</c:f>
              <c:strCache>
                <c:ptCount val="1"/>
                <c:pt idx="0">
                  <c:v>Government Expenditure</c:v>
                </c:pt>
              </c:strCache>
            </c:strRef>
          </c:tx>
          <c:spPr>
            <a:ln w="3172">
              <a:solidFill>
                <a:srgbClr val="FF6600"/>
              </a:solidFill>
              <a:prstDash val="solid"/>
            </a:ln>
          </c:spPr>
          <c:marker>
            <c:symbol val="none"/>
          </c:marker>
          <c:cat>
            <c:strRef>
              <c:f>Sheet1!$D$1:$I$1</c:f>
              <c:strCache>
                <c:ptCount val="6"/>
                <c:pt idx="0">
                  <c:v>2010</c:v>
                </c:pt>
                <c:pt idx="1">
                  <c:v>2011</c:v>
                </c:pt>
                <c:pt idx="2">
                  <c:v>2012</c:v>
                </c:pt>
                <c:pt idx="3">
                  <c:v>2013</c:v>
                </c:pt>
                <c:pt idx="4">
                  <c:v>2014 (prelim)</c:v>
                </c:pt>
                <c:pt idx="5">
                  <c:v>2015 (est.)</c:v>
                </c:pt>
              </c:strCache>
            </c:strRef>
          </c:cat>
          <c:val>
            <c:numRef>
              <c:f>Sheet1!$D$3:$I$3</c:f>
              <c:numCache>
                <c:formatCode>General</c:formatCode>
                <c:ptCount val="6"/>
                <c:pt idx="0">
                  <c:v>24</c:v>
                </c:pt>
                <c:pt idx="1">
                  <c:v>26</c:v>
                </c:pt>
                <c:pt idx="2">
                  <c:v>29.7</c:v>
                </c:pt>
                <c:pt idx="3">
                  <c:v>27.1</c:v>
                </c:pt>
                <c:pt idx="4">
                  <c:v>31.4</c:v>
                </c:pt>
                <c:pt idx="5">
                  <c:v>30.6</c:v>
                </c:pt>
              </c:numCache>
            </c:numRef>
          </c:val>
          <c:extLst xmlns:c16r2="http://schemas.microsoft.com/office/drawing/2015/06/chart">
            <c:ext xmlns:c16="http://schemas.microsoft.com/office/drawing/2014/chart" uri="{C3380CC4-5D6E-409C-BE32-E72D297353CC}">
              <c16:uniqueId val="{00000001-8197-46D1-89D5-EAE35FFF1775}"/>
            </c:ext>
          </c:extLst>
        </c:ser>
        <c:marker val="1"/>
        <c:axId val="171715968"/>
        <c:axId val="171717760"/>
      </c:lineChart>
      <c:catAx>
        <c:axId val="171715968"/>
        <c:scaling>
          <c:orientation val="minMax"/>
        </c:scaling>
        <c:axPos val="b"/>
        <c:majorGridlines>
          <c:spPr>
            <a:ln w="3172">
              <a:solidFill>
                <a:srgbClr val="333333"/>
              </a:solidFill>
              <a:prstDash val="solid"/>
            </a:ln>
          </c:spPr>
        </c:majorGridlines>
        <c:numFmt formatCode="General" sourceLinked="1"/>
        <c:majorTickMark val="none"/>
        <c:tickLblPos val="nextTo"/>
        <c:spPr>
          <a:ln w="6346">
            <a:noFill/>
          </a:ln>
        </c:spPr>
        <c:txPr>
          <a:bodyPr rot="-60000000" spcFirstLastPara="1" vertOverflow="ellipsis" vert="horz" wrap="square" anchor="ctr" anchorCtr="1"/>
          <a:lstStyle/>
          <a:p>
            <a:pPr>
              <a:defRPr sz="897" b="0" i="0" u="none" strike="noStrike" kern="1200" baseline="0">
                <a:solidFill>
                  <a:schemeClr val="lt1">
                    <a:lumMod val="75000"/>
                  </a:schemeClr>
                </a:solidFill>
                <a:latin typeface="+mn-lt"/>
                <a:ea typeface="+mn-ea"/>
                <a:cs typeface="+mn-cs"/>
              </a:defRPr>
            </a:pPr>
            <a:endParaRPr lang="en-US"/>
          </a:p>
        </c:txPr>
        <c:crossAx val="171717760"/>
        <c:crosses val="autoZero"/>
        <c:auto val="1"/>
        <c:lblAlgn val="ctr"/>
        <c:lblOffset val="100"/>
      </c:catAx>
      <c:valAx>
        <c:axId val="171717760"/>
        <c:scaling>
          <c:orientation val="minMax"/>
        </c:scaling>
        <c:axPos val="l"/>
        <c:majorGridlines>
          <c:spPr>
            <a:ln w="3172">
              <a:solidFill>
                <a:srgbClr val="333333"/>
              </a:solidFill>
              <a:prstDash val="solid"/>
            </a:ln>
          </c:spPr>
        </c:majorGridlines>
        <c:numFmt formatCode="General" sourceLinked="1"/>
        <c:majorTickMark val="none"/>
        <c:tickLblPos val="nextTo"/>
        <c:spPr>
          <a:ln w="6346">
            <a:noFill/>
          </a:ln>
        </c:spPr>
        <c:txPr>
          <a:bodyPr rot="-60000000" spcFirstLastPara="1" vertOverflow="ellipsis" vert="horz" wrap="square" anchor="ctr" anchorCtr="1"/>
          <a:lstStyle/>
          <a:p>
            <a:pPr>
              <a:defRPr sz="897" b="0" i="0" u="none" strike="noStrike" kern="1200" baseline="0">
                <a:solidFill>
                  <a:schemeClr val="lt1">
                    <a:lumMod val="75000"/>
                  </a:schemeClr>
                </a:solidFill>
                <a:latin typeface="+mn-lt"/>
                <a:ea typeface="+mn-ea"/>
                <a:cs typeface="+mn-cs"/>
              </a:defRPr>
            </a:pPr>
            <a:endParaRPr lang="en-US"/>
          </a:p>
        </c:txPr>
        <c:crossAx val="171715968"/>
        <c:crosses val="autoZero"/>
        <c:crossBetween val="between"/>
      </c:valAx>
      <c:spPr>
        <a:noFill/>
        <a:ln w="25394">
          <a:noFill/>
        </a:ln>
      </c:spPr>
    </c:plotArea>
    <c:legend>
      <c:legendPos val="r"/>
      <c:layout>
        <c:manualLayout>
          <c:xMode val="edge"/>
          <c:yMode val="edge"/>
          <c:x val="0.18809521753108124"/>
          <c:y val="3.9062658604138566E-2"/>
          <c:w val="0.62142845489834841"/>
          <c:h val="0.12499992749525102"/>
        </c:manualLayout>
      </c:layout>
      <c:spPr>
        <a:noFill/>
        <a:ln w="25381">
          <a:noFill/>
        </a:ln>
      </c:spPr>
      <c:txPr>
        <a:bodyPr rot="0" spcFirstLastPara="1" vertOverflow="ellipsis" vert="horz" wrap="square" anchor="ctr" anchorCtr="1"/>
        <a:lstStyle/>
        <a:p>
          <a:pPr>
            <a:defRPr sz="897" b="0" i="0" u="none" strike="noStrike" kern="1200" baseline="0">
              <a:solidFill>
                <a:schemeClr val="lt1">
                  <a:lumMod val="75000"/>
                </a:schemeClr>
              </a:solidFill>
              <a:latin typeface="+mn-lt"/>
              <a:ea typeface="+mn-ea"/>
              <a:cs typeface="+mn-cs"/>
            </a:defRPr>
          </a:pPr>
          <a:endParaRPr lang="en-US"/>
        </a:p>
      </c:txPr>
    </c:legend>
    <c:plotVisOnly val="1"/>
    <c:dispBlanksAs val="zero"/>
  </c:chart>
  <c:spPr>
    <a:solidFill>
      <a:srgbClr val="404040"/>
    </a:solidFill>
    <a:ln w="3172">
      <a:solidFill>
        <a:srgbClr val="C0C0C0"/>
      </a:solidFill>
      <a:prstDash val="solid"/>
    </a:ln>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5" b="1" i="0" u="none" strike="noStrike" kern="1200" baseline="0">
                <a:solidFill>
                  <a:schemeClr val="dk1">
                    <a:lumMod val="75000"/>
                    <a:lumOff val="25000"/>
                  </a:schemeClr>
                </a:solidFill>
                <a:latin typeface="+mn-lt"/>
                <a:ea typeface="+mn-ea"/>
                <a:cs typeface="+mn-cs"/>
              </a:defRPr>
            </a:pPr>
            <a:r>
              <a:rPr lang="en-US" sz="1197"/>
              <a:t>2015 Debt Service payment as a % of total domestic revenue</a:t>
            </a:r>
          </a:p>
        </c:rich>
      </c:tx>
      <c:layout>
        <c:manualLayout>
          <c:xMode val="edge"/>
          <c:yMode val="edge"/>
          <c:x val="0.12169626606893129"/>
          <c:y val="0"/>
        </c:manualLayout>
      </c:layout>
      <c:spPr>
        <a:noFill/>
        <a:ln w="25332">
          <a:noFill/>
        </a:ln>
      </c:spPr>
    </c:title>
    <c:plotArea>
      <c:layout>
        <c:manualLayout>
          <c:layoutTarget val="inner"/>
          <c:xMode val="edge"/>
          <c:yMode val="edge"/>
          <c:x val="0.12398876969647098"/>
          <c:y val="0.32536928000025589"/>
          <c:w val="0.48649821211373001"/>
          <c:h val="0.527882852881007"/>
        </c:manualLayout>
      </c:layout>
      <c:doughnut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6B7B-40E3-8F29-C19C0BA35095}"/>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B7B-40E3-8F29-C19C0BA3509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7" b="1" i="0" u="none" strike="noStrike" kern="1200" baseline="0">
                    <a:solidFill>
                      <a:schemeClr val="lt1"/>
                    </a:solidFill>
                    <a:latin typeface="+mn-lt"/>
                    <a:ea typeface="+mn-ea"/>
                    <a:cs typeface="+mn-cs"/>
                  </a:defRPr>
                </a:pPr>
                <a:endParaRPr lang="en-US"/>
              </a:p>
            </c:txPr>
            <c:showPercent val="1"/>
            <c:extLst xmlns:c16r2="http://schemas.microsoft.com/office/drawing/2015/06/chart">
              <c:ext xmlns:c15="http://schemas.microsoft.com/office/drawing/2012/chart" uri="{CE6537A1-D6FC-4f65-9D91-7224C49458BB}"/>
            </c:extLst>
          </c:dLbls>
          <c:cat>
            <c:strRef>
              <c:f>SOEs!$A$57:$A$58</c:f>
              <c:strCache>
                <c:ptCount val="2"/>
                <c:pt idx="0">
                  <c:v>Bal. After Debt Service</c:v>
                </c:pt>
                <c:pt idx="1">
                  <c:v>Debt Service Payment</c:v>
                </c:pt>
              </c:strCache>
            </c:strRef>
          </c:cat>
          <c:val>
            <c:numRef>
              <c:f>SOEs!$B$57:$B$58</c:f>
              <c:numCache>
                <c:formatCode>_(* #,##0.00_);_(* \(#,##0.00\);_(* "-"??_);_(@_)</c:formatCode>
                <c:ptCount val="2"/>
                <c:pt idx="0">
                  <c:v>3956.9</c:v>
                </c:pt>
                <c:pt idx="1">
                  <c:v>3626.4</c:v>
                </c:pt>
              </c:numCache>
            </c:numRef>
          </c:val>
          <c:extLst xmlns:c16r2="http://schemas.microsoft.com/office/drawing/2015/06/chart">
            <c:ext xmlns:c16="http://schemas.microsoft.com/office/drawing/2014/chart" uri="{C3380CC4-5D6E-409C-BE32-E72D297353CC}">
              <c16:uniqueId val="{00000002-6B7B-40E3-8F29-C19C0BA35095}"/>
            </c:ext>
          </c:extLst>
        </c:ser>
        <c:dLbls>
          <c:showPercent val="1"/>
        </c:dLbls>
        <c:firstSliceAng val="0"/>
        <c:holeSize val="50"/>
      </c:doughnutChart>
      <c:spPr>
        <a:noFill/>
        <a:ln w="2537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8"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9" cap="flat" cmpd="sng" algn="ctr">
      <a:solidFill>
        <a:schemeClr val="dk1">
          <a:lumMod val="25000"/>
          <a:lumOff val="7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0189311442486"/>
          <c:y val="5.6847545219638203E-2"/>
          <c:w val="0.83998324677500402"/>
          <c:h val="0.57898207237811083"/>
        </c:manualLayout>
      </c:layout>
      <c:lineChart>
        <c:grouping val="standard"/>
        <c:varyColors val="1"/>
        <c:ser>
          <c:idx val="0"/>
          <c:order val="0"/>
          <c:tx>
            <c:strRef>
              <c:f>'[gmbDSA_v15.xlsm]Chart Data'!$B$18</c:f>
              <c:strCache>
                <c:ptCount val="1"/>
                <c:pt idx="0">
                  <c:v>Baseline</c:v>
                </c:pt>
              </c:strCache>
            </c:strRef>
          </c:tx>
          <c:spPr>
            <a:ln w="38100">
              <a:solidFill>
                <a:srgbClr val="4B82AD"/>
              </a:solidFill>
              <a:prstDash val="solid"/>
            </a:ln>
          </c:spPr>
          <c:marker>
            <c:symbol val="none"/>
          </c:marker>
          <c:cat>
            <c:numRef>
              <c:f>'[gmbDSA_v15.xlsm]Chart Data'!$C$17:$W$17</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'[gmbDSA_v15.xlsm]Chart Data'!$C$18:$W$18</c:f>
              <c:numCache>
                <c:formatCode>0.0</c:formatCode>
                <c:ptCount val="21"/>
                <c:pt idx="0">
                  <c:v>37.872195935285212</c:v>
                </c:pt>
                <c:pt idx="1">
                  <c:v>35.273347898148373</c:v>
                </c:pt>
                <c:pt idx="2">
                  <c:v>32.612224940009959</c:v>
                </c:pt>
                <c:pt idx="3">
                  <c:v>29.884049505299807</c:v>
                </c:pt>
                <c:pt idx="4">
                  <c:v>27.028880674644832</c:v>
                </c:pt>
                <c:pt idx="5">
                  <c:v>24.721216727502881</c:v>
                </c:pt>
                <c:pt idx="6">
                  <c:v>23.061503351699329</c:v>
                </c:pt>
                <c:pt idx="7">
                  <c:v>21.622446389931877</c:v>
                </c:pt>
                <c:pt idx="8">
                  <c:v>20.35168130236347</c:v>
                </c:pt>
                <c:pt idx="9">
                  <c:v>19.531196225893392</c:v>
                </c:pt>
                <c:pt idx="10">
                  <c:v>18.885072507396213</c:v>
                </c:pt>
                <c:pt idx="11">
                  <c:v>18.5700336729745</c:v>
                </c:pt>
                <c:pt idx="12">
                  <c:v>18.462457152809289</c:v>
                </c:pt>
                <c:pt idx="13">
                  <c:v>18.442587896585586</c:v>
                </c:pt>
                <c:pt idx="14">
                  <c:v>18.41976828280734</c:v>
                </c:pt>
                <c:pt idx="15">
                  <c:v>18.354808111138322</c:v>
                </c:pt>
                <c:pt idx="16">
                  <c:v>18.257600975979539</c:v>
                </c:pt>
                <c:pt idx="17">
                  <c:v>18.125356657002932</c:v>
                </c:pt>
                <c:pt idx="18">
                  <c:v>17.952172117792887</c:v>
                </c:pt>
                <c:pt idx="19">
                  <c:v>17.735459443700627</c:v>
                </c:pt>
                <c:pt idx="20">
                  <c:v>17.47245673009856</c:v>
                </c:pt>
              </c:numCache>
            </c:numRef>
          </c:val>
          <c:smooth val="1"/>
          <c:extLst xmlns:c16r2="http://schemas.microsoft.com/office/drawing/2015/06/chart">
            <c:ext xmlns:c16="http://schemas.microsoft.com/office/drawing/2014/chart" uri="{C3380CC4-5D6E-409C-BE32-E72D297353CC}">
              <c16:uniqueId val="{00000000-8E35-4AA7-AB2F-07006BEAB12C}"/>
            </c:ext>
          </c:extLst>
        </c:ser>
        <c:ser>
          <c:idx val="1"/>
          <c:order val="1"/>
          <c:tx>
            <c:strRef>
              <c:f>'[gmbDSA_v15.xlsm]Chart Data'!$B$19</c:f>
              <c:strCache>
                <c:ptCount val="1"/>
                <c:pt idx="0">
                  <c:v>Historical scenario</c:v>
                </c:pt>
              </c:strCache>
            </c:strRef>
          </c:tx>
          <c:spPr>
            <a:ln w="38100">
              <a:solidFill>
                <a:srgbClr val="FF0000"/>
              </a:solidFill>
              <a:prstDash val="lgDash"/>
            </a:ln>
          </c:spPr>
          <c:marker>
            <c:symbol val="none"/>
          </c:marker>
          <c:cat>
            <c:numRef>
              <c:f>'[gmbDSA_v15.xlsm]Chart Data'!$C$17:$W$17</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'[gmbDSA_v15.xlsm]Chart Data'!$C$19:$W$19</c:f>
              <c:numCache>
                <c:formatCode>0.0</c:formatCode>
                <c:ptCount val="21"/>
                <c:pt idx="0">
                  <c:v>37.872195935285212</c:v>
                </c:pt>
                <c:pt idx="1">
                  <c:v>35.079384487736121</c:v>
                </c:pt>
                <c:pt idx="2">
                  <c:v>32.160580811602074</c:v>
                </c:pt>
                <c:pt idx="3">
                  <c:v>29.032433411060588</c:v>
                </c:pt>
                <c:pt idx="4">
                  <c:v>25.702608799655927</c:v>
                </c:pt>
                <c:pt idx="5">
                  <c:v>23.164770628290931</c:v>
                </c:pt>
                <c:pt idx="6">
                  <c:v>22.605867415713593</c:v>
                </c:pt>
                <c:pt idx="7">
                  <c:v>22.244765369894548</c:v>
                </c:pt>
                <c:pt idx="8">
                  <c:v>21.868164792338661</c:v>
                </c:pt>
                <c:pt idx="9">
                  <c:v>21.882049886606676</c:v>
                </c:pt>
                <c:pt idx="10">
                  <c:v>21.946570604927285</c:v>
                </c:pt>
                <c:pt idx="11">
                  <c:v>22.232183918070827</c:v>
                </c:pt>
                <c:pt idx="12">
                  <c:v>22.6121735145659</c:v>
                </c:pt>
                <c:pt idx="13">
                  <c:v>22.855628379733659</c:v>
                </c:pt>
                <c:pt idx="14">
                  <c:v>22.840082733360823</c:v>
                </c:pt>
                <c:pt idx="15">
                  <c:v>22.65398184350132</c:v>
                </c:pt>
                <c:pt idx="16">
                  <c:v>22.138526475332426</c:v>
                </c:pt>
                <c:pt idx="17">
                  <c:v>21.60801948271066</c:v>
                </c:pt>
                <c:pt idx="18">
                  <c:v>20.764551670491027</c:v>
                </c:pt>
                <c:pt idx="19">
                  <c:v>19.955555541203786</c:v>
                </c:pt>
                <c:pt idx="20">
                  <c:v>18.839810782668231</c:v>
                </c:pt>
              </c:numCache>
            </c:numRef>
          </c:val>
          <c:smooth val="1"/>
          <c:extLst xmlns:c16r2="http://schemas.microsoft.com/office/drawing/2015/06/chart">
            <c:ext xmlns:c16="http://schemas.microsoft.com/office/drawing/2014/chart" uri="{C3380CC4-5D6E-409C-BE32-E72D297353CC}">
              <c16:uniqueId val="{00000001-8E35-4AA7-AB2F-07006BEAB12C}"/>
            </c:ext>
          </c:extLst>
        </c:ser>
        <c:ser>
          <c:idx val="2"/>
          <c:order val="2"/>
          <c:tx>
            <c:strRef>
              <c:f>'[gmbDSA_v15.xlsm]Chart Data'!$B$20</c:f>
              <c:strCache>
                <c:ptCount val="1"/>
                <c:pt idx="0">
                  <c:v>Most extreme shock Combination</c:v>
                </c:pt>
              </c:strCache>
            </c:strRef>
          </c:tx>
          <c:spPr>
            <a:ln w="12700">
              <a:solidFill>
                <a:srgbClr val="000000"/>
              </a:solidFill>
              <a:prstDash val="solid"/>
            </a:ln>
          </c:spPr>
          <c:marker>
            <c:symbol val="none"/>
          </c:marker>
          <c:cat>
            <c:numRef>
              <c:f>'[gmbDSA_v15.xlsm]Chart Data'!$C$17:$W$17</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'[gmbDSA_v15.xlsm]Chart Data'!$C$20:$W$20</c:f>
              <c:numCache>
                <c:formatCode>0.0</c:formatCode>
                <c:ptCount val="21"/>
                <c:pt idx="0">
                  <c:v>37.872195935285212</c:v>
                </c:pt>
                <c:pt idx="1">
                  <c:v>46.497648564392271</c:v>
                </c:pt>
                <c:pt idx="2">
                  <c:v>58.728124770626657</c:v>
                </c:pt>
                <c:pt idx="3">
                  <c:v>55.334508355730577</c:v>
                </c:pt>
                <c:pt idx="4">
                  <c:v>51.800442439758065</c:v>
                </c:pt>
                <c:pt idx="5">
                  <c:v>48.673096796027153</c:v>
                </c:pt>
                <c:pt idx="6">
                  <c:v>46.781947012505498</c:v>
                </c:pt>
                <c:pt idx="7">
                  <c:v>44.972266425403795</c:v>
                </c:pt>
                <c:pt idx="8">
                  <c:v>42.582434825000348</c:v>
                </c:pt>
                <c:pt idx="9">
                  <c:v>39.808212948596569</c:v>
                </c:pt>
                <c:pt idx="10">
                  <c:v>37.334478318715838</c:v>
                </c:pt>
                <c:pt idx="11">
                  <c:v>35.335695244206654</c:v>
                </c:pt>
                <c:pt idx="12">
                  <c:v>33.665138870320895</c:v>
                </c:pt>
                <c:pt idx="13">
                  <c:v>32.180843483441294</c:v>
                </c:pt>
                <c:pt idx="14">
                  <c:v>30.774352753047271</c:v>
                </c:pt>
                <c:pt idx="15">
                  <c:v>29.39666201741203</c:v>
                </c:pt>
                <c:pt idx="16">
                  <c:v>28.05534114649403</c:v>
                </c:pt>
                <c:pt idx="17">
                  <c:v>26.744174128396921</c:v>
                </c:pt>
                <c:pt idx="18">
                  <c:v>25.453209791366149</c:v>
                </c:pt>
                <c:pt idx="19">
                  <c:v>24.176649225177897</c:v>
                </c:pt>
                <c:pt idx="20">
                  <c:v>22.908335726119109</c:v>
                </c:pt>
              </c:numCache>
            </c:numRef>
          </c:val>
          <c:smooth val="1"/>
          <c:extLst xmlns:c16r2="http://schemas.microsoft.com/office/drawing/2015/06/chart">
            <c:ext xmlns:c16="http://schemas.microsoft.com/office/drawing/2014/chart" uri="{C3380CC4-5D6E-409C-BE32-E72D297353CC}">
              <c16:uniqueId val="{00000002-8E35-4AA7-AB2F-07006BEAB12C}"/>
            </c:ext>
          </c:extLst>
        </c:ser>
        <c:ser>
          <c:idx val="3"/>
          <c:order val="3"/>
          <c:tx>
            <c:strRef>
              <c:f>'[gmbDSA_v15.xlsm]Chart Data'!$B$21</c:f>
              <c:strCache>
                <c:ptCount val="1"/>
                <c:pt idx="0">
                  <c:v>Threshold</c:v>
                </c:pt>
              </c:strCache>
            </c:strRef>
          </c:tx>
          <c:spPr>
            <a:ln w="34925">
              <a:solidFill>
                <a:srgbClr val="339966"/>
              </a:solidFill>
              <a:prstDash val="sysDash"/>
            </a:ln>
          </c:spPr>
          <c:marker>
            <c:symbol val="none"/>
          </c:marker>
          <c:cat>
            <c:numRef>
              <c:f>'[gmbDSA_v15.xlsm]Chart Data'!$C$17:$W$17</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'[gmbDSA_v15.xlsm]Chart Data'!$C$21:$W$21</c:f>
              <c:numCache>
                <c:formatCode>0.0</c:formatCode>
                <c:ptCount val="21"/>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numCache>
            </c:numRef>
          </c:val>
          <c:smooth val="1"/>
          <c:extLst xmlns:c16r2="http://schemas.microsoft.com/office/drawing/2015/06/chart">
            <c:ext xmlns:c16="http://schemas.microsoft.com/office/drawing/2014/chart" uri="{C3380CC4-5D6E-409C-BE32-E72D297353CC}">
              <c16:uniqueId val="{00000003-8E35-4AA7-AB2F-07006BEAB12C}"/>
            </c:ext>
          </c:extLst>
        </c:ser>
        <c:ser>
          <c:idx val="4"/>
          <c:order val="4"/>
          <c:tx>
            <c:strRef>
              <c:f>'[gmbDSA_v15.xlsm]Chart Data'!$A$16</c:f>
              <c:strCache>
                <c:ptCount val="1"/>
              </c:strCache>
            </c:strRef>
          </c:tx>
          <c:spPr>
            <a:ln>
              <a:solidFill>
                <a:srgbClr val="00D600"/>
              </a:solidFill>
              <a:prstDash val="solid"/>
            </a:ln>
          </c:spPr>
          <c:marker>
            <c:symbol val="none"/>
          </c:marker>
          <c:val>
            <c:numRef>
              <c:f>'[gmbDSA_v15.xlsm]Chart Data'!$C$16:$W$16</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mooth val="1"/>
          <c:extLst xmlns:c16r2="http://schemas.microsoft.com/office/drawing/2015/06/chart">
            <c:ext xmlns:c16="http://schemas.microsoft.com/office/drawing/2014/chart" uri="{C3380CC4-5D6E-409C-BE32-E72D297353CC}">
              <c16:uniqueId val="{00000004-8E35-4AA7-AB2F-07006BEAB12C}"/>
            </c:ext>
          </c:extLst>
        </c:ser>
        <c:marker val="1"/>
        <c:axId val="217067520"/>
        <c:axId val="217069056"/>
      </c:lineChart>
      <c:catAx>
        <c:axId val="217067520"/>
        <c:scaling>
          <c:orientation val="minMax"/>
        </c:scaling>
        <c:delete val="1"/>
        <c:axPos val="b"/>
        <c:numFmt formatCode="0" sourceLinked="1"/>
        <c:majorTickMark val="none"/>
        <c:minorTickMark val="cross"/>
        <c:tickLblPos val="none"/>
        <c:crossAx val="217069056"/>
        <c:crosses val="autoZero"/>
        <c:auto val="1"/>
        <c:lblAlgn val="ctr"/>
        <c:lblOffset val="100"/>
        <c:tickLblSkip val="5"/>
        <c:tickMarkSkip val="5"/>
        <c:noMultiLvlLbl val="1"/>
      </c:catAx>
      <c:valAx>
        <c:axId val="217069056"/>
        <c:scaling>
          <c:orientation val="minMax"/>
        </c:scaling>
        <c:delete val="1"/>
        <c:axPos val="l"/>
        <c:title>
          <c:tx>
            <c:rich>
              <a:bodyPr/>
              <a:lstStyle/>
              <a:p>
                <a:pPr>
                  <a:defRPr/>
                </a:pPr>
                <a:r>
                  <a:rPr lang="en-US"/>
                  <a:t>PV</a:t>
                </a:r>
                <a:r>
                  <a:rPr lang="en-US" baseline="0"/>
                  <a:t> of external debt-to GDP ratio</a:t>
                </a:r>
                <a:r>
                  <a:rPr lang="en-US"/>
                  <a:t> </a:t>
                </a:r>
              </a:p>
            </c:rich>
          </c:tx>
          <c:overlay val="1"/>
        </c:title>
        <c:numFmt formatCode="0" sourceLinked="0"/>
        <c:majorTickMark val="none"/>
        <c:minorTickMark val="cross"/>
        <c:tickLblPos val="none"/>
        <c:crossAx val="217067520"/>
        <c:crosses val="autoZero"/>
        <c:crossBetween val="between"/>
      </c:valAx>
      <c:spPr>
        <a:solidFill>
          <a:srgbClr val="FFFFFF"/>
        </a:solidFill>
        <a:ln w="3175">
          <a:solidFill>
            <a:srgbClr val="A6A8AC"/>
          </a:solidFill>
          <a:prstDash val="solid"/>
        </a:ln>
      </c:spPr>
    </c:plotArea>
    <c:legend>
      <c:legendPos val="b"/>
      <c:layout>
        <c:manualLayout>
          <c:xMode val="edge"/>
          <c:yMode val="edge"/>
          <c:x val="0.11844659544945417"/>
          <c:y val="0.74847566124060005"/>
          <c:w val="0.88155335902161103"/>
          <c:h val="0.19352926154500999"/>
        </c:manualLayout>
      </c:layout>
      <c:overlay val="1"/>
    </c:legend>
    <c:plotVisOnly val="1"/>
    <c:dispBlanksAs val="gap"/>
    <c:showDLblsOverMax val="1"/>
  </c:chart>
  <c:spPr>
    <a:no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273233061436195"/>
          <c:y val="2.3584617140248797E-2"/>
          <c:w val="0.84316726933775998"/>
          <c:h val="0.90877948952033205"/>
        </c:manualLayout>
      </c:layout>
      <c:barChart>
        <c:barDir val="col"/>
        <c:grouping val="clustered"/>
        <c:ser>
          <c:idx val="0"/>
          <c:order val="0"/>
          <c:tx>
            <c:strRef>
              <c:f>Sheet1!$B$1</c:f>
              <c:strCache>
                <c:ptCount val="1"/>
                <c:pt idx="0">
                  <c:v>Income</c:v>
                </c:pt>
              </c:strCache>
            </c:strRef>
          </c:tx>
          <c:spPr>
            <a:solidFill>
              <a:srgbClr val="ADB9CA"/>
            </a:solidFill>
            <a:ln w="25375">
              <a:noFill/>
            </a:ln>
          </c:spPr>
          <c:cat>
            <c:numRef>
              <c:f>Sheet1!$A$2:$A$5</c:f>
              <c:numCache>
                <c:formatCode>General</c:formatCode>
                <c:ptCount val="4"/>
                <c:pt idx="0">
                  <c:v>2010</c:v>
                </c:pt>
                <c:pt idx="1">
                  <c:v>2011</c:v>
                </c:pt>
                <c:pt idx="2">
                  <c:v>2012</c:v>
                </c:pt>
                <c:pt idx="3">
                  <c:v>2013</c:v>
                </c:pt>
              </c:numCache>
            </c:numRef>
          </c:cat>
          <c:val>
            <c:numRef>
              <c:f>Sheet1!$B$2:$B$5</c:f>
              <c:numCache>
                <c:formatCode>#,##0.00</c:formatCode>
                <c:ptCount val="4"/>
                <c:pt idx="0" formatCode="#,##0">
                  <c:v>5233</c:v>
                </c:pt>
                <c:pt idx="1">
                  <c:v>6459.1</c:v>
                </c:pt>
                <c:pt idx="2" formatCode="General">
                  <c:v>6237.6</c:v>
                </c:pt>
                <c:pt idx="3" formatCode="General">
                  <c:v>6454.3</c:v>
                </c:pt>
              </c:numCache>
            </c:numRef>
          </c:val>
          <c:extLst xmlns:c16r2="http://schemas.microsoft.com/office/drawing/2015/06/chart">
            <c:ext xmlns:c16="http://schemas.microsoft.com/office/drawing/2014/chart" uri="{C3380CC4-5D6E-409C-BE32-E72D297353CC}">
              <c16:uniqueId val="{00000000-4A7C-46F9-B148-3001AF3C8952}"/>
            </c:ext>
          </c:extLst>
        </c:ser>
        <c:ser>
          <c:idx val="1"/>
          <c:order val="1"/>
          <c:tx>
            <c:strRef>
              <c:f>Sheet1!$C$1</c:f>
              <c:strCache>
                <c:ptCount val="1"/>
                <c:pt idx="0">
                  <c:v>Post Tax Loss</c:v>
                </c:pt>
              </c:strCache>
            </c:strRef>
          </c:tx>
          <c:spPr>
            <a:solidFill>
              <a:srgbClr val="203864"/>
            </a:solidFill>
            <a:ln w="25375">
              <a:noFill/>
            </a:ln>
          </c:spPr>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-297</c:v>
                </c:pt>
                <c:pt idx="1">
                  <c:v>-1121.8</c:v>
                </c:pt>
                <c:pt idx="2">
                  <c:v>-857.9</c:v>
                </c:pt>
                <c:pt idx="3">
                  <c:v>-1664.2</c:v>
                </c:pt>
              </c:numCache>
            </c:numRef>
          </c:val>
          <c:extLst xmlns:c16r2="http://schemas.microsoft.com/office/drawing/2015/06/chart">
            <c:ext xmlns:c16="http://schemas.microsoft.com/office/drawing/2014/chart" uri="{C3380CC4-5D6E-409C-BE32-E72D297353CC}">
              <c16:uniqueId val="{00000001-4A7C-46F9-B148-3001AF3C8952}"/>
            </c:ext>
          </c:extLst>
        </c:ser>
        <c:axId val="217074688"/>
        <c:axId val="243274496"/>
      </c:barChart>
      <c:catAx>
        <c:axId val="217074688"/>
        <c:scaling>
          <c:orientation val="minMax"/>
        </c:scaling>
        <c:axPos val="b"/>
        <c:numFmt formatCode="General" sourceLinked="1"/>
        <c:tickLblPos val="low"/>
        <c:spPr>
          <a:ln w="3171">
            <a:solidFill>
              <a:srgbClr val="808080"/>
            </a:solidFill>
            <a:prstDash val="solid"/>
          </a:ln>
        </c:spPr>
        <c:txPr>
          <a:bodyPr/>
          <a:lstStyle/>
          <a:p>
            <a:pPr>
              <a:defRPr lang="en-US"/>
            </a:pPr>
            <a:endParaRPr lang="en-US"/>
          </a:p>
        </c:txPr>
        <c:crossAx val="243274496"/>
        <c:crosses val="autoZero"/>
        <c:auto val="1"/>
        <c:lblAlgn val="ctr"/>
        <c:lblOffset val="100"/>
      </c:catAx>
      <c:valAx>
        <c:axId val="243274496"/>
        <c:scaling>
          <c:orientation val="minMax"/>
          <c:min val="-2000"/>
        </c:scaling>
        <c:axPos val="l"/>
        <c:majorGridlines>
          <c:spPr>
            <a:ln w="3171">
              <a:solidFill>
                <a:srgbClr val="808080"/>
              </a:solidFill>
              <a:prstDash val="solid"/>
            </a:ln>
          </c:spPr>
        </c:majorGridlines>
        <c:numFmt formatCode="#,##0" sourceLinked="1"/>
        <c:tickLblPos val="nextTo"/>
        <c:spPr>
          <a:ln w="3171">
            <a:solidFill>
              <a:srgbClr val="808080"/>
            </a:solidFill>
            <a:prstDash val="solid"/>
          </a:ln>
        </c:spPr>
        <c:txPr>
          <a:bodyPr/>
          <a:lstStyle/>
          <a:p>
            <a:pPr>
              <a:defRPr lang="en-US"/>
            </a:pPr>
            <a:endParaRPr lang="en-US"/>
          </a:p>
        </c:txPr>
        <c:crossAx val="217074688"/>
        <c:crosses val="autoZero"/>
        <c:crossBetween val="between"/>
      </c:valAx>
      <c:spPr>
        <a:solidFill>
          <a:srgbClr val="FFFFFF"/>
        </a:solidFill>
        <a:ln w="25375">
          <a:noFill/>
        </a:ln>
      </c:spPr>
    </c:plotArea>
    <c:legend>
      <c:legendPos val="r"/>
      <c:layout>
        <c:manualLayout>
          <c:xMode val="edge"/>
          <c:yMode val="edge"/>
          <c:x val="0.13114731727716436"/>
          <c:y val="5.000005572551839E-2"/>
          <c:w val="0.20218601605616909"/>
          <c:h val="0.1857142061064026"/>
        </c:manualLayout>
      </c:layout>
      <c:spPr>
        <a:noFill/>
        <a:ln w="25375">
          <a:noFill/>
        </a:ln>
      </c:spPr>
      <c:txPr>
        <a:bodyPr/>
        <a:lstStyle/>
        <a:p>
          <a:pPr>
            <a:defRPr lang="en-US"/>
          </a:pPr>
          <a:endParaRPr lang="en-US"/>
        </a:p>
      </c:txPr>
    </c:legend>
    <c:plotVisOnly val="1"/>
    <c:dispBlanksAs val="gap"/>
  </c:chart>
  <c:spPr>
    <a:solidFill>
      <a:srgbClr val="FFFFFF"/>
    </a:solidFill>
    <a:ln w="3171">
      <a:solidFill>
        <a:srgbClr val="808080"/>
      </a:solidFill>
      <a:prstDash val="solid"/>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395"/>
              <a:t>Individual SOE Shares of Total Sector Losses</a:t>
            </a:r>
          </a:p>
        </c:rich>
      </c:tx>
      <c:layout>
        <c:manualLayout>
          <c:xMode val="edge"/>
          <c:yMode val="edge"/>
          <c:x val="0.2010303101833899"/>
          <c:y val="0"/>
        </c:manualLayout>
      </c:layout>
      <c:spPr>
        <a:noFill/>
        <a:ln w="25337">
          <a:noFill/>
        </a:ln>
      </c:spPr>
    </c:title>
    <c:view3D>
      <c:rotX val="75"/>
      <c:perspective val="30"/>
    </c:view3D>
    <c:plotArea>
      <c:layout>
        <c:manualLayout>
          <c:layoutTarget val="inner"/>
          <c:xMode val="edge"/>
          <c:yMode val="edge"/>
          <c:x val="0.116601596675416"/>
          <c:y val="0.18925362211761101"/>
          <c:w val="0.78057086614173199"/>
          <c:h val="0.789821620822866"/>
        </c:manualLayout>
      </c:layout>
      <c:pie3DChart>
        <c:varyColors val="1"/>
        <c:ser>
          <c:idx val="0"/>
          <c:order val="0"/>
          <c:tx>
            <c:strRef>
              <c:f>Sheet1!$B$1</c:f>
              <c:strCache>
                <c:ptCount val="1"/>
                <c:pt idx="0">
                  <c:v>SOE Losses</c:v>
                </c:pt>
              </c:strCache>
            </c:strRef>
          </c:tx>
          <c:spPr>
            <a:solidFill>
              <a:srgbClr val="4472C4"/>
            </a:solidFill>
            <a:ln w="25337">
              <a:noFill/>
            </a:ln>
          </c:spPr>
          <c:explosion val="25"/>
          <c:dPt>
            <c:idx val="0"/>
            <c:spPr>
              <a:solidFill>
                <a:srgbClr val="3B64AD"/>
              </a:solidFill>
              <a:ln w="25337">
                <a:noFill/>
              </a:ln>
            </c:spPr>
            <c:extLst xmlns:c16r2="http://schemas.microsoft.com/office/drawing/2015/06/chart">
              <c:ext xmlns:c16="http://schemas.microsoft.com/office/drawing/2014/chart" uri="{C3380CC4-5D6E-409C-BE32-E72D297353CC}">
                <c16:uniqueId val="{00000000-3E0F-4964-B664-1496F3214FB8}"/>
              </c:ext>
            </c:extLst>
          </c:dPt>
          <c:dPt>
            <c:idx val="1"/>
            <c:spPr>
              <a:solidFill>
                <a:srgbClr val="D26E2A"/>
              </a:solidFill>
              <a:ln w="25337">
                <a:noFill/>
              </a:ln>
            </c:spPr>
            <c:extLst xmlns:c16r2="http://schemas.microsoft.com/office/drawing/2015/06/chart">
              <c:ext xmlns:c16="http://schemas.microsoft.com/office/drawing/2014/chart" uri="{C3380CC4-5D6E-409C-BE32-E72D297353CC}">
                <c16:uniqueId val="{00000001-3E0F-4964-B664-1496F3214FB8}"/>
              </c:ext>
            </c:extLst>
          </c:dPt>
          <c:dPt>
            <c:idx val="2"/>
            <c:spPr>
              <a:solidFill>
                <a:srgbClr val="929292"/>
              </a:solidFill>
              <a:ln w="25337">
                <a:noFill/>
              </a:ln>
            </c:spPr>
            <c:extLst xmlns:c16r2="http://schemas.microsoft.com/office/drawing/2015/06/chart">
              <c:ext xmlns:c16="http://schemas.microsoft.com/office/drawing/2014/chart" uri="{C3380CC4-5D6E-409C-BE32-E72D297353CC}">
                <c16:uniqueId val="{00000002-3E0F-4964-B664-1496F3214FB8}"/>
              </c:ext>
            </c:extLst>
          </c:dPt>
          <c:dPt>
            <c:idx val="3"/>
            <c:spPr>
              <a:solidFill>
                <a:srgbClr val="E2AA00"/>
              </a:solidFill>
              <a:ln w="25337">
                <a:noFill/>
              </a:ln>
            </c:spPr>
            <c:extLst xmlns:c16r2="http://schemas.microsoft.com/office/drawing/2015/06/chart">
              <c:ext xmlns:c16="http://schemas.microsoft.com/office/drawing/2014/chart" uri="{C3380CC4-5D6E-409C-BE32-E72D297353CC}">
                <c16:uniqueId val="{00000003-3E0F-4964-B664-1496F3214FB8}"/>
              </c:ext>
            </c:extLst>
          </c:dPt>
          <c:dPt>
            <c:idx val="4"/>
            <c:spPr>
              <a:solidFill>
                <a:srgbClr val="5089BC"/>
              </a:solidFill>
              <a:ln w="25337">
                <a:noFill/>
              </a:ln>
            </c:spPr>
            <c:extLst xmlns:c16r2="http://schemas.microsoft.com/office/drawing/2015/06/chart">
              <c:ext xmlns:c16="http://schemas.microsoft.com/office/drawing/2014/chart" uri="{C3380CC4-5D6E-409C-BE32-E72D297353CC}">
                <c16:uniqueId val="{00000004-3E0F-4964-B664-1496F3214FB8}"/>
              </c:ext>
            </c:extLst>
          </c:dPt>
          <c:dPt>
            <c:idx val="5"/>
            <c:spPr>
              <a:solidFill>
                <a:srgbClr val="62993E"/>
              </a:solidFill>
              <a:ln w="25337">
                <a:noFill/>
              </a:ln>
            </c:spPr>
            <c:extLst xmlns:c16r2="http://schemas.microsoft.com/office/drawing/2015/06/chart">
              <c:ext xmlns:c16="http://schemas.microsoft.com/office/drawing/2014/chart" uri="{C3380CC4-5D6E-409C-BE32-E72D297353CC}">
                <c16:uniqueId val="{00000005-3E0F-4964-B664-1496F3214FB8}"/>
              </c:ext>
            </c:extLst>
          </c:dPt>
          <c:dLbls>
            <c:dLbl>
              <c:idx val="5"/>
              <c:layout>
                <c:manualLayout>
                  <c:x val="2.3148148148148077E-2"/>
                  <c:y val="-3.5746201966041311E-3"/>
                </c:manualLayout>
              </c:layout>
              <c:dLblPos val="bestFit"/>
              <c:showCatName val="1"/>
              <c:showPercent val="1"/>
              <c:extLst xmlns:c16r2="http://schemas.microsoft.com/office/drawing/2015/06/chart">
                <c:ext xmlns:c16="http://schemas.microsoft.com/office/drawing/2014/chart" uri="{C3380CC4-5D6E-409C-BE32-E72D297353CC}">
                  <c16:uniqueId val="{00000005-3E0F-4964-B664-1496F3214FB8}"/>
                </c:ext>
                <c:ext xmlns:c15="http://schemas.microsoft.com/office/drawing/2012/chart" uri="{CE6537A1-D6FC-4f65-9D91-7224C49458BB}"/>
              </c:extLst>
            </c:dLbl>
            <c:spPr>
              <a:noFill/>
              <a:ln w="25337">
                <a:noFill/>
              </a:ln>
            </c:spPr>
            <c:txPr>
              <a:bodyPr/>
              <a:lstStyle/>
              <a:p>
                <a:pPr>
                  <a:defRPr lang="en-US"/>
                </a:pPr>
                <a:endParaRPr lang="en-US"/>
              </a:p>
            </c:txPr>
            <c:dLblPos val="outEnd"/>
            <c:showCatName val="1"/>
            <c:showPercent val="1"/>
            <c:showLeaderLines val="1"/>
            <c:extLst xmlns:c16r2="http://schemas.microsoft.com/office/drawing/2015/06/chart">
              <c:ext xmlns:c15="http://schemas.microsoft.com/office/drawing/2012/chart" uri="{CE6537A1-D6FC-4f65-9D91-7224C49458BB}"/>
            </c:extLst>
          </c:dLbls>
          <c:cat>
            <c:strRef>
              <c:f>Sheet1!$A$2:$A$7</c:f>
              <c:strCache>
                <c:ptCount val="6"/>
                <c:pt idx="0">
                  <c:v>NAWEC</c:v>
                </c:pt>
                <c:pt idx="1">
                  <c:v>GAMCEL</c:v>
                </c:pt>
                <c:pt idx="2">
                  <c:v>GAMTEL</c:v>
                </c:pt>
                <c:pt idx="3">
                  <c:v>GCAA</c:v>
                </c:pt>
                <c:pt idx="4">
                  <c:v>GGC</c:v>
                </c:pt>
                <c:pt idx="5">
                  <c:v>GRTS</c:v>
                </c:pt>
              </c:strCache>
            </c:strRef>
          </c:cat>
          <c:val>
            <c:numRef>
              <c:f>Sheet1!$B$2:$B$7</c:f>
              <c:numCache>
                <c:formatCode>General</c:formatCode>
                <c:ptCount val="6"/>
                <c:pt idx="0">
                  <c:v>1377</c:v>
                </c:pt>
                <c:pt idx="1">
                  <c:v>244</c:v>
                </c:pt>
                <c:pt idx="2">
                  <c:v>132</c:v>
                </c:pt>
                <c:pt idx="3">
                  <c:v>99</c:v>
                </c:pt>
                <c:pt idx="4">
                  <c:v>41</c:v>
                </c:pt>
                <c:pt idx="5">
                  <c:v>13</c:v>
                </c:pt>
              </c:numCache>
            </c:numRef>
          </c:val>
          <c:extLst xmlns:c16r2="http://schemas.microsoft.com/office/drawing/2015/06/chart">
            <c:ext xmlns:c16="http://schemas.microsoft.com/office/drawing/2014/chart" uri="{C3380CC4-5D6E-409C-BE32-E72D297353CC}">
              <c16:uniqueId val="{00000006-3E0F-4964-B664-1496F3214FB8}"/>
            </c:ext>
          </c:extLst>
        </c:ser>
        <c:dLbls>
          <c:showVal val="1"/>
        </c:dLbls>
      </c:pie3DChart>
      <c:spPr>
        <a:noFill/>
        <a:ln w="25375">
          <a:noFill/>
        </a:ln>
      </c:spPr>
    </c:plotArea>
    <c:plotVisOnly val="1"/>
    <c:dispBlanksAs val="zero"/>
  </c:chart>
  <c:spPr>
    <a:solidFill>
      <a:srgbClr val="FFFFFF"/>
    </a:solidFill>
    <a:ln w="3167">
      <a:solidFill>
        <a:srgbClr val="808080"/>
      </a:solidFill>
      <a:prstDash val="solid"/>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519867308253134E-2"/>
          <c:y val="4.4057617797775492E-2"/>
          <c:w val="0.84741724992709011"/>
          <c:h val="0.80097550306211962"/>
        </c:manualLayout>
      </c:layout>
      <c:barChart>
        <c:barDir val="col"/>
        <c:grouping val="clustered"/>
        <c:ser>
          <c:idx val="0"/>
          <c:order val="0"/>
          <c:tx>
            <c:strRef>
              <c:f>Sheet1!$B$1</c:f>
              <c:strCache>
                <c:ptCount val="1"/>
                <c:pt idx="0">
                  <c:v>Total Assets</c:v>
                </c:pt>
              </c:strCache>
            </c:strRef>
          </c:tx>
          <c:spPr>
            <a:solidFill>
              <a:srgbClr val="4472C4"/>
            </a:solidFill>
            <a:ln w="25357">
              <a:noFill/>
            </a:ln>
          </c:spPr>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14758.5</c:v>
                </c:pt>
                <c:pt idx="1">
                  <c:v>17205</c:v>
                </c:pt>
                <c:pt idx="2">
                  <c:v>17851</c:v>
                </c:pt>
                <c:pt idx="3">
                  <c:v>18895.3</c:v>
                </c:pt>
              </c:numCache>
            </c:numRef>
          </c:val>
          <c:extLst xmlns:c16r2="http://schemas.microsoft.com/office/drawing/2015/06/chart">
            <c:ext xmlns:c16="http://schemas.microsoft.com/office/drawing/2014/chart" uri="{C3380CC4-5D6E-409C-BE32-E72D297353CC}">
              <c16:uniqueId val="{00000000-90CF-40CC-A094-6BE4B033365E}"/>
            </c:ext>
          </c:extLst>
        </c:ser>
        <c:ser>
          <c:idx val="1"/>
          <c:order val="1"/>
          <c:tx>
            <c:strRef>
              <c:f>Sheet1!$C$1</c:f>
              <c:strCache>
                <c:ptCount val="1"/>
                <c:pt idx="0">
                  <c:v>Total Liabilities</c:v>
                </c:pt>
              </c:strCache>
            </c:strRef>
          </c:tx>
          <c:spPr>
            <a:solidFill>
              <a:srgbClr val="D6DCE5"/>
            </a:solidFill>
            <a:ln w="12678">
              <a:solidFill>
                <a:srgbClr val="666699"/>
              </a:solidFill>
              <a:prstDash val="solid"/>
            </a:ln>
          </c:spPr>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7610</c:v>
                </c:pt>
                <c:pt idx="1">
                  <c:v>9639</c:v>
                </c:pt>
                <c:pt idx="2">
                  <c:v>10870</c:v>
                </c:pt>
                <c:pt idx="3">
                  <c:v>13383</c:v>
                </c:pt>
              </c:numCache>
            </c:numRef>
          </c:val>
          <c:extLst xmlns:c16r2="http://schemas.microsoft.com/office/drawing/2015/06/chart">
            <c:ext xmlns:c16="http://schemas.microsoft.com/office/drawing/2014/chart" uri="{C3380CC4-5D6E-409C-BE32-E72D297353CC}">
              <c16:uniqueId val="{00000001-90CF-40CC-A094-6BE4B033365E}"/>
            </c:ext>
          </c:extLst>
        </c:ser>
        <c:axId val="309401472"/>
        <c:axId val="309403008"/>
      </c:barChart>
      <c:catAx>
        <c:axId val="309401472"/>
        <c:scaling>
          <c:orientation val="minMax"/>
        </c:scaling>
        <c:axPos val="b"/>
        <c:numFmt formatCode="General" sourceLinked="1"/>
        <c:tickLblPos val="nextTo"/>
        <c:spPr>
          <a:ln w="3169">
            <a:solidFill>
              <a:srgbClr val="808080"/>
            </a:solidFill>
            <a:prstDash val="solid"/>
          </a:ln>
        </c:spPr>
        <c:txPr>
          <a:bodyPr/>
          <a:lstStyle/>
          <a:p>
            <a:pPr>
              <a:defRPr lang="en-US"/>
            </a:pPr>
            <a:endParaRPr lang="en-US"/>
          </a:p>
        </c:txPr>
        <c:crossAx val="309403008"/>
        <c:crosses val="autoZero"/>
        <c:auto val="1"/>
        <c:lblAlgn val="ctr"/>
        <c:lblOffset val="100"/>
      </c:catAx>
      <c:valAx>
        <c:axId val="309403008"/>
        <c:scaling>
          <c:orientation val="minMax"/>
        </c:scaling>
        <c:axPos val="l"/>
        <c:majorGridlines>
          <c:spPr>
            <a:ln w="3169">
              <a:solidFill>
                <a:srgbClr val="808080"/>
              </a:solidFill>
              <a:prstDash val="solid"/>
            </a:ln>
          </c:spPr>
        </c:majorGridlines>
        <c:numFmt formatCode="General" sourceLinked="1"/>
        <c:tickLblPos val="nextTo"/>
        <c:spPr>
          <a:ln w="3169">
            <a:solidFill>
              <a:srgbClr val="808080"/>
            </a:solidFill>
            <a:prstDash val="solid"/>
          </a:ln>
        </c:spPr>
        <c:txPr>
          <a:bodyPr/>
          <a:lstStyle/>
          <a:p>
            <a:pPr>
              <a:defRPr lang="en-US"/>
            </a:pPr>
            <a:endParaRPr lang="en-US"/>
          </a:p>
        </c:txPr>
        <c:crossAx val="309401472"/>
        <c:crosses val="autoZero"/>
        <c:crossBetween val="between"/>
      </c:valAx>
      <c:spPr>
        <a:solidFill>
          <a:srgbClr val="FFFFFF"/>
        </a:solidFill>
        <a:ln w="25357">
          <a:noFill/>
        </a:ln>
      </c:spPr>
    </c:plotArea>
    <c:legend>
      <c:legendPos val="r"/>
      <c:layout>
        <c:manualLayout>
          <c:xMode val="edge"/>
          <c:yMode val="edge"/>
          <c:x val="0.12590814624008431"/>
          <c:y val="5.3254258111353064E-2"/>
          <c:w val="0.46004839543755932"/>
          <c:h val="0.11242620204389353"/>
        </c:manualLayout>
      </c:layout>
      <c:spPr>
        <a:noFill/>
        <a:ln w="25357">
          <a:noFill/>
        </a:ln>
      </c:spPr>
      <c:txPr>
        <a:bodyPr/>
        <a:lstStyle/>
        <a:p>
          <a:pPr>
            <a:defRPr lang="en-US"/>
          </a:pPr>
          <a:endParaRPr lang="en-US"/>
        </a:p>
      </c:txPr>
    </c:legend>
    <c:plotVisOnly val="1"/>
    <c:dispBlanksAs val="gap"/>
  </c:chart>
  <c:spPr>
    <a:solidFill>
      <a:srgbClr val="FFFFFF"/>
    </a:solidFill>
    <a:ln w="3169">
      <a:solidFill>
        <a:srgbClr val="808080"/>
      </a:solidFill>
      <a:prstDash val="solid"/>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30"/>
      <c:rAngAx val="1"/>
    </c:view3D>
    <c:plotArea>
      <c:layout>
        <c:manualLayout>
          <c:layoutTarget val="inner"/>
          <c:xMode val="edge"/>
          <c:yMode val="edge"/>
          <c:x val="0.17956089859875901"/>
          <c:y val="0.23034893644429444"/>
          <c:w val="0.82020572459575802"/>
          <c:h val="0.67416936379885162"/>
        </c:manualLayout>
      </c:layout>
      <c:pie3DChart>
        <c:varyColors val="1"/>
        <c:ser>
          <c:idx val="0"/>
          <c:order val="0"/>
          <c:explosion val="25"/>
          <c:dPt>
            <c:idx val="0"/>
            <c:spPr>
              <a:solidFill>
                <a:srgbClr val="00B050"/>
              </a:solidFill>
              <a:ln>
                <a:solidFill>
                  <a:srgbClr val="00B050"/>
                </a:solidFill>
              </a:ln>
            </c:spPr>
            <c:extLst xmlns:c16r2="http://schemas.microsoft.com/office/drawing/2015/06/chart">
              <c:ext xmlns:c16="http://schemas.microsoft.com/office/drawing/2014/chart" uri="{C3380CC4-5D6E-409C-BE32-E72D297353CC}">
                <c16:uniqueId val="{00000000-0CF0-4083-AC60-42775A95BD7E}"/>
              </c:ext>
            </c:extLst>
          </c:dPt>
          <c:dPt>
            <c:idx val="1"/>
            <c:spPr>
              <a:solidFill>
                <a:schemeClr val="accent4">
                  <a:lumMod val="75000"/>
                </a:schemeClr>
              </a:solidFill>
            </c:spPr>
            <c:extLst xmlns:c16r2="http://schemas.microsoft.com/office/drawing/2015/06/chart">
              <c:ext xmlns:c16="http://schemas.microsoft.com/office/drawing/2014/chart" uri="{C3380CC4-5D6E-409C-BE32-E72D297353CC}">
                <c16:uniqueId val="{00000001-0CF0-4083-AC60-42775A95BD7E}"/>
              </c:ext>
            </c:extLst>
          </c:dPt>
          <c:dPt>
            <c:idx val="2"/>
            <c:spPr>
              <a:solidFill>
                <a:schemeClr val="accent6">
                  <a:lumMod val="75000"/>
                </a:schemeClr>
              </a:solidFill>
            </c:spPr>
            <c:extLst xmlns:c16r2="http://schemas.microsoft.com/office/drawing/2015/06/chart">
              <c:ext xmlns:c16="http://schemas.microsoft.com/office/drawing/2014/chart" uri="{C3380CC4-5D6E-409C-BE32-E72D297353CC}">
                <c16:uniqueId val="{00000002-0CF0-4083-AC60-42775A95BD7E}"/>
              </c:ext>
            </c:extLst>
          </c:dPt>
          <c:dPt>
            <c:idx val="3"/>
            <c:spPr>
              <a:solidFill>
                <a:srgbClr val="FF0000"/>
              </a:solidFill>
            </c:spPr>
            <c:extLst xmlns:c16r2="http://schemas.microsoft.com/office/drawing/2015/06/chart">
              <c:ext xmlns:c16="http://schemas.microsoft.com/office/drawing/2014/chart" uri="{C3380CC4-5D6E-409C-BE32-E72D297353CC}">
                <c16:uniqueId val="{00000003-0CF0-4083-AC60-42775A95BD7E}"/>
              </c:ext>
            </c:extLst>
          </c:dPt>
          <c:dLbls>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Sheet1!$A$13:$A$16</c:f>
              <c:strCache>
                <c:ptCount val="4"/>
                <c:pt idx="0">
                  <c:v>GAMCEL</c:v>
                </c:pt>
                <c:pt idx="1">
                  <c:v>AFRICELL</c:v>
                </c:pt>
                <c:pt idx="2">
                  <c:v>QCELL</c:v>
                </c:pt>
                <c:pt idx="3">
                  <c:v>COMIUM</c:v>
                </c:pt>
              </c:strCache>
            </c:strRef>
          </c:cat>
          <c:val>
            <c:numRef>
              <c:f>Sheet1!$B$13:$B$16</c:f>
              <c:numCache>
                <c:formatCode>0%</c:formatCode>
                <c:ptCount val="4"/>
                <c:pt idx="0">
                  <c:v>0.15590528542239379</c:v>
                </c:pt>
                <c:pt idx="1">
                  <c:v>0.51236466867057162</c:v>
                </c:pt>
                <c:pt idx="2">
                  <c:v>0.17742722577249051</c:v>
                </c:pt>
                <c:pt idx="3">
                  <c:v>0.15430282013454588</c:v>
                </c:pt>
              </c:numCache>
            </c:numRef>
          </c:val>
          <c:extLst xmlns:c16r2="http://schemas.microsoft.com/office/drawing/2015/06/chart">
            <c:ext xmlns:c16="http://schemas.microsoft.com/office/drawing/2014/chart" uri="{C3380CC4-5D6E-409C-BE32-E72D297353CC}">
              <c16:uniqueId val="{00000004-0CF0-4083-AC60-42775A95BD7E}"/>
            </c:ext>
          </c:extLst>
        </c:ser>
        <c:dLbls>
          <c:showLegendKey val="1"/>
          <c:showVal val="1"/>
          <c:showCatName val="1"/>
          <c:showSerName val="1"/>
          <c:showPercent val="1"/>
          <c:showBubbleSize val="1"/>
        </c:dLbls>
      </c:pie3DChart>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Penetration!$B$2</c:f>
              <c:strCache>
                <c:ptCount val="1"/>
                <c:pt idx="0">
                  <c:v>No. of Subscribers</c:v>
                </c:pt>
              </c:strCache>
            </c:strRef>
          </c:tx>
          <c:invertIfNegative val="1"/>
          <c:cat>
            <c:numRef>
              <c:f>Penetration!$A$3:$A$11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Penetration!$B$3:$B$11</c:f>
              <c:numCache>
                <c:formatCode>_(* #,##0_);_(* \(#,##0\);_(* "-"??_);_(@_)</c:formatCode>
                <c:ptCount val="9"/>
                <c:pt idx="0">
                  <c:v>1114730</c:v>
                </c:pt>
                <c:pt idx="1">
                  <c:v>1312874</c:v>
                </c:pt>
                <c:pt idx="2">
                  <c:v>1478349</c:v>
                </c:pt>
                <c:pt idx="3">
                  <c:v>1634292</c:v>
                </c:pt>
                <c:pt idx="4">
                  <c:v>1900936</c:v>
                </c:pt>
                <c:pt idx="5">
                  <c:v>2225303.0000000005</c:v>
                </c:pt>
                <c:pt idx="6">
                  <c:v>2597066</c:v>
                </c:pt>
                <c:pt idx="7">
                  <c:v>2715671.9999999977</c:v>
                </c:pt>
                <c:pt idx="8" formatCode="#,##0">
                  <c:v>2838127</c:v>
                </c:pt>
              </c:numCache>
            </c:numRef>
          </c:val>
          <c:extLst xmlns:c16r2="http://schemas.microsoft.com/office/drawing/2015/06/chart">
            <c:ext xmlns:c16="http://schemas.microsoft.com/office/drawing/2014/chart" uri="{C3380CC4-5D6E-409C-BE32-E72D297353CC}">
              <c16:uniqueId val="{00000000-3859-49A6-9007-233D2A5DF0C1}"/>
            </c:ext>
          </c:extLst>
        </c:ser>
        <c:axId val="309453568"/>
        <c:axId val="309455104"/>
      </c:barChart>
      <c:lineChart>
        <c:grouping val="standard"/>
        <c:varyColors val="1"/>
        <c:ser>
          <c:idx val="1"/>
          <c:order val="1"/>
          <c:tx>
            <c:strRef>
              <c:f>Penetration!$C$2</c:f>
              <c:strCache>
                <c:ptCount val="1"/>
                <c:pt idx="0">
                  <c:v>Gambian Penetration</c:v>
                </c:pt>
              </c:strCache>
            </c:strRef>
          </c:tx>
          <c:cat>
            <c:numRef>
              <c:f>Penetration!$A$3:$A$11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Penetration!$C$3:$C$11</c:f>
              <c:numCache>
                <c:formatCode>0.00</c:formatCode>
                <c:ptCount val="9"/>
                <c:pt idx="0">
                  <c:v>76</c:v>
                </c:pt>
                <c:pt idx="1">
                  <c:v>88.11</c:v>
                </c:pt>
                <c:pt idx="2">
                  <c:v>95.45</c:v>
                </c:pt>
                <c:pt idx="3">
                  <c:v>99.02</c:v>
                </c:pt>
                <c:pt idx="4">
                  <c:v>107.5</c:v>
                </c:pt>
                <c:pt idx="5">
                  <c:v>120.87385587930618</c:v>
                </c:pt>
                <c:pt idx="6">
                  <c:v>132.48000000000022</c:v>
                </c:pt>
                <c:pt idx="7">
                  <c:v>137</c:v>
                </c:pt>
                <c:pt idx="8">
                  <c:v>139</c:v>
                </c:pt>
              </c:numCache>
            </c:numRef>
          </c:val>
          <c:smooth val="1"/>
          <c:extLst xmlns:c16r2="http://schemas.microsoft.com/office/drawing/2015/06/chart">
            <c:ext xmlns:c16="http://schemas.microsoft.com/office/drawing/2014/chart" uri="{C3380CC4-5D6E-409C-BE32-E72D297353CC}">
              <c16:uniqueId val="{00000001-3859-49A6-9007-233D2A5DF0C1}"/>
            </c:ext>
          </c:extLst>
        </c:ser>
        <c:ser>
          <c:idx val="2"/>
          <c:order val="2"/>
          <c:tx>
            <c:strRef>
              <c:f>Penetration!$D$2</c:f>
              <c:strCache>
                <c:ptCount val="1"/>
                <c:pt idx="0">
                  <c:v>African Avg.</c:v>
                </c:pt>
              </c:strCache>
            </c:strRef>
          </c:tx>
          <c:cat>
            <c:numRef>
              <c:f>Penetration!$A$3:$A$11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Penetration!$D$3:$D$11</c:f>
              <c:numCache>
                <c:formatCode>General</c:formatCode>
                <c:ptCount val="9"/>
                <c:pt idx="0">
                  <c:v>33.760000000000012</c:v>
                </c:pt>
                <c:pt idx="1">
                  <c:v>39.65</c:v>
                </c:pt>
                <c:pt idx="2">
                  <c:v>46.9</c:v>
                </c:pt>
                <c:pt idx="3">
                  <c:v>53.760000000000012</c:v>
                </c:pt>
                <c:pt idx="4">
                  <c:v>60.28</c:v>
                </c:pt>
                <c:pt idx="5">
                  <c:v>66.78</c:v>
                </c:pt>
                <c:pt idx="6">
                  <c:v>72.319999999999993</c:v>
                </c:pt>
                <c:pt idx="7">
                  <c:v>76.2</c:v>
                </c:pt>
                <c:pt idx="8">
                  <c:v>80.8</c:v>
                </c:pt>
              </c:numCache>
            </c:numRef>
          </c:val>
          <c:smooth val="1"/>
          <c:extLst xmlns:c16r2="http://schemas.microsoft.com/office/drawing/2015/06/chart">
            <c:ext xmlns:c16="http://schemas.microsoft.com/office/drawing/2014/chart" uri="{C3380CC4-5D6E-409C-BE32-E72D297353CC}">
              <c16:uniqueId val="{00000002-3859-49A6-9007-233D2A5DF0C1}"/>
            </c:ext>
          </c:extLst>
        </c:ser>
        <c:marker val="1"/>
        <c:axId val="268900608"/>
        <c:axId val="268898688"/>
      </c:lineChart>
      <c:catAx>
        <c:axId val="309453568"/>
        <c:scaling>
          <c:orientation val="minMax"/>
        </c:scaling>
        <c:delete val="1"/>
        <c:axPos val="b"/>
        <c:numFmt formatCode="General" sourceLinked="1"/>
        <c:majorTickMark val="cross"/>
        <c:minorTickMark val="cross"/>
        <c:tickLblPos val="none"/>
        <c:crossAx val="309455104"/>
        <c:crosses val="autoZero"/>
        <c:auto val="1"/>
        <c:lblAlgn val="ctr"/>
        <c:lblOffset val="100"/>
        <c:noMultiLvlLbl val="1"/>
      </c:catAx>
      <c:valAx>
        <c:axId val="309455104"/>
        <c:scaling>
          <c:orientation val="minMax"/>
        </c:scaling>
        <c:delete val="1"/>
        <c:axPos val="l"/>
        <c:majorGridlines/>
        <c:title>
          <c:tx>
            <c:rich>
              <a:bodyPr rot="-5400000" vert="horz"/>
              <a:lstStyle/>
              <a:p>
                <a:pPr>
                  <a:defRPr/>
                </a:pPr>
                <a:r>
                  <a:rPr lang="en-US"/>
                  <a:t>No. of Subscribers</a:t>
                </a:r>
              </a:p>
            </c:rich>
          </c:tx>
          <c:overlay val="1"/>
        </c:title>
        <c:numFmt formatCode="_(* #,##0_);_(* \(#,##0\);_(* &quot;-&quot;??_);_(@_)" sourceLinked="1"/>
        <c:majorTickMark val="cross"/>
        <c:minorTickMark val="cross"/>
        <c:tickLblPos val="none"/>
        <c:crossAx val="309453568"/>
        <c:crosses val="autoZero"/>
        <c:crossBetween val="between"/>
      </c:valAx>
      <c:valAx>
        <c:axId val="268898688"/>
        <c:scaling>
          <c:orientation val="minMax"/>
        </c:scaling>
        <c:delete val="1"/>
        <c:axPos val="r"/>
        <c:title>
          <c:tx>
            <c:rich>
              <a:bodyPr rot="-5400000" vert="horz"/>
              <a:lstStyle/>
              <a:p>
                <a:pPr>
                  <a:defRPr/>
                </a:pPr>
                <a:r>
                  <a:rPr lang="en-US"/>
                  <a:t>% Penetration</a:t>
                </a:r>
              </a:p>
            </c:rich>
          </c:tx>
          <c:overlay val="1"/>
        </c:title>
        <c:numFmt formatCode="0.00" sourceLinked="1"/>
        <c:majorTickMark val="cross"/>
        <c:minorTickMark val="cross"/>
        <c:tickLblPos val="none"/>
        <c:crossAx val="268900608"/>
        <c:crosses val="max"/>
        <c:crossBetween val="between"/>
      </c:valAx>
      <c:catAx>
        <c:axId val="268900608"/>
        <c:scaling>
          <c:orientation val="minMax"/>
        </c:scaling>
        <c:delete val="1"/>
        <c:axPos val="b"/>
        <c:numFmt formatCode="General" sourceLinked="1"/>
        <c:majorTickMark val="cross"/>
        <c:minorTickMark val="cross"/>
        <c:tickLblPos val="none"/>
        <c:crossAx val="268898688"/>
        <c:crosses val="autoZero"/>
        <c:auto val="1"/>
        <c:lblAlgn val="ctr"/>
        <c:lblOffset val="100"/>
        <c:noMultiLvlLbl val="1"/>
      </c:catAx>
    </c:plotArea>
    <c:legend>
      <c:legendPos val="b"/>
      <c:overlay val="1"/>
    </c:legend>
    <c:plotVisOnly val="1"/>
    <c:dispBlanksAs val="gap"/>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0.00344</cdr:x>
      <cdr:y>0.919</cdr:y>
    </cdr:from>
    <cdr:to>
      <cdr:x>0.02635</cdr:x>
      <cdr:y>1</cdr:y>
    </cdr:to>
    <cdr:sp macro="" textlink="">
      <cdr:nvSpPr>
        <cdr:cNvPr id="101386" name="Text Box 10">
          <a:extLst xmlns:a="http://schemas.openxmlformats.org/drawingml/2006/main"/>
        </cdr:cNvPr>
        <cdr:cNvSpPr txBox="1">
          <a:spLocks xmlns:a="http://schemas.openxmlformats.org/drawingml/2006/main" noChangeArrowheads="1" noTextEdit="1"/>
        </cdr:cNvSpPr>
      </cdr:nvSpPr>
      <cdr:spPr bwMode="auto">
        <a:xfrm xmlns:a="http://schemas.openxmlformats.org/drawingml/2006/main">
          <a:off x="12445" y="16167264"/>
          <a:ext cx="61758" cy="19981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fld id="{BA8A8F6F-EC1B-4EC5-ACE3-60659E574652}" type="TxLink">
            <a:rPr lang="en-US" sz="1000" b="0" i="0" u="none" strike="noStrike">
              <a:solidFill>
                <a:srgbClr val="000000"/>
              </a:solidFill>
              <a:latin typeface="Segoe UI"/>
              <a:cs typeface="Segoe UI"/>
            </a:rPr>
            <a:pPr/>
            <a:t> </a:t>
          </a:fld>
          <a:endParaRPr lang="en-US"/>
        </a:p>
      </cdr:txBody>
    </cdr:sp>
  </cdr:relSizeAnchor>
  <cdr:relSizeAnchor xmlns:cdr="http://schemas.openxmlformats.org/drawingml/2006/chartDrawing">
    <cdr:from>
      <cdr:x>0</cdr:x>
      <cdr:y>0</cdr:y>
    </cdr:from>
    <cdr:to>
      <cdr:x>0.91756</cdr:x>
      <cdr:y>0.0854</cdr:y>
    </cdr:to>
    <cdr:sp macro="" textlink="">
      <cdr:nvSpPr>
        <cdr:cNvPr id="4" name="Text Box 16">
          <a:extLst xmlns:a="http://schemas.openxmlformats.org/drawingml/2006/main"/>
        </cdr:cNvPr>
        <cdr:cNvSpPr txBox="1">
          <a:spLocks xmlns:a="http://schemas.openxmlformats.org/drawingml/2006/main" noChangeArrowheads="1" noTextEdit="1"/>
        </cdr:cNvSpPr>
      </cdr:nvSpPr>
      <cdr:spPr bwMode="auto">
        <a:xfrm xmlns:a="http://schemas.openxmlformats.org/drawingml/2006/main">
          <a:off x="0" y="0"/>
          <a:ext cx="2464612" cy="20986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0" bIns="2286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endParaRPr lang="en-US" sz="1000" b="0" i="0" u="none" strike="noStrike" baseline="0">
            <a:solidFill>
              <a:sysClr val="windowText" lastClr="000000"/>
            </a:solidFill>
            <a:latin typeface="Segoe UIw Roman"/>
            <a:cs typeface="Segoe UI" pitchFamily="34" charset="0"/>
          </a:endParaRPr>
        </a:p>
        <a:p xmlns:a="http://schemas.openxmlformats.org/drawingml/2006/main">
          <a:pPr algn="ctr" rtl="0">
            <a:defRPr sz="1000"/>
          </a:pPr>
          <a:endParaRPr lang="en-US" sz="1000" b="0" i="0" u="none" strike="noStrike" baseline="0">
            <a:solidFill>
              <a:sysClr val="windowText" lastClr="000000"/>
            </a:solidFill>
            <a:latin typeface="Segoe UIw Roman"/>
            <a:cs typeface="Segoe UI"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71DF4-784C-4249-A777-46527CAD2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283</Pages>
  <Words>101432</Words>
  <Characters>578167</Characters>
  <Application>Microsoft Office Word</Application>
  <DocSecurity>0</DocSecurity>
  <Lines>4818</Lines>
  <Paragraphs>1356</Paragraphs>
  <ScaleCrop>false</ScaleCrop>
  <HeadingPairs>
    <vt:vector size="2" baseType="variant">
      <vt:variant>
        <vt:lpstr>Title</vt:lpstr>
      </vt:variant>
      <vt:variant>
        <vt:i4>1</vt:i4>
      </vt:variant>
    </vt:vector>
  </HeadingPairs>
  <TitlesOfParts>
    <vt:vector size="1" baseType="lpstr">
      <vt:lpstr>The gambia Draft National Development Plan (2018-2021)</vt:lpstr>
    </vt:vector>
  </TitlesOfParts>
  <Company>Ministry of Finance and Economic Affairs</Company>
  <LinksUpToDate>false</LinksUpToDate>
  <CharactersWithSpaces>678243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gambia Draft National Development Plan (2018-2021)</dc:title>
  <dc:subject>Revision 05.09.17</dc:subject>
  <dc:creator>Dr. Ahmad Tijan Jallow</dc:creator>
  <cp:lastModifiedBy>User</cp:lastModifiedBy>
  <cp:revision>2</cp:revision>
  <cp:lastPrinted>2019-03-05T11:45:00Z</cp:lastPrinted>
  <dcterms:created xsi:type="dcterms:W3CDTF">2019-03-05T11:46:00Z</dcterms:created>
  <dcterms:modified xsi:type="dcterms:W3CDTF">2019-03-05T11:46:00Z</dcterms:modified>
</cp:coreProperties>
</file>