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C8FB" w14:textId="5FEF64A9" w:rsidR="00936372" w:rsidRPr="00936372" w:rsidRDefault="00936372" w:rsidP="00936372">
      <w:pPr>
        <w:spacing w:after="240"/>
        <w:rPr>
          <w:lang w:val="en-CA"/>
        </w:rPr>
      </w:pPr>
      <w:bookmarkStart w:id="0" w:name="_GoBack"/>
      <w:bookmarkEnd w:id="0"/>
    </w:p>
    <w:p w14:paraId="4BAA9935" w14:textId="246DC86F" w:rsidR="00936372" w:rsidRPr="009F61E0" w:rsidRDefault="00936372" w:rsidP="00936372">
      <w:pPr>
        <w:pBdr>
          <w:bottom w:val="single" w:sz="4" w:space="1" w:color="auto"/>
        </w:pBdr>
        <w:tabs>
          <w:tab w:val="center" w:pos="4680"/>
          <w:tab w:val="right" w:pos="9360"/>
        </w:tabs>
        <w:spacing w:after="240"/>
        <w:rPr>
          <w:rFonts w:cs="Arial"/>
          <w:b/>
          <w:sz w:val="32"/>
          <w:szCs w:val="32"/>
        </w:rPr>
      </w:pPr>
      <w:r>
        <w:rPr>
          <w:rFonts w:cs="Arial"/>
          <w:b/>
          <w:sz w:val="32"/>
          <w:szCs w:val="32"/>
        </w:rPr>
        <w:tab/>
      </w:r>
      <w:r w:rsidRPr="009F61E0">
        <w:rPr>
          <w:rFonts w:cs="Arial"/>
          <w:b/>
          <w:sz w:val="32"/>
          <w:szCs w:val="32"/>
        </w:rPr>
        <w:t>CONVENTION ON BIOLOGICAL DIVERSITY (CBD)</w:t>
      </w:r>
    </w:p>
    <w:p w14:paraId="0F7CF91A" w14:textId="48C7151E" w:rsidR="00936372" w:rsidRPr="002F4F68" w:rsidRDefault="00936372" w:rsidP="00936372">
      <w:pPr>
        <w:pBdr>
          <w:bottom w:val="single" w:sz="4" w:space="1" w:color="auto"/>
        </w:pBdr>
        <w:spacing w:after="240"/>
        <w:jc w:val="center"/>
        <w:rPr>
          <w:rFonts w:cs="Arial"/>
          <w:b/>
          <w:sz w:val="32"/>
          <w:szCs w:val="32"/>
        </w:rPr>
      </w:pPr>
      <w:r w:rsidRPr="009F61E0">
        <w:rPr>
          <w:rFonts w:cs="Arial"/>
          <w:b/>
          <w:sz w:val="32"/>
          <w:szCs w:val="32"/>
        </w:rPr>
        <w:t>NOTIFICATION</w:t>
      </w:r>
      <w:r w:rsidR="009F61E0" w:rsidRPr="009F61E0">
        <w:rPr>
          <w:rFonts w:cs="Arial"/>
          <w:b/>
          <w:sz w:val="32"/>
          <w:szCs w:val="32"/>
        </w:rPr>
        <w:t>S</w:t>
      </w:r>
      <w:r w:rsidRPr="009F61E0">
        <w:rPr>
          <w:rFonts w:cs="Arial"/>
          <w:b/>
          <w:sz w:val="32"/>
          <w:szCs w:val="32"/>
        </w:rPr>
        <w:t xml:space="preserve"> 2019-</w:t>
      </w:r>
      <w:r w:rsidR="009F61E0" w:rsidRPr="009F61E0">
        <w:rPr>
          <w:rFonts w:cs="Arial"/>
          <w:b/>
          <w:sz w:val="32"/>
          <w:szCs w:val="32"/>
        </w:rPr>
        <w:t>1</w:t>
      </w:r>
      <w:r w:rsidR="00F106F5" w:rsidRPr="009F61E0">
        <w:rPr>
          <w:rFonts w:cs="Arial"/>
          <w:b/>
          <w:sz w:val="32"/>
          <w:szCs w:val="32"/>
        </w:rPr>
        <w:t xml:space="preserve">08 and </w:t>
      </w:r>
      <w:r w:rsidR="009F61E0">
        <w:rPr>
          <w:rFonts w:cs="Arial"/>
          <w:b/>
          <w:sz w:val="32"/>
          <w:szCs w:val="32"/>
        </w:rPr>
        <w:t>2019-</w:t>
      </w:r>
      <w:r w:rsidR="00F106F5" w:rsidRPr="009F61E0">
        <w:rPr>
          <w:rFonts w:cs="Arial"/>
          <w:b/>
          <w:sz w:val="32"/>
          <w:szCs w:val="32"/>
        </w:rPr>
        <w:t>115</w:t>
      </w:r>
    </w:p>
    <w:p w14:paraId="23C2705E" w14:textId="77777777" w:rsidR="00936372" w:rsidRPr="002F4F68" w:rsidRDefault="00936372" w:rsidP="00936372">
      <w:pPr>
        <w:pBdr>
          <w:bottom w:val="single" w:sz="4" w:space="1" w:color="auto"/>
        </w:pBdr>
        <w:spacing w:after="240"/>
        <w:jc w:val="center"/>
        <w:rPr>
          <w:rFonts w:cs="Arial"/>
          <w:b/>
          <w:sz w:val="32"/>
          <w:szCs w:val="32"/>
        </w:rPr>
      </w:pPr>
    </w:p>
    <w:p w14:paraId="755D8C94" w14:textId="2C299851" w:rsidR="00936372" w:rsidRDefault="001853A0" w:rsidP="00936372">
      <w:pPr>
        <w:pBdr>
          <w:bottom w:val="single" w:sz="4" w:space="1" w:color="auto"/>
        </w:pBdr>
        <w:spacing w:after="240"/>
        <w:jc w:val="center"/>
        <w:rPr>
          <w:rFonts w:cs="Arial"/>
          <w:sz w:val="32"/>
          <w:szCs w:val="32"/>
        </w:rPr>
      </w:pPr>
      <w:r>
        <w:rPr>
          <w:rFonts w:cs="Arial"/>
          <w:sz w:val="32"/>
          <w:szCs w:val="32"/>
        </w:rPr>
        <w:t>Possible targets, indicators and b</w:t>
      </w:r>
      <w:r w:rsidR="00F106F5">
        <w:rPr>
          <w:rFonts w:cs="Arial"/>
          <w:sz w:val="32"/>
          <w:szCs w:val="32"/>
        </w:rPr>
        <w:t>aselines</w:t>
      </w:r>
      <w:r w:rsidR="00241F01">
        <w:rPr>
          <w:rFonts w:cs="Arial"/>
          <w:sz w:val="32"/>
          <w:szCs w:val="32"/>
        </w:rPr>
        <w:t xml:space="preserve"> for the P</w:t>
      </w:r>
      <w:r>
        <w:rPr>
          <w:rFonts w:cs="Arial"/>
          <w:sz w:val="32"/>
          <w:szCs w:val="32"/>
        </w:rPr>
        <w:t>ost-2020 Global Biodiversity Framework</w:t>
      </w:r>
    </w:p>
    <w:p w14:paraId="7111D353" w14:textId="77777777" w:rsidR="009F61E0" w:rsidRPr="002F4F68" w:rsidRDefault="009F61E0" w:rsidP="00936372">
      <w:pPr>
        <w:pBdr>
          <w:bottom w:val="single" w:sz="4" w:space="1" w:color="auto"/>
        </w:pBdr>
        <w:spacing w:after="240"/>
        <w:jc w:val="center"/>
        <w:rPr>
          <w:rFonts w:cs="Arial"/>
          <w:sz w:val="32"/>
          <w:szCs w:val="32"/>
        </w:rPr>
      </w:pPr>
    </w:p>
    <w:p w14:paraId="20E70014" w14:textId="77777777" w:rsidR="00936372" w:rsidRPr="002F4F68" w:rsidRDefault="00936372" w:rsidP="00936372">
      <w:pPr>
        <w:pBdr>
          <w:bottom w:val="single" w:sz="4" w:space="1" w:color="auto"/>
        </w:pBdr>
        <w:spacing w:after="240"/>
        <w:jc w:val="center"/>
        <w:rPr>
          <w:rFonts w:cs="Arial"/>
          <w:sz w:val="32"/>
          <w:szCs w:val="32"/>
        </w:rPr>
      </w:pPr>
      <w:r w:rsidRPr="002F4F68">
        <w:rPr>
          <w:rFonts w:cs="Arial"/>
          <w:sz w:val="32"/>
          <w:szCs w:val="32"/>
        </w:rPr>
        <w:t>Submission by Australia</w:t>
      </w:r>
    </w:p>
    <w:p w14:paraId="58FAD1E9" w14:textId="77777777" w:rsidR="00936372" w:rsidRPr="002F4F68" w:rsidRDefault="00936372" w:rsidP="00936372">
      <w:pPr>
        <w:pBdr>
          <w:bottom w:val="single" w:sz="4" w:space="1" w:color="auto"/>
        </w:pBdr>
        <w:spacing w:after="240"/>
        <w:jc w:val="center"/>
        <w:rPr>
          <w:rFonts w:cs="Arial"/>
          <w:sz w:val="32"/>
          <w:szCs w:val="32"/>
        </w:rPr>
      </w:pPr>
    </w:p>
    <w:p w14:paraId="2953BEE6" w14:textId="77777777" w:rsidR="00936372" w:rsidRPr="002F4F68" w:rsidRDefault="00936372" w:rsidP="00936372">
      <w:pPr>
        <w:pBdr>
          <w:bottom w:val="single" w:sz="4" w:space="1" w:color="auto"/>
        </w:pBdr>
        <w:spacing w:after="240"/>
        <w:jc w:val="center"/>
        <w:rPr>
          <w:rFonts w:cs="Arial"/>
          <w:sz w:val="32"/>
          <w:szCs w:val="32"/>
        </w:rPr>
      </w:pPr>
      <w:r w:rsidRPr="002F4F68">
        <w:rPr>
          <w:rFonts w:cs="Arial"/>
          <w:b/>
          <w:noProof/>
          <w:lang w:eastAsia="en-AU"/>
        </w:rPr>
        <w:drawing>
          <wp:inline distT="0" distB="0" distL="0" distR="0" wp14:anchorId="0415BD99" wp14:editId="511751A0">
            <wp:extent cx="3535680" cy="1965960"/>
            <wp:effectExtent l="0" t="0" r="7620" b="0"/>
            <wp:docPr id="1" name="Picture 1" descr="C:\Users\A01233\AppData\Local\Microsoft\Windows\Temporary Internet Files\Content.Outlook\NF28V8ZF\austgov-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233\AppData\Local\Microsoft\Windows\Temporary Internet Files\Content.Outlook\NF28V8ZF\austgov-stack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35680" cy="1965960"/>
                    </a:xfrm>
                    <a:prstGeom prst="rect">
                      <a:avLst/>
                    </a:prstGeom>
                    <a:noFill/>
                    <a:ln>
                      <a:noFill/>
                    </a:ln>
                  </pic:spPr>
                </pic:pic>
              </a:graphicData>
            </a:graphic>
          </wp:inline>
        </w:drawing>
      </w:r>
    </w:p>
    <w:p w14:paraId="6F08A751" w14:textId="77777777" w:rsidR="00936372" w:rsidRPr="002F4F68" w:rsidRDefault="00936372" w:rsidP="00936372">
      <w:pPr>
        <w:pBdr>
          <w:bottom w:val="single" w:sz="4" w:space="1" w:color="auto"/>
        </w:pBdr>
        <w:spacing w:after="240"/>
        <w:jc w:val="center"/>
        <w:rPr>
          <w:rFonts w:cs="Arial"/>
          <w:sz w:val="32"/>
          <w:szCs w:val="32"/>
        </w:rPr>
      </w:pPr>
    </w:p>
    <w:p w14:paraId="3A07AFFC" w14:textId="77777777" w:rsidR="00936372" w:rsidRPr="002F4F68" w:rsidRDefault="00936372" w:rsidP="00936372">
      <w:pPr>
        <w:pBdr>
          <w:bottom w:val="single" w:sz="4" w:space="1" w:color="auto"/>
        </w:pBdr>
        <w:spacing w:after="240"/>
        <w:jc w:val="both"/>
        <w:rPr>
          <w:rFonts w:cs="Arial"/>
          <w:b/>
          <w:sz w:val="32"/>
          <w:szCs w:val="32"/>
          <w:u w:val="single"/>
          <w:lang w:val="en-CA"/>
        </w:rPr>
      </w:pPr>
    </w:p>
    <w:p w14:paraId="4A2838BE" w14:textId="77ACD9F8" w:rsidR="00936372" w:rsidRPr="002F4F68" w:rsidRDefault="00936372" w:rsidP="00936372">
      <w:pPr>
        <w:pBdr>
          <w:top w:val="single" w:sz="4" w:space="1" w:color="auto"/>
          <w:left w:val="single" w:sz="4" w:space="1" w:color="auto"/>
          <w:bottom w:val="single" w:sz="4" w:space="10" w:color="auto"/>
          <w:right w:val="single" w:sz="4" w:space="4" w:color="auto"/>
        </w:pBdr>
        <w:shd w:val="clear" w:color="auto" w:fill="F2F2F2" w:themeFill="background1" w:themeFillShade="F2"/>
        <w:spacing w:after="240"/>
        <w:jc w:val="center"/>
        <w:rPr>
          <w:rFonts w:cs="Arial"/>
          <w:b/>
          <w:lang w:val="en-CA"/>
        </w:rPr>
      </w:pPr>
      <w:r w:rsidRPr="002F4F68">
        <w:rPr>
          <w:rFonts w:cs="Arial"/>
          <w:b/>
          <w:u w:val="single"/>
          <w:lang w:val="en-CA"/>
        </w:rPr>
        <w:t>NOTE</w:t>
      </w:r>
      <w:r w:rsidRPr="002F4F68">
        <w:rPr>
          <w:rFonts w:cs="Arial"/>
          <w:b/>
          <w:lang w:val="en-CA"/>
        </w:rPr>
        <w:t xml:space="preserve">: Information provided in this response has </w:t>
      </w:r>
      <w:r w:rsidR="001853A0">
        <w:rPr>
          <w:rFonts w:cs="Arial"/>
          <w:b/>
          <w:lang w:val="en-CA"/>
        </w:rPr>
        <w:t xml:space="preserve">predominately </w:t>
      </w:r>
      <w:r w:rsidRPr="002F4F68">
        <w:rPr>
          <w:rFonts w:cs="Arial"/>
          <w:b/>
          <w:lang w:val="en-CA"/>
        </w:rPr>
        <w:t xml:space="preserve">been drawn from Australian </w:t>
      </w:r>
      <w:r w:rsidR="00241F01">
        <w:rPr>
          <w:rFonts w:cs="Arial"/>
          <w:b/>
          <w:lang w:val="en-CA"/>
        </w:rPr>
        <w:t>g</w:t>
      </w:r>
      <w:r w:rsidRPr="002F4F68">
        <w:rPr>
          <w:rFonts w:cs="Arial"/>
          <w:b/>
          <w:lang w:val="en-CA"/>
        </w:rPr>
        <w:t>overnment input</w:t>
      </w:r>
      <w:r w:rsidR="006A34DA">
        <w:rPr>
          <w:rFonts w:cs="Arial"/>
          <w:b/>
          <w:lang w:val="en-CA"/>
        </w:rPr>
        <w:t xml:space="preserve"> </w:t>
      </w:r>
    </w:p>
    <w:p w14:paraId="625FFFFC" w14:textId="77777777" w:rsidR="00D51CC2" w:rsidRDefault="00D51CC2">
      <w:pPr>
        <w:spacing w:after="0" w:line="240" w:lineRule="auto"/>
        <w:rPr>
          <w:rFonts w:cs="Arial"/>
          <w:b/>
          <w:sz w:val="20"/>
          <w:szCs w:val="20"/>
        </w:rPr>
      </w:pPr>
      <w:r>
        <w:rPr>
          <w:rFonts w:cs="Arial"/>
          <w:b/>
          <w:sz w:val="20"/>
          <w:szCs w:val="20"/>
        </w:rPr>
        <w:br w:type="page"/>
      </w:r>
    </w:p>
    <w:p w14:paraId="2169905A" w14:textId="36541CEB" w:rsidR="00AE0545" w:rsidRDefault="00B241DB" w:rsidP="00936372">
      <w:pPr>
        <w:pBdr>
          <w:bottom w:val="single" w:sz="4" w:space="1" w:color="auto"/>
        </w:pBdr>
        <w:spacing w:after="240"/>
        <w:rPr>
          <w:rFonts w:cs="Arial"/>
          <w:b/>
          <w:sz w:val="20"/>
          <w:szCs w:val="20"/>
        </w:rPr>
      </w:pPr>
      <w:r>
        <w:rPr>
          <w:rFonts w:cs="Arial"/>
          <w:b/>
          <w:sz w:val="20"/>
          <w:szCs w:val="20"/>
        </w:rPr>
        <w:lastRenderedPageBreak/>
        <w:t xml:space="preserve">CBD </w:t>
      </w:r>
      <w:r w:rsidR="00AE0545" w:rsidRPr="00936372">
        <w:rPr>
          <w:rFonts w:cs="Arial"/>
          <w:b/>
          <w:sz w:val="20"/>
          <w:szCs w:val="20"/>
        </w:rPr>
        <w:t>Notification</w:t>
      </w:r>
      <w:r w:rsidR="007D3FCD">
        <w:rPr>
          <w:rFonts w:cs="Arial"/>
          <w:b/>
          <w:sz w:val="20"/>
          <w:szCs w:val="20"/>
        </w:rPr>
        <w:t xml:space="preserve">s </w:t>
      </w:r>
      <w:r w:rsidR="00AE0545" w:rsidRPr="00936372">
        <w:rPr>
          <w:rFonts w:cs="Arial"/>
          <w:b/>
          <w:sz w:val="20"/>
          <w:szCs w:val="20"/>
        </w:rPr>
        <w:t>2019-</w:t>
      </w:r>
      <w:r w:rsidR="007D3FCD">
        <w:rPr>
          <w:rFonts w:cs="Arial"/>
          <w:b/>
          <w:sz w:val="20"/>
          <w:szCs w:val="20"/>
        </w:rPr>
        <w:t>108 and 2019-115</w:t>
      </w:r>
      <w:r w:rsidR="00AE0545" w:rsidRPr="00936372">
        <w:rPr>
          <w:rFonts w:cs="Arial"/>
          <w:b/>
          <w:sz w:val="20"/>
          <w:szCs w:val="20"/>
        </w:rPr>
        <w:t xml:space="preserve"> </w:t>
      </w:r>
    </w:p>
    <w:p w14:paraId="4023100E" w14:textId="34606B3A" w:rsidR="00F106F5" w:rsidRPr="005A6F27" w:rsidRDefault="009F61E0" w:rsidP="007D3FCD">
      <w:pPr>
        <w:spacing w:after="120" w:line="240" w:lineRule="auto"/>
        <w:rPr>
          <w:rFonts w:asciiTheme="minorHAnsi" w:hAnsiTheme="minorHAnsi"/>
          <w:b/>
        </w:rPr>
      </w:pPr>
      <w:r w:rsidRPr="00B2740D">
        <w:rPr>
          <w:rFonts w:asciiTheme="minorHAnsi" w:hAnsiTheme="minorHAnsi"/>
          <w:b/>
        </w:rPr>
        <w:t>Convention on Biological Diversity (CBD) Notification</w:t>
      </w:r>
      <w:r>
        <w:rPr>
          <w:rFonts w:asciiTheme="minorHAnsi" w:hAnsiTheme="minorHAnsi"/>
          <w:b/>
        </w:rPr>
        <w:t>s</w:t>
      </w:r>
      <w:r w:rsidRPr="00B2740D">
        <w:rPr>
          <w:rFonts w:asciiTheme="minorHAnsi" w:hAnsiTheme="minorHAnsi"/>
          <w:b/>
        </w:rPr>
        <w:t xml:space="preserve"> 2019-108</w:t>
      </w:r>
      <w:r>
        <w:rPr>
          <w:rFonts w:asciiTheme="minorHAnsi" w:hAnsiTheme="minorHAnsi"/>
          <w:b/>
        </w:rPr>
        <w:t xml:space="preserve"> </w:t>
      </w:r>
      <w:r w:rsidR="007D3FCD">
        <w:rPr>
          <w:rFonts w:asciiTheme="minorHAnsi" w:hAnsiTheme="minorHAnsi"/>
          <w:b/>
        </w:rPr>
        <w:t xml:space="preserve">(ref: </w:t>
      </w:r>
      <w:r w:rsidR="005A6F27" w:rsidRPr="005A6F27">
        <w:rPr>
          <w:rFonts w:asciiTheme="minorHAnsi" w:hAnsiTheme="minorHAnsi"/>
          <w:b/>
        </w:rPr>
        <w:t>SCBD/OES/DC/KM/88539</w:t>
      </w:r>
      <w:r w:rsidR="00B241DB">
        <w:rPr>
          <w:rFonts w:asciiTheme="minorHAnsi" w:hAnsiTheme="minorHAnsi"/>
          <w:b/>
        </w:rPr>
        <w:t>)</w:t>
      </w:r>
      <w:r w:rsidR="005A6F27" w:rsidRPr="005A6F27">
        <w:rPr>
          <w:rFonts w:asciiTheme="minorHAnsi" w:hAnsiTheme="minorHAnsi"/>
          <w:b/>
        </w:rPr>
        <w:t xml:space="preserve"> </w:t>
      </w:r>
      <w:r w:rsidR="007D3FCD">
        <w:rPr>
          <w:rFonts w:asciiTheme="minorHAnsi" w:hAnsiTheme="minorHAnsi"/>
          <w:b/>
        </w:rPr>
        <w:t xml:space="preserve">of </w:t>
      </w:r>
      <w:r w:rsidR="005A6F27">
        <w:rPr>
          <w:rFonts w:asciiTheme="minorHAnsi" w:hAnsiTheme="minorHAnsi"/>
          <w:b/>
        </w:rPr>
        <w:t>3 December 2019</w:t>
      </w:r>
      <w:r w:rsidR="007D3FCD">
        <w:rPr>
          <w:rFonts w:asciiTheme="minorHAnsi" w:hAnsiTheme="minorHAnsi"/>
          <w:b/>
        </w:rPr>
        <w:t xml:space="preserve"> </w:t>
      </w:r>
      <w:r>
        <w:rPr>
          <w:rFonts w:asciiTheme="minorHAnsi" w:hAnsiTheme="minorHAnsi"/>
          <w:b/>
        </w:rPr>
        <w:t>and 2019-115</w:t>
      </w:r>
      <w:r w:rsidR="007D3FCD">
        <w:rPr>
          <w:rFonts w:asciiTheme="minorHAnsi" w:hAnsiTheme="minorHAnsi"/>
          <w:b/>
        </w:rPr>
        <w:t xml:space="preserve"> (ref: </w:t>
      </w:r>
      <w:r w:rsidR="005A6F27" w:rsidRPr="005A6F27">
        <w:rPr>
          <w:rFonts w:asciiTheme="minorHAnsi" w:hAnsiTheme="minorHAnsi"/>
          <w:b/>
        </w:rPr>
        <w:t>SCBD/OES/DC/AC/88568</w:t>
      </w:r>
      <w:r w:rsidR="00B241DB">
        <w:rPr>
          <w:rFonts w:asciiTheme="minorHAnsi" w:hAnsiTheme="minorHAnsi"/>
          <w:b/>
        </w:rPr>
        <w:t>)</w:t>
      </w:r>
      <w:r w:rsidR="005A6F27" w:rsidRPr="005A6F27">
        <w:rPr>
          <w:rFonts w:asciiTheme="minorHAnsi" w:hAnsiTheme="minorHAnsi"/>
          <w:b/>
        </w:rPr>
        <w:t xml:space="preserve"> </w:t>
      </w:r>
      <w:r w:rsidR="005A6F27">
        <w:rPr>
          <w:rFonts w:asciiTheme="minorHAnsi" w:hAnsiTheme="minorHAnsi"/>
          <w:b/>
        </w:rPr>
        <w:t>of</w:t>
      </w:r>
      <w:r w:rsidR="007D3FCD">
        <w:rPr>
          <w:rFonts w:asciiTheme="minorHAnsi" w:hAnsiTheme="minorHAnsi"/>
          <w:b/>
        </w:rPr>
        <w:t xml:space="preserve"> </w:t>
      </w:r>
      <w:r w:rsidR="005A6F27">
        <w:rPr>
          <w:rFonts w:asciiTheme="minorHAnsi" w:hAnsiTheme="minorHAnsi"/>
          <w:b/>
        </w:rPr>
        <w:t>19 December 2019</w:t>
      </w:r>
      <w:r w:rsidR="00B241DB">
        <w:rPr>
          <w:rFonts w:asciiTheme="minorHAnsi" w:hAnsiTheme="minorHAnsi"/>
          <w:b/>
        </w:rPr>
        <w:t>.</w:t>
      </w:r>
    </w:p>
    <w:p w14:paraId="2BF0AB66" w14:textId="79492238" w:rsidR="00CB6ED7" w:rsidRDefault="005B203F" w:rsidP="005B203F">
      <w:pPr>
        <w:pStyle w:val="PlainText"/>
        <w:rPr>
          <w:rFonts w:asciiTheme="minorHAnsi" w:hAnsiTheme="minorHAnsi"/>
        </w:rPr>
      </w:pPr>
      <w:r>
        <w:rPr>
          <w:rFonts w:ascii="Calibri" w:hAnsi="Calibri"/>
          <w:lang w:val="en-CA"/>
        </w:rPr>
        <w:t xml:space="preserve">Australia thanks the Secretariat for the invitation to submit views </w:t>
      </w:r>
      <w:r w:rsidR="00D3012E" w:rsidRPr="00B2740D">
        <w:rPr>
          <w:rFonts w:asciiTheme="minorHAnsi" w:hAnsiTheme="minorHAnsi"/>
        </w:rPr>
        <w:t xml:space="preserve">on possible targets, indicators and </w:t>
      </w:r>
      <w:r w:rsidR="00B241DB">
        <w:rPr>
          <w:rFonts w:asciiTheme="minorHAnsi" w:hAnsiTheme="minorHAnsi"/>
        </w:rPr>
        <w:t>baselines for the P</w:t>
      </w:r>
      <w:r w:rsidR="00D3012E" w:rsidRPr="00B2740D">
        <w:rPr>
          <w:rFonts w:asciiTheme="minorHAnsi" w:hAnsiTheme="minorHAnsi"/>
        </w:rPr>
        <w:t xml:space="preserve">ost-2020 </w:t>
      </w:r>
      <w:r w:rsidR="00B241DB">
        <w:rPr>
          <w:rFonts w:asciiTheme="minorHAnsi" w:hAnsiTheme="minorHAnsi"/>
        </w:rPr>
        <w:t>Global B</w:t>
      </w:r>
      <w:r w:rsidR="00D3012E" w:rsidRPr="00B2740D">
        <w:rPr>
          <w:rFonts w:asciiTheme="minorHAnsi" w:hAnsiTheme="minorHAnsi"/>
        </w:rPr>
        <w:t xml:space="preserve">iodiversity </w:t>
      </w:r>
      <w:r w:rsidR="00B241DB">
        <w:rPr>
          <w:rFonts w:asciiTheme="minorHAnsi" w:hAnsiTheme="minorHAnsi"/>
        </w:rPr>
        <w:t>F</w:t>
      </w:r>
      <w:r w:rsidR="00D3012E" w:rsidRPr="00B2740D">
        <w:rPr>
          <w:rFonts w:asciiTheme="minorHAnsi" w:hAnsiTheme="minorHAnsi"/>
        </w:rPr>
        <w:t>ramework</w:t>
      </w:r>
      <w:r w:rsidR="00B241DB">
        <w:rPr>
          <w:rFonts w:asciiTheme="minorHAnsi" w:hAnsiTheme="minorHAnsi"/>
        </w:rPr>
        <w:t xml:space="preserve">, </w:t>
      </w:r>
      <w:r>
        <w:rPr>
          <w:rFonts w:ascii="Calibri" w:hAnsi="Calibri"/>
          <w:lang w:val="en-CA"/>
        </w:rPr>
        <w:t>as communicated in Notification 2019-</w:t>
      </w:r>
      <w:r w:rsidR="00D3012E">
        <w:rPr>
          <w:rFonts w:ascii="Calibri" w:hAnsi="Calibri"/>
          <w:lang w:val="en-CA"/>
        </w:rPr>
        <w:t>108</w:t>
      </w:r>
      <w:r w:rsidR="00250ACE">
        <w:rPr>
          <w:rFonts w:ascii="Calibri" w:hAnsi="Calibri"/>
          <w:lang w:val="en-CA"/>
        </w:rPr>
        <w:t>,</w:t>
      </w:r>
      <w:r w:rsidR="00D3012E">
        <w:rPr>
          <w:rFonts w:ascii="Calibri" w:hAnsi="Calibri"/>
          <w:lang w:val="en-CA"/>
        </w:rPr>
        <w:t xml:space="preserve"> and views on </w:t>
      </w:r>
      <w:r w:rsidR="00D3012E">
        <w:rPr>
          <w:rFonts w:asciiTheme="minorHAnsi" w:hAnsiTheme="minorHAnsi"/>
        </w:rPr>
        <w:t xml:space="preserve">possible targets and indicators for </w:t>
      </w:r>
      <w:r w:rsidR="00D3012E" w:rsidRPr="00B2740D">
        <w:rPr>
          <w:rFonts w:asciiTheme="minorHAnsi" w:hAnsiTheme="minorHAnsi"/>
        </w:rPr>
        <w:t xml:space="preserve">the </w:t>
      </w:r>
      <w:r w:rsidR="00B241DB">
        <w:rPr>
          <w:rFonts w:asciiTheme="minorHAnsi" w:hAnsiTheme="minorHAnsi"/>
        </w:rPr>
        <w:t>P</w:t>
      </w:r>
      <w:r w:rsidR="00B241DB" w:rsidRPr="00B2740D">
        <w:rPr>
          <w:rFonts w:asciiTheme="minorHAnsi" w:hAnsiTheme="minorHAnsi"/>
        </w:rPr>
        <w:t xml:space="preserve">ost-2020 </w:t>
      </w:r>
      <w:r w:rsidR="00B241DB">
        <w:rPr>
          <w:rFonts w:asciiTheme="minorHAnsi" w:hAnsiTheme="minorHAnsi"/>
        </w:rPr>
        <w:t>Global B</w:t>
      </w:r>
      <w:r w:rsidR="00B241DB" w:rsidRPr="00B2740D">
        <w:rPr>
          <w:rFonts w:asciiTheme="minorHAnsi" w:hAnsiTheme="minorHAnsi"/>
        </w:rPr>
        <w:t xml:space="preserve">iodiversity </w:t>
      </w:r>
      <w:r w:rsidR="00B241DB">
        <w:rPr>
          <w:rFonts w:asciiTheme="minorHAnsi" w:hAnsiTheme="minorHAnsi"/>
        </w:rPr>
        <w:t>F</w:t>
      </w:r>
      <w:r w:rsidR="00B241DB" w:rsidRPr="00B2740D">
        <w:rPr>
          <w:rFonts w:asciiTheme="minorHAnsi" w:hAnsiTheme="minorHAnsi"/>
        </w:rPr>
        <w:t>ramework</w:t>
      </w:r>
      <w:r w:rsidR="00B241DB">
        <w:rPr>
          <w:rFonts w:asciiTheme="minorHAnsi" w:hAnsiTheme="minorHAnsi"/>
        </w:rPr>
        <w:t xml:space="preserve"> </w:t>
      </w:r>
      <w:r w:rsidR="00D3012E">
        <w:rPr>
          <w:rFonts w:asciiTheme="minorHAnsi" w:hAnsiTheme="minorHAnsi"/>
        </w:rPr>
        <w:t xml:space="preserve">related to the interlinkages and interdependencies between biodiversity and climate change, as communicated in Notification 2019-115. </w:t>
      </w:r>
    </w:p>
    <w:p w14:paraId="63C889F3" w14:textId="77777777" w:rsidR="00CB6ED7" w:rsidRDefault="00CB6ED7" w:rsidP="005B203F">
      <w:pPr>
        <w:pStyle w:val="PlainText"/>
        <w:rPr>
          <w:rFonts w:asciiTheme="minorHAnsi" w:hAnsiTheme="minorHAnsi"/>
        </w:rPr>
      </w:pPr>
    </w:p>
    <w:p w14:paraId="2169905B" w14:textId="5CAFCD7F" w:rsidR="00AE0545" w:rsidRDefault="00D3012E" w:rsidP="005B203F">
      <w:pPr>
        <w:pStyle w:val="PlainText"/>
        <w:rPr>
          <w:rFonts w:asciiTheme="minorHAnsi" w:hAnsiTheme="minorHAnsi"/>
        </w:rPr>
      </w:pPr>
      <w:r>
        <w:rPr>
          <w:rFonts w:asciiTheme="minorHAnsi" w:hAnsiTheme="minorHAnsi"/>
        </w:rPr>
        <w:t xml:space="preserve">Australia’s views in response to both Notifications have been combined into </w:t>
      </w:r>
      <w:r w:rsidR="00B241DB">
        <w:rPr>
          <w:rFonts w:asciiTheme="minorHAnsi" w:hAnsiTheme="minorHAnsi"/>
        </w:rPr>
        <w:t xml:space="preserve">this </w:t>
      </w:r>
      <w:r>
        <w:rPr>
          <w:rFonts w:asciiTheme="minorHAnsi" w:hAnsiTheme="minorHAnsi"/>
        </w:rPr>
        <w:t xml:space="preserve">one submission. </w:t>
      </w:r>
      <w:r w:rsidR="00250ACE">
        <w:rPr>
          <w:rFonts w:asciiTheme="minorHAnsi" w:hAnsiTheme="minorHAnsi"/>
        </w:rPr>
        <w:t xml:space="preserve">We look forward to discussing </w:t>
      </w:r>
      <w:r w:rsidR="00CB6ED7">
        <w:rPr>
          <w:rFonts w:asciiTheme="minorHAnsi" w:hAnsiTheme="minorHAnsi"/>
        </w:rPr>
        <w:t>our views further</w:t>
      </w:r>
      <w:r w:rsidR="00C06178">
        <w:rPr>
          <w:rFonts w:asciiTheme="minorHAnsi" w:hAnsiTheme="minorHAnsi"/>
        </w:rPr>
        <w:t xml:space="preserve"> and in more detail </w:t>
      </w:r>
      <w:r w:rsidR="00250ACE">
        <w:rPr>
          <w:rFonts w:asciiTheme="minorHAnsi" w:hAnsiTheme="minorHAnsi"/>
        </w:rPr>
        <w:t xml:space="preserve">with all Parties and interested stakeholders at the </w:t>
      </w:r>
      <w:r w:rsidR="00CB6ED7">
        <w:rPr>
          <w:rFonts w:asciiTheme="minorHAnsi" w:hAnsiTheme="minorHAnsi"/>
        </w:rPr>
        <w:t xml:space="preserve">upcoming meetings of the Open-Ended Working Group, the Subsidiary Body on Scientific, Technical and Technological Advice and the Subsidiary Body on Implementation. </w:t>
      </w:r>
      <w:r w:rsidR="00250ACE">
        <w:rPr>
          <w:rFonts w:asciiTheme="minorHAnsi" w:hAnsiTheme="minorHAnsi"/>
        </w:rPr>
        <w:t xml:space="preserve"> </w:t>
      </w:r>
    </w:p>
    <w:p w14:paraId="6B777033" w14:textId="77777777" w:rsidR="00D3012E" w:rsidRDefault="00D3012E" w:rsidP="005B203F">
      <w:pPr>
        <w:pStyle w:val="PlainText"/>
        <w:rPr>
          <w:lang w:val="en-CA"/>
        </w:rPr>
      </w:pPr>
    </w:p>
    <w:p w14:paraId="48067526" w14:textId="529E7371" w:rsidR="00FB7AB4" w:rsidRDefault="00A70245" w:rsidP="00F106F5">
      <w:pPr>
        <w:pStyle w:val="PlainText"/>
        <w:rPr>
          <w:rFonts w:ascii="Calibri" w:hAnsi="Calibri"/>
          <w:b/>
          <w:lang w:val="en-CA"/>
        </w:rPr>
      </w:pPr>
      <w:r>
        <w:rPr>
          <w:rFonts w:ascii="Calibri" w:hAnsi="Calibri"/>
          <w:b/>
          <w:lang w:val="en-CA"/>
        </w:rPr>
        <w:t xml:space="preserve">Possible </w:t>
      </w:r>
      <w:r w:rsidR="008516EA">
        <w:rPr>
          <w:rFonts w:ascii="Calibri" w:hAnsi="Calibri"/>
          <w:b/>
          <w:lang w:val="en-CA"/>
        </w:rPr>
        <w:t>Targets</w:t>
      </w:r>
    </w:p>
    <w:p w14:paraId="08E742C3" w14:textId="77777777" w:rsidR="004D7750" w:rsidRDefault="004D7750" w:rsidP="00F106F5">
      <w:pPr>
        <w:pStyle w:val="PlainText"/>
        <w:rPr>
          <w:rFonts w:ascii="Calibri" w:hAnsi="Calibri"/>
          <w:lang w:val="en-CA"/>
        </w:rPr>
      </w:pPr>
    </w:p>
    <w:p w14:paraId="23BF983E" w14:textId="19B727B8" w:rsidR="00A70245" w:rsidRDefault="007041AE" w:rsidP="009F61E0">
      <w:pPr>
        <w:rPr>
          <w:rFonts w:asciiTheme="minorHAnsi" w:hAnsiTheme="minorHAnsi"/>
        </w:rPr>
      </w:pPr>
      <w:r>
        <w:rPr>
          <w:rFonts w:asciiTheme="minorHAnsi" w:hAnsiTheme="minorHAnsi"/>
        </w:rPr>
        <w:t>In</w:t>
      </w:r>
      <w:r w:rsidR="00A70245">
        <w:rPr>
          <w:rFonts w:asciiTheme="minorHAnsi" w:hAnsiTheme="minorHAnsi"/>
        </w:rPr>
        <w:t xml:space="preserve"> developing the </w:t>
      </w:r>
      <w:r>
        <w:rPr>
          <w:rFonts w:asciiTheme="minorHAnsi" w:hAnsiTheme="minorHAnsi"/>
        </w:rPr>
        <w:t xml:space="preserve">Post-2020 </w:t>
      </w:r>
      <w:r w:rsidR="00A70245">
        <w:rPr>
          <w:rFonts w:asciiTheme="minorHAnsi" w:hAnsiTheme="minorHAnsi"/>
        </w:rPr>
        <w:t xml:space="preserve">Global Biodiversity Framework (GBF), Australia has consistently </w:t>
      </w:r>
      <w:r w:rsidR="00B478EC">
        <w:rPr>
          <w:rFonts w:asciiTheme="minorHAnsi" w:hAnsiTheme="minorHAnsi"/>
        </w:rPr>
        <w:t xml:space="preserve">advocated for and supported the following: </w:t>
      </w:r>
    </w:p>
    <w:p w14:paraId="4E6F8ACB" w14:textId="21ECDBDF" w:rsidR="006C3A85" w:rsidRDefault="007041AE" w:rsidP="00B478EC">
      <w:pPr>
        <w:pStyle w:val="ListBullet"/>
        <w:numPr>
          <w:ilvl w:val="0"/>
          <w:numId w:val="8"/>
        </w:numPr>
      </w:pPr>
      <w:r>
        <w:t xml:space="preserve">The </w:t>
      </w:r>
      <w:r w:rsidR="006C3A85">
        <w:t>Aichi targets</w:t>
      </w:r>
      <w:r>
        <w:t xml:space="preserve"> are still in many cases relevant. While they are </w:t>
      </w:r>
      <w:r w:rsidR="006C3A85">
        <w:t xml:space="preserve">not perfect, </w:t>
      </w:r>
      <w:r>
        <w:t xml:space="preserve">many targets </w:t>
      </w:r>
      <w:r w:rsidR="006C3A85">
        <w:t>have positive</w:t>
      </w:r>
      <w:r>
        <w:t xml:space="preserve"> and relevant</w:t>
      </w:r>
      <w:r w:rsidR="006C3A85">
        <w:t xml:space="preserve"> aspects </w:t>
      </w:r>
      <w:r>
        <w:t xml:space="preserve">so they </w:t>
      </w:r>
      <w:r w:rsidR="006C3A85">
        <w:t xml:space="preserve">should not </w:t>
      </w:r>
      <w:r w:rsidR="00F83DE2">
        <w:t xml:space="preserve">simply </w:t>
      </w:r>
      <w:r w:rsidR="006C3A85">
        <w:t>be thrown out</w:t>
      </w:r>
      <w:r>
        <w:t xml:space="preserve"> or overridden. In</w:t>
      </w:r>
      <w:r w:rsidR="006C3A85">
        <w:t xml:space="preserve">stead, they should be built </w:t>
      </w:r>
      <w:r>
        <w:t>up</w:t>
      </w:r>
      <w:r w:rsidR="006C3A85">
        <w:t xml:space="preserve">on and learned from. </w:t>
      </w:r>
      <w:r>
        <w:t>Australian acknowledges t</w:t>
      </w:r>
      <w:r w:rsidR="006C3A85">
        <w:t xml:space="preserve">here are aspects of the Aichi targets that require further articulation or definition, some </w:t>
      </w:r>
      <w:r>
        <w:t xml:space="preserve">targets </w:t>
      </w:r>
      <w:r w:rsidR="006C3A85">
        <w:t xml:space="preserve">need to be taken further and emphasised, and some issues relating to biodiversity loss are not accounted for at all. For example, </w:t>
      </w:r>
      <w:r>
        <w:t>Australia supports a stronger</w:t>
      </w:r>
      <w:r w:rsidR="006C3A85">
        <w:t xml:space="preserve"> focus </w:t>
      </w:r>
      <w:r>
        <w:t xml:space="preserve">going forward </w:t>
      </w:r>
      <w:r w:rsidR="006C3A85">
        <w:t xml:space="preserve">on the </w:t>
      </w:r>
      <w:r>
        <w:t xml:space="preserve">effective </w:t>
      </w:r>
      <w:r w:rsidR="006C3A85">
        <w:t xml:space="preserve">management </w:t>
      </w:r>
      <w:r>
        <w:t xml:space="preserve">of terrestrial and marine areas, </w:t>
      </w:r>
      <w:r w:rsidR="006C3A85">
        <w:t xml:space="preserve">and we </w:t>
      </w:r>
      <w:r>
        <w:t xml:space="preserve">believe the GBF </w:t>
      </w:r>
      <w:r w:rsidR="006C3A85">
        <w:t xml:space="preserve">should strengthen </w:t>
      </w:r>
      <w:r>
        <w:t xml:space="preserve">the </w:t>
      </w:r>
      <w:r w:rsidR="006C3A85">
        <w:t>recognition of</w:t>
      </w:r>
      <w:r>
        <w:t xml:space="preserve"> the contributions of </w:t>
      </w:r>
      <w:r w:rsidR="006C3A85">
        <w:t xml:space="preserve">Indigenous Peoples and Local Communities </w:t>
      </w:r>
      <w:r>
        <w:t xml:space="preserve">(IPLCs) </w:t>
      </w:r>
      <w:r w:rsidR="006C3A85">
        <w:t xml:space="preserve">to the protection, conservation and sustainable use of biodiversity. </w:t>
      </w:r>
    </w:p>
    <w:p w14:paraId="4DE256D4" w14:textId="792A986E" w:rsidR="00C509C9" w:rsidRDefault="00DB4189" w:rsidP="00B478EC">
      <w:pPr>
        <w:pStyle w:val="ListBullet"/>
        <w:numPr>
          <w:ilvl w:val="0"/>
          <w:numId w:val="8"/>
        </w:numPr>
      </w:pPr>
      <w:r w:rsidRPr="00CB6ED7">
        <w:t>Where possible</w:t>
      </w:r>
      <w:r w:rsidR="007041AE">
        <w:t>,</w:t>
      </w:r>
      <w:r w:rsidR="00C509C9">
        <w:t xml:space="preserve"> </w:t>
      </w:r>
      <w:r w:rsidR="007041AE">
        <w:t>the GBF should</w:t>
      </w:r>
      <w:r w:rsidR="00C509C9">
        <w:t xml:space="preserve"> use</w:t>
      </w:r>
      <w:r w:rsidRPr="00CB6ED7">
        <w:t xml:space="preserve"> </w:t>
      </w:r>
      <w:r w:rsidR="00F57CA3" w:rsidRPr="00CB6ED7">
        <w:t>unambi</w:t>
      </w:r>
      <w:r w:rsidR="00F57CA3">
        <w:t xml:space="preserve">guous terms, </w:t>
      </w:r>
      <w:r w:rsidRPr="00CB6ED7">
        <w:t xml:space="preserve">terms </w:t>
      </w:r>
      <w:r w:rsidR="00F57CA3">
        <w:t>with</w:t>
      </w:r>
      <w:r w:rsidR="00C509C9">
        <w:t xml:space="preserve"> established definitions </w:t>
      </w:r>
      <w:r w:rsidR="00FE3E2D">
        <w:t xml:space="preserve">and </w:t>
      </w:r>
      <w:r w:rsidR="00F57CA3">
        <w:t xml:space="preserve">use </w:t>
      </w:r>
      <w:r w:rsidR="00FE3E2D">
        <w:t>existing agreed indicators</w:t>
      </w:r>
      <w:r w:rsidR="00F57CA3">
        <w:t xml:space="preserve"> against relevant targets</w:t>
      </w:r>
      <w:r w:rsidR="00B478EC">
        <w:t xml:space="preserve">. Where new or </w:t>
      </w:r>
      <w:r w:rsidR="00F57CA3">
        <w:t xml:space="preserve">potentially </w:t>
      </w:r>
      <w:r w:rsidR="00B478EC">
        <w:t>ambiguous terms</w:t>
      </w:r>
      <w:r w:rsidR="00F57CA3">
        <w:t xml:space="preserve"> are needed</w:t>
      </w:r>
      <w:r w:rsidR="00B478EC">
        <w:t>, supporting guidance should be provided and agreed</w:t>
      </w:r>
      <w:r w:rsidR="00FE3E2D">
        <w:t xml:space="preserve"> to ensure collective understanding and buy</w:t>
      </w:r>
      <w:r w:rsidR="007041AE">
        <w:t>-</w:t>
      </w:r>
      <w:r w:rsidR="00FE3E2D">
        <w:t>in</w:t>
      </w:r>
      <w:r w:rsidR="00B478EC">
        <w:t xml:space="preserve">. </w:t>
      </w:r>
      <w:r w:rsidR="00C509C9">
        <w:t xml:space="preserve"> </w:t>
      </w:r>
    </w:p>
    <w:p w14:paraId="256D4E62" w14:textId="47A7D208" w:rsidR="00E7665E" w:rsidRDefault="00077703" w:rsidP="00B478EC">
      <w:pPr>
        <w:pStyle w:val="ListBullet"/>
        <w:numPr>
          <w:ilvl w:val="0"/>
          <w:numId w:val="8"/>
        </w:numPr>
      </w:pPr>
      <w:r>
        <w:t>Also w</w:t>
      </w:r>
      <w:r w:rsidR="00B478EC">
        <w:t xml:space="preserve">here possible, </w:t>
      </w:r>
      <w:r w:rsidR="007041AE">
        <w:t xml:space="preserve">new </w:t>
      </w:r>
      <w:r w:rsidR="00B478EC">
        <w:t xml:space="preserve">targets should be </w:t>
      </w:r>
      <w:r w:rsidR="00E7665E" w:rsidRPr="00CB6ED7">
        <w:t xml:space="preserve">SMART </w:t>
      </w:r>
      <w:r w:rsidR="00B478EC">
        <w:t xml:space="preserve">and concepts agreed should be </w:t>
      </w:r>
      <w:r w:rsidR="00925665">
        <w:t>measurable</w:t>
      </w:r>
      <w:r w:rsidR="00B478EC">
        <w:t xml:space="preserve">. However, we also acknowledge </w:t>
      </w:r>
      <w:r w:rsidR="007041AE">
        <w:t>that</w:t>
      </w:r>
      <w:r w:rsidR="00B478EC">
        <w:t xml:space="preserve"> </w:t>
      </w:r>
      <w:r w:rsidR="00E7665E" w:rsidRPr="00CB6ED7">
        <w:t>qualitative elements</w:t>
      </w:r>
      <w:r w:rsidR="007041AE">
        <w:t>,</w:t>
      </w:r>
      <w:r w:rsidR="00E7665E" w:rsidRPr="00CB6ED7">
        <w:t xml:space="preserve"> </w:t>
      </w:r>
      <w:r w:rsidR="007041AE">
        <w:t xml:space="preserve">not </w:t>
      </w:r>
      <w:r w:rsidR="00B478EC">
        <w:t>as easily measured but still valuable in the pursuit of addressing the drivers of biodiversity loss</w:t>
      </w:r>
      <w:r w:rsidR="007041AE">
        <w:t>, should not be dismissed.</w:t>
      </w:r>
    </w:p>
    <w:p w14:paraId="48DDC655" w14:textId="3FD3D598" w:rsidR="00D16112" w:rsidRDefault="00D16112" w:rsidP="00B478EC">
      <w:pPr>
        <w:pStyle w:val="ListBullet"/>
        <w:numPr>
          <w:ilvl w:val="0"/>
          <w:numId w:val="8"/>
        </w:numPr>
      </w:pPr>
      <w:r>
        <w:t xml:space="preserve">The </w:t>
      </w:r>
      <w:r w:rsidR="00077703">
        <w:t>GBF</w:t>
      </w:r>
      <w:r>
        <w:t xml:space="preserve">, including its goals and targets, should be accessible to all actors. </w:t>
      </w:r>
      <w:r w:rsidR="00077703">
        <w:t>I</w:t>
      </w:r>
      <w:r>
        <w:t>ndividual</w:t>
      </w:r>
      <w:r w:rsidR="00077703">
        <w:t>s, organisations</w:t>
      </w:r>
      <w:r>
        <w:t>, business</w:t>
      </w:r>
      <w:r w:rsidR="00077703">
        <w:t>es</w:t>
      </w:r>
      <w:r>
        <w:t xml:space="preserve"> and stakeholders </w:t>
      </w:r>
      <w:r w:rsidR="00077703">
        <w:t>need to be</w:t>
      </w:r>
      <w:r>
        <w:t xml:space="preserve"> able to contribute to the achievement of the goals and targets, as opposed to an approach that is too high level and government</w:t>
      </w:r>
      <w:r w:rsidR="00077703">
        <w:t>-action orientated</w:t>
      </w:r>
      <w:r>
        <w:t xml:space="preserve">. So much good work happens at the grass roots level and individuals are becoming more knowledgeable and passionate about the conservation and protection of our environment. The GBF should acknowledge this and allow all people to both see themselves and their actions in the framework and </w:t>
      </w:r>
      <w:r w:rsidR="00077703">
        <w:t xml:space="preserve">also enable them to </w:t>
      </w:r>
      <w:r w:rsidR="00427137">
        <w:t xml:space="preserve">contribute to it. </w:t>
      </w:r>
    </w:p>
    <w:p w14:paraId="7A69D06E" w14:textId="1C3191A3" w:rsidR="00DB0A76" w:rsidRDefault="00427137" w:rsidP="00B478EC">
      <w:pPr>
        <w:pStyle w:val="ListBullet"/>
        <w:numPr>
          <w:ilvl w:val="0"/>
          <w:numId w:val="8"/>
        </w:numPr>
      </w:pPr>
      <w:r>
        <w:lastRenderedPageBreak/>
        <w:t>A critical aspect of the GBF</w:t>
      </w:r>
      <w:r w:rsidR="00DB0A76">
        <w:t xml:space="preserve"> being accessible and applicable to all actors is the need for the </w:t>
      </w:r>
      <w:r>
        <w:t>framework</w:t>
      </w:r>
      <w:r w:rsidR="00DB0A76">
        <w:t xml:space="preserve"> to be easily understood and </w:t>
      </w:r>
      <w:r w:rsidR="00E34E69">
        <w:t>communicable</w:t>
      </w:r>
      <w:r w:rsidR="00DB0A76">
        <w:t xml:space="preserve">, and </w:t>
      </w:r>
      <w:r w:rsidR="00E34E69">
        <w:t xml:space="preserve">the </w:t>
      </w:r>
      <w:r>
        <w:t xml:space="preserve">parallel </w:t>
      </w:r>
      <w:r w:rsidR="00E34E69">
        <w:t xml:space="preserve">need for improvements in education </w:t>
      </w:r>
      <w:r w:rsidR="00392933">
        <w:t>regarding t</w:t>
      </w:r>
      <w:r w:rsidR="00E34E69">
        <w:t xml:space="preserve">he importance of biodiversity. </w:t>
      </w:r>
    </w:p>
    <w:p w14:paraId="40F6CF51" w14:textId="7BA2AC84" w:rsidR="00636B4E" w:rsidRPr="00CB6ED7" w:rsidRDefault="00427137" w:rsidP="00B478EC">
      <w:pPr>
        <w:pStyle w:val="ListBullet"/>
        <w:numPr>
          <w:ilvl w:val="0"/>
          <w:numId w:val="8"/>
        </w:numPr>
      </w:pPr>
      <w:r>
        <w:t xml:space="preserve">We support a more equitable </w:t>
      </w:r>
      <w:r w:rsidR="00636B4E">
        <w:t>focus under the GBF on all three components of the CBD. Sustainable use considerations will be critical going forward</w:t>
      </w:r>
      <w:r>
        <w:t xml:space="preserve">, alongside the protection and conservation of biodiversity. </w:t>
      </w:r>
      <w:r w:rsidR="00636B4E">
        <w:t xml:space="preserve"> </w:t>
      </w:r>
    </w:p>
    <w:p w14:paraId="6FEDDFFA" w14:textId="18D333C4" w:rsidR="00E218B8" w:rsidRDefault="0013400A" w:rsidP="009F61E0">
      <w:pPr>
        <w:rPr>
          <w:rFonts w:asciiTheme="minorHAnsi" w:hAnsiTheme="minorHAnsi"/>
        </w:rPr>
      </w:pPr>
      <w:r>
        <w:rPr>
          <w:rFonts w:asciiTheme="minorHAnsi" w:hAnsiTheme="minorHAnsi"/>
        </w:rPr>
        <w:t xml:space="preserve">In addition to these fundamental aspects of </w:t>
      </w:r>
      <w:r w:rsidR="00E548F7">
        <w:rPr>
          <w:rFonts w:asciiTheme="minorHAnsi" w:hAnsiTheme="minorHAnsi"/>
        </w:rPr>
        <w:t xml:space="preserve">the GBF, </w:t>
      </w:r>
      <w:r>
        <w:rPr>
          <w:rFonts w:asciiTheme="minorHAnsi" w:hAnsiTheme="minorHAnsi"/>
        </w:rPr>
        <w:t xml:space="preserve">we also support </w:t>
      </w:r>
      <w:r w:rsidR="00E548F7">
        <w:rPr>
          <w:rFonts w:asciiTheme="minorHAnsi" w:hAnsiTheme="minorHAnsi"/>
        </w:rPr>
        <w:t xml:space="preserve">a </w:t>
      </w:r>
      <w:r>
        <w:rPr>
          <w:rFonts w:asciiTheme="minorHAnsi" w:hAnsiTheme="minorHAnsi"/>
        </w:rPr>
        <w:t xml:space="preserve">stronger representation of IPLCs </w:t>
      </w:r>
      <w:r w:rsidR="00E548F7">
        <w:rPr>
          <w:rFonts w:asciiTheme="minorHAnsi" w:hAnsiTheme="minorHAnsi"/>
        </w:rPr>
        <w:t>and a more gender responsive framework</w:t>
      </w:r>
      <w:r>
        <w:rPr>
          <w:rFonts w:asciiTheme="minorHAnsi" w:hAnsiTheme="minorHAnsi"/>
        </w:rPr>
        <w:t>.</w:t>
      </w:r>
      <w:r w:rsidR="00622506">
        <w:rPr>
          <w:rFonts w:asciiTheme="minorHAnsi" w:hAnsiTheme="minorHAnsi"/>
        </w:rPr>
        <w:t xml:space="preserve"> </w:t>
      </w:r>
    </w:p>
    <w:p w14:paraId="765A672B" w14:textId="1C54E742" w:rsidR="008516EA" w:rsidRDefault="00D07E4A" w:rsidP="000343A2">
      <w:pPr>
        <w:pStyle w:val="ListBullet"/>
        <w:numPr>
          <w:ilvl w:val="0"/>
          <w:numId w:val="8"/>
        </w:numPr>
      </w:pPr>
      <w:r>
        <w:t>Australia would like to see IPLCs better</w:t>
      </w:r>
      <w:r w:rsidR="004D7750" w:rsidRPr="000343A2">
        <w:t xml:space="preserve"> reflected</w:t>
      </w:r>
      <w:r>
        <w:t xml:space="preserve"> and acknowledged, </w:t>
      </w:r>
      <w:r w:rsidR="004D7750" w:rsidRPr="000343A2">
        <w:t xml:space="preserve">not only in the goals and targets but also in </w:t>
      </w:r>
      <w:r>
        <w:t xml:space="preserve">any </w:t>
      </w:r>
      <w:r w:rsidR="004D7750" w:rsidRPr="000343A2">
        <w:t>overarching principles and enabling conditions</w:t>
      </w:r>
      <w:r w:rsidR="008D17B0" w:rsidRPr="000343A2">
        <w:t xml:space="preserve"> of the GBF</w:t>
      </w:r>
      <w:r w:rsidR="004D7750" w:rsidRPr="000343A2">
        <w:t xml:space="preserve">. </w:t>
      </w:r>
      <w:r>
        <w:t xml:space="preserve">The important </w:t>
      </w:r>
      <w:r w:rsidR="008D17B0" w:rsidRPr="000343A2">
        <w:t>contributions</w:t>
      </w:r>
      <w:r>
        <w:t xml:space="preserve"> of IPLCs and traditional knowledge and practices</w:t>
      </w:r>
      <w:r w:rsidR="008D17B0" w:rsidRPr="000343A2">
        <w:t xml:space="preserve"> to the protection, conservation and sustainable use of biodiversity should be appropriately reflected. This </w:t>
      </w:r>
      <w:r>
        <w:t xml:space="preserve">clear recognition </w:t>
      </w:r>
      <w:r w:rsidR="008D17B0" w:rsidRPr="000343A2">
        <w:t xml:space="preserve">will also </w:t>
      </w:r>
      <w:r w:rsidR="004D7750" w:rsidRPr="000343A2">
        <w:t xml:space="preserve">enable an appropriate work programme </w:t>
      </w:r>
      <w:r w:rsidR="008D17B0" w:rsidRPr="000343A2">
        <w:t xml:space="preserve">to be agreed and progressed under the broader Convention and Article 8(j) </w:t>
      </w:r>
      <w:r w:rsidR="004D7750" w:rsidRPr="000343A2">
        <w:t>over the next ten years</w:t>
      </w:r>
      <w:r w:rsidR="008D17B0" w:rsidRPr="000343A2">
        <w:t>.</w:t>
      </w:r>
    </w:p>
    <w:p w14:paraId="266C877A" w14:textId="77777777" w:rsidR="00D07E4A" w:rsidRPr="000343A2" w:rsidRDefault="00D07E4A" w:rsidP="00D07E4A">
      <w:pPr>
        <w:pStyle w:val="ListBullet"/>
        <w:numPr>
          <w:ilvl w:val="0"/>
          <w:numId w:val="8"/>
        </w:numPr>
      </w:pPr>
      <w:r>
        <w:t>Recognising that</w:t>
      </w:r>
      <w:r w:rsidRPr="000343A2">
        <w:t xml:space="preserve"> IPLCs spent two days ahead of the eleventh meeting of the Working Group on Article 8(j) (WG8(j)-11) in a workshop on </w:t>
      </w:r>
      <w:r>
        <w:t>“</w:t>
      </w:r>
      <w:r w:rsidRPr="000343A2">
        <w:t>IPLCs and the post-2020 framework</w:t>
      </w:r>
      <w:r>
        <w:t>” we are still of the firm view that the outcomes of this meeting and the views expressed by IPLCs need to be considered in the discussions on the GBF</w:t>
      </w:r>
      <w:r w:rsidRPr="000343A2">
        <w:t xml:space="preserve">. The workshops outcomes were provided to Parties and consist of proposed goals, targets and indicators that are of relevance and importance to IPLCs. We advocated for the outcomes of this meeting to be considered by the Co-Chairs in the development of the zero draft of the GBF and this was reflected in the outcomes of the WG8(j)-11 meeting. We again wish to reiterate the need to fully consider and include, as appropriate, the proposals of IPLCs within this process. </w:t>
      </w:r>
    </w:p>
    <w:p w14:paraId="069209F2" w14:textId="00388E4C" w:rsidR="00853C70" w:rsidRPr="000343A2" w:rsidRDefault="008D17B0" w:rsidP="000343A2">
      <w:pPr>
        <w:pStyle w:val="ListBullet"/>
        <w:numPr>
          <w:ilvl w:val="0"/>
          <w:numId w:val="8"/>
        </w:numPr>
      </w:pPr>
      <w:r w:rsidRPr="000343A2">
        <w:t>We should also be working to ensure</w:t>
      </w:r>
      <w:r w:rsidR="00853C70" w:rsidRPr="000343A2">
        <w:t xml:space="preserve"> diverse </w:t>
      </w:r>
      <w:r w:rsidRPr="000343A2">
        <w:t xml:space="preserve">participation and </w:t>
      </w:r>
      <w:r w:rsidR="00853C70" w:rsidRPr="000343A2">
        <w:t xml:space="preserve">representation of </w:t>
      </w:r>
      <w:r w:rsidRPr="000343A2">
        <w:t>IPLCs</w:t>
      </w:r>
      <w:r w:rsidR="00853C70" w:rsidRPr="000343A2">
        <w:t>, including women and girls, youth, and elders (as appropriate) in decision-making related to the conservation and sustainable use of biodiversity, informing equitable representation and rights that acknowledg</w:t>
      </w:r>
      <w:r w:rsidR="0013400A" w:rsidRPr="000343A2">
        <w:t xml:space="preserve">es intergenerational inequality. This may in fact form part of a target or </w:t>
      </w:r>
      <w:r w:rsidR="00D07E4A">
        <w:t xml:space="preserve">a broad </w:t>
      </w:r>
      <w:r w:rsidR="0013400A" w:rsidRPr="000343A2">
        <w:t xml:space="preserve">principle of the GBF. </w:t>
      </w:r>
    </w:p>
    <w:p w14:paraId="3FFA7D91" w14:textId="2B821B4C" w:rsidR="00925378" w:rsidRPr="000343A2" w:rsidRDefault="00925378" w:rsidP="000343A2">
      <w:pPr>
        <w:pStyle w:val="ListBullet"/>
        <w:numPr>
          <w:ilvl w:val="0"/>
          <w:numId w:val="8"/>
        </w:numPr>
      </w:pPr>
      <w:r w:rsidRPr="000343A2">
        <w:t xml:space="preserve">The CBD is a leader in the UN system regarding IPLCs and this must be maintained and enhanced. </w:t>
      </w:r>
      <w:r w:rsidR="00E53ABC" w:rsidRPr="000343A2">
        <w:t xml:space="preserve">The CBD should strive to </w:t>
      </w:r>
      <w:r w:rsidR="00522442" w:rsidRPr="000343A2">
        <w:t xml:space="preserve">continue to be a leader </w:t>
      </w:r>
      <w:r w:rsidR="00E53ABC" w:rsidRPr="000343A2">
        <w:t>in this space</w:t>
      </w:r>
      <w:r w:rsidR="00DA722E">
        <w:t xml:space="preserve"> under the GBF</w:t>
      </w:r>
      <w:r w:rsidR="00D07E4A">
        <w:t>.</w:t>
      </w:r>
    </w:p>
    <w:p w14:paraId="06B84570" w14:textId="16D7102B" w:rsidR="00707A0D" w:rsidRPr="00E55526" w:rsidRDefault="00707A0D" w:rsidP="00E55526">
      <w:pPr>
        <w:pStyle w:val="ListBullet"/>
        <w:numPr>
          <w:ilvl w:val="0"/>
          <w:numId w:val="8"/>
        </w:numPr>
      </w:pPr>
      <w:r w:rsidRPr="00E55526">
        <w:t xml:space="preserve">Australia is also strongly supportive of </w:t>
      </w:r>
      <w:r w:rsidR="00F71342" w:rsidRPr="00E55526">
        <w:t xml:space="preserve">a more gender responsive GBF which should include explicit recognition of </w:t>
      </w:r>
      <w:r w:rsidRPr="00E55526">
        <w:t>women and girls, in terms of their</w:t>
      </w:r>
      <w:r w:rsidR="00F71342" w:rsidRPr="00E55526">
        <w:t xml:space="preserve"> important role in </w:t>
      </w:r>
      <w:r w:rsidRPr="00E55526">
        <w:t>biodiversity protection and conservation</w:t>
      </w:r>
      <w:r w:rsidR="00E55526">
        <w:t>,</w:t>
      </w:r>
      <w:r w:rsidRPr="00E55526">
        <w:t xml:space="preserve"> but also </w:t>
      </w:r>
      <w:r w:rsidR="00E55526">
        <w:t xml:space="preserve">regarding </w:t>
      </w:r>
      <w:r w:rsidRPr="00E55526">
        <w:t xml:space="preserve">the </w:t>
      </w:r>
      <w:r w:rsidR="00F71342" w:rsidRPr="00E55526">
        <w:t>different</w:t>
      </w:r>
      <w:r w:rsidRPr="00E55526">
        <w:t xml:space="preserve"> impacts </w:t>
      </w:r>
      <w:r w:rsidR="00E55526">
        <w:t>that</w:t>
      </w:r>
      <w:r w:rsidR="00F71342" w:rsidRPr="00E55526">
        <w:t xml:space="preserve"> biodiversity programmes, policies and interventions</w:t>
      </w:r>
      <w:r w:rsidRPr="00E55526">
        <w:t xml:space="preserve"> </w:t>
      </w:r>
      <w:r w:rsidR="00E55526">
        <w:t xml:space="preserve">have </w:t>
      </w:r>
      <w:r w:rsidRPr="00E55526">
        <w:t>on men and women</w:t>
      </w:r>
      <w:r w:rsidR="00F71342" w:rsidRPr="00E55526">
        <w:t xml:space="preserve">. </w:t>
      </w:r>
      <w:r w:rsidRPr="00E55526">
        <w:t xml:space="preserve"> </w:t>
      </w:r>
    </w:p>
    <w:p w14:paraId="192B052D" w14:textId="7FB9F4A1" w:rsidR="002E0B9B" w:rsidRDefault="00B96CB2" w:rsidP="009F61E0">
      <w:pPr>
        <w:rPr>
          <w:rFonts w:asciiTheme="minorHAnsi" w:hAnsiTheme="minorHAnsi"/>
        </w:rPr>
      </w:pPr>
      <w:r>
        <w:rPr>
          <w:rFonts w:asciiTheme="minorHAnsi" w:hAnsiTheme="minorHAnsi"/>
        </w:rPr>
        <w:t xml:space="preserve">In addition to the above, </w:t>
      </w:r>
      <w:r w:rsidR="00522032" w:rsidRPr="00FF012E">
        <w:rPr>
          <w:rFonts w:asciiTheme="minorHAnsi" w:hAnsiTheme="minorHAnsi"/>
        </w:rPr>
        <w:t xml:space="preserve">Australia would like to </w:t>
      </w:r>
      <w:r w:rsidR="00B4762C">
        <w:rPr>
          <w:rFonts w:asciiTheme="minorHAnsi" w:hAnsiTheme="minorHAnsi"/>
        </w:rPr>
        <w:t>highlight</w:t>
      </w:r>
      <w:r w:rsidR="00522032" w:rsidRPr="00FF012E">
        <w:rPr>
          <w:rFonts w:asciiTheme="minorHAnsi" w:hAnsiTheme="minorHAnsi"/>
        </w:rPr>
        <w:t xml:space="preserve"> four </w:t>
      </w:r>
      <w:r w:rsidR="00B4762C">
        <w:rPr>
          <w:rFonts w:asciiTheme="minorHAnsi" w:hAnsiTheme="minorHAnsi"/>
        </w:rPr>
        <w:t xml:space="preserve">key </w:t>
      </w:r>
      <w:r w:rsidR="00522032" w:rsidRPr="00FF012E">
        <w:rPr>
          <w:rFonts w:asciiTheme="minorHAnsi" w:hAnsiTheme="minorHAnsi"/>
        </w:rPr>
        <w:t xml:space="preserve">elements </w:t>
      </w:r>
      <w:r w:rsidR="00F56BEC">
        <w:rPr>
          <w:rFonts w:asciiTheme="minorHAnsi" w:hAnsiTheme="minorHAnsi"/>
        </w:rPr>
        <w:t xml:space="preserve">that need consideration </w:t>
      </w:r>
      <w:r w:rsidR="00522032" w:rsidRPr="00FF012E">
        <w:rPr>
          <w:rFonts w:asciiTheme="minorHAnsi" w:hAnsiTheme="minorHAnsi"/>
        </w:rPr>
        <w:t>under the GBF</w:t>
      </w:r>
      <w:r>
        <w:rPr>
          <w:rFonts w:asciiTheme="minorHAnsi" w:hAnsiTheme="minorHAnsi"/>
        </w:rPr>
        <w:t>. We note most</w:t>
      </w:r>
      <w:r w:rsidR="00522032" w:rsidRPr="00FF012E">
        <w:rPr>
          <w:rFonts w:asciiTheme="minorHAnsi" w:hAnsiTheme="minorHAnsi"/>
        </w:rPr>
        <w:t xml:space="preserve"> of these issues </w:t>
      </w:r>
      <w:r>
        <w:rPr>
          <w:rFonts w:asciiTheme="minorHAnsi" w:hAnsiTheme="minorHAnsi"/>
        </w:rPr>
        <w:t>were not further explored through thematic workshops. The elements we see as being critical are:</w:t>
      </w:r>
      <w:r w:rsidR="00FF012E">
        <w:rPr>
          <w:rFonts w:asciiTheme="minorHAnsi" w:hAnsiTheme="minorHAnsi"/>
        </w:rPr>
        <w:t xml:space="preserve"> </w:t>
      </w:r>
      <w:r>
        <w:rPr>
          <w:rFonts w:asciiTheme="minorHAnsi" w:hAnsiTheme="minorHAnsi"/>
        </w:rPr>
        <w:t xml:space="preserve">the </w:t>
      </w:r>
      <w:r w:rsidR="0033425A" w:rsidRPr="00CB6ED7">
        <w:rPr>
          <w:rFonts w:asciiTheme="minorHAnsi" w:hAnsiTheme="minorHAnsi"/>
        </w:rPr>
        <w:t>effective joint management</w:t>
      </w:r>
      <w:r w:rsidR="00FF012E">
        <w:rPr>
          <w:rFonts w:asciiTheme="minorHAnsi" w:hAnsiTheme="minorHAnsi"/>
        </w:rPr>
        <w:t xml:space="preserve"> of land and sea</w:t>
      </w:r>
      <w:r w:rsidR="0033425A" w:rsidRPr="00CB6ED7">
        <w:rPr>
          <w:rFonts w:asciiTheme="minorHAnsi" w:hAnsiTheme="minorHAnsi"/>
        </w:rPr>
        <w:t xml:space="preserve">; </w:t>
      </w:r>
      <w:r>
        <w:rPr>
          <w:rFonts w:asciiTheme="minorHAnsi" w:hAnsiTheme="minorHAnsi"/>
        </w:rPr>
        <w:t xml:space="preserve">addressing </w:t>
      </w:r>
      <w:r w:rsidR="0033425A" w:rsidRPr="00CB6ED7">
        <w:rPr>
          <w:rFonts w:asciiTheme="minorHAnsi" w:hAnsiTheme="minorHAnsi"/>
        </w:rPr>
        <w:t xml:space="preserve">invasive </w:t>
      </w:r>
      <w:r>
        <w:rPr>
          <w:rFonts w:asciiTheme="minorHAnsi" w:hAnsiTheme="minorHAnsi"/>
        </w:rPr>
        <w:t xml:space="preserve">alien </w:t>
      </w:r>
      <w:r w:rsidR="0033425A" w:rsidRPr="00CB6ED7">
        <w:rPr>
          <w:rFonts w:asciiTheme="minorHAnsi" w:hAnsiTheme="minorHAnsi"/>
        </w:rPr>
        <w:t xml:space="preserve">species; </w:t>
      </w:r>
      <w:r>
        <w:rPr>
          <w:rFonts w:asciiTheme="minorHAnsi" w:hAnsiTheme="minorHAnsi"/>
        </w:rPr>
        <w:t xml:space="preserve">combating </w:t>
      </w:r>
      <w:r w:rsidR="0033425A" w:rsidRPr="00CB6ED7">
        <w:rPr>
          <w:rFonts w:asciiTheme="minorHAnsi" w:hAnsiTheme="minorHAnsi"/>
        </w:rPr>
        <w:t>waste</w:t>
      </w:r>
      <w:r>
        <w:rPr>
          <w:rFonts w:asciiTheme="minorHAnsi" w:hAnsiTheme="minorHAnsi"/>
        </w:rPr>
        <w:t xml:space="preserve"> and</w:t>
      </w:r>
      <w:r w:rsidR="00FF012E">
        <w:rPr>
          <w:rFonts w:asciiTheme="minorHAnsi" w:hAnsiTheme="minorHAnsi"/>
        </w:rPr>
        <w:t xml:space="preserve"> </w:t>
      </w:r>
      <w:r w:rsidR="0033425A" w:rsidRPr="00CB6ED7">
        <w:rPr>
          <w:rFonts w:asciiTheme="minorHAnsi" w:hAnsiTheme="minorHAnsi"/>
        </w:rPr>
        <w:t xml:space="preserve">pollution and </w:t>
      </w:r>
      <w:r>
        <w:rPr>
          <w:rFonts w:asciiTheme="minorHAnsi" w:hAnsiTheme="minorHAnsi"/>
        </w:rPr>
        <w:t xml:space="preserve">moving towards </w:t>
      </w:r>
      <w:r w:rsidR="0033425A" w:rsidRPr="00CB6ED7">
        <w:rPr>
          <w:rFonts w:asciiTheme="minorHAnsi" w:hAnsiTheme="minorHAnsi"/>
        </w:rPr>
        <w:t xml:space="preserve">a circular economy; and </w:t>
      </w:r>
      <w:r w:rsidR="00FF012E">
        <w:rPr>
          <w:rFonts w:asciiTheme="minorHAnsi" w:hAnsiTheme="minorHAnsi"/>
        </w:rPr>
        <w:t xml:space="preserve">the </w:t>
      </w:r>
      <w:r w:rsidR="0033425A" w:rsidRPr="00CB6ED7">
        <w:rPr>
          <w:rFonts w:asciiTheme="minorHAnsi" w:hAnsiTheme="minorHAnsi"/>
        </w:rPr>
        <w:t>co-benefits</w:t>
      </w:r>
      <w:r w:rsidR="00FF012E">
        <w:rPr>
          <w:rFonts w:asciiTheme="minorHAnsi" w:hAnsiTheme="minorHAnsi"/>
        </w:rPr>
        <w:t xml:space="preserve"> of nature. We have </w:t>
      </w:r>
      <w:r>
        <w:rPr>
          <w:rFonts w:asciiTheme="minorHAnsi" w:hAnsiTheme="minorHAnsi"/>
        </w:rPr>
        <w:t xml:space="preserve">further </w:t>
      </w:r>
      <w:r w:rsidR="00FF012E">
        <w:rPr>
          <w:rFonts w:asciiTheme="minorHAnsi" w:hAnsiTheme="minorHAnsi"/>
        </w:rPr>
        <w:t xml:space="preserve">expanded on these themes below. </w:t>
      </w:r>
    </w:p>
    <w:p w14:paraId="59E90418" w14:textId="77777777" w:rsidR="00437377" w:rsidRDefault="00437377" w:rsidP="009F61E0">
      <w:pPr>
        <w:rPr>
          <w:rFonts w:asciiTheme="minorHAnsi" w:hAnsiTheme="minorHAnsi"/>
          <w:i/>
        </w:rPr>
      </w:pPr>
    </w:p>
    <w:p w14:paraId="5B4EE31C" w14:textId="77777777" w:rsidR="00437377" w:rsidRDefault="00437377" w:rsidP="009F61E0">
      <w:pPr>
        <w:rPr>
          <w:rFonts w:asciiTheme="minorHAnsi" w:hAnsiTheme="minorHAnsi"/>
          <w:i/>
        </w:rPr>
      </w:pPr>
    </w:p>
    <w:p w14:paraId="705ADAC9" w14:textId="714B59CC" w:rsidR="0037277F" w:rsidRPr="002E0B9B" w:rsidRDefault="002E0B9B" w:rsidP="009F61E0">
      <w:pPr>
        <w:rPr>
          <w:rFonts w:asciiTheme="minorHAnsi" w:hAnsiTheme="minorHAnsi"/>
          <w:i/>
        </w:rPr>
      </w:pPr>
      <w:r w:rsidRPr="002E0B9B">
        <w:rPr>
          <w:rFonts w:asciiTheme="minorHAnsi" w:hAnsiTheme="minorHAnsi"/>
          <w:i/>
        </w:rPr>
        <w:lastRenderedPageBreak/>
        <w:t>Effective Joint Management of Land and Sea</w:t>
      </w:r>
      <w:r w:rsidR="0033425A" w:rsidRPr="002E0B9B">
        <w:rPr>
          <w:rFonts w:asciiTheme="minorHAnsi" w:hAnsiTheme="minorHAnsi"/>
          <w:i/>
        </w:rPr>
        <w:t xml:space="preserve"> </w:t>
      </w:r>
    </w:p>
    <w:p w14:paraId="5B02F560" w14:textId="1AE150F2" w:rsidR="009B1DB6" w:rsidRPr="00CB6ED7" w:rsidRDefault="009B1DB6" w:rsidP="009B1DB6">
      <w:pPr>
        <w:rPr>
          <w:rFonts w:asciiTheme="minorHAnsi" w:hAnsiTheme="minorHAnsi"/>
        </w:rPr>
      </w:pPr>
      <w:r w:rsidRPr="00CB6ED7">
        <w:rPr>
          <w:rFonts w:asciiTheme="minorHAnsi" w:hAnsiTheme="minorHAnsi"/>
        </w:rPr>
        <w:t xml:space="preserve">The GBF should be ambitious and not limited to the expansion of protected area boundaries through increased percentage targets. The status quo will not enable the </w:t>
      </w:r>
      <w:r w:rsidR="00403259">
        <w:rPr>
          <w:rFonts w:asciiTheme="minorHAnsi" w:hAnsiTheme="minorHAnsi"/>
        </w:rPr>
        <w:t>CBD</w:t>
      </w:r>
      <w:r w:rsidRPr="00CB6ED7">
        <w:rPr>
          <w:rFonts w:asciiTheme="minorHAnsi" w:hAnsiTheme="minorHAnsi"/>
        </w:rPr>
        <w:t xml:space="preserve"> to meet its objectives and a new way of thinking is needed. </w:t>
      </w:r>
      <w:r w:rsidR="002E0B9B">
        <w:rPr>
          <w:rFonts w:asciiTheme="minorHAnsi" w:hAnsiTheme="minorHAnsi"/>
        </w:rPr>
        <w:t>A</w:t>
      </w:r>
      <w:r w:rsidRPr="00CB6ED7">
        <w:rPr>
          <w:rFonts w:asciiTheme="minorHAnsi" w:hAnsiTheme="minorHAnsi"/>
        </w:rPr>
        <w:t xml:space="preserve">n increased focus on effective management practices in all land and sea scapes </w:t>
      </w:r>
      <w:r w:rsidR="00F56BEC">
        <w:rPr>
          <w:rFonts w:asciiTheme="minorHAnsi" w:hAnsiTheme="minorHAnsi"/>
        </w:rPr>
        <w:t>by all land and sea stewards (</w:t>
      </w:r>
      <w:r w:rsidRPr="00CB6ED7">
        <w:rPr>
          <w:rFonts w:asciiTheme="minorHAnsi" w:hAnsiTheme="minorHAnsi"/>
        </w:rPr>
        <w:t>e.g. protected areas, private covenants, indigenous protected areas and agricultural areas</w:t>
      </w:r>
      <w:r w:rsidR="00F56BEC">
        <w:rPr>
          <w:rFonts w:asciiTheme="minorHAnsi" w:hAnsiTheme="minorHAnsi"/>
        </w:rPr>
        <w:t>)</w:t>
      </w:r>
      <w:r w:rsidRPr="00CB6ED7">
        <w:rPr>
          <w:rFonts w:asciiTheme="minorHAnsi" w:hAnsiTheme="minorHAnsi"/>
        </w:rPr>
        <w:t xml:space="preserve"> to improve sustainable use and provide improved positive biodiversity outcomes, is required. </w:t>
      </w:r>
    </w:p>
    <w:p w14:paraId="1B8C4283" w14:textId="2543215D" w:rsidR="009B1DB6" w:rsidRDefault="00A92B74" w:rsidP="009B1DB6">
      <w:pPr>
        <w:rPr>
          <w:rFonts w:asciiTheme="minorHAnsi" w:hAnsiTheme="minorHAnsi"/>
        </w:rPr>
      </w:pPr>
      <w:r>
        <w:rPr>
          <w:rFonts w:asciiTheme="minorHAnsi" w:hAnsiTheme="minorHAnsi"/>
        </w:rPr>
        <w:t>Australia also strongly supports</w:t>
      </w:r>
      <w:r w:rsidR="009B1DB6" w:rsidRPr="00CB6ED7">
        <w:rPr>
          <w:rFonts w:asciiTheme="minorHAnsi" w:hAnsiTheme="minorHAnsi"/>
        </w:rPr>
        <w:t xml:space="preserve"> improved joint management, collaboration and integrated landscape management opportunities, particularly with IPLCs</w:t>
      </w:r>
      <w:r w:rsidR="00403259">
        <w:rPr>
          <w:rFonts w:asciiTheme="minorHAnsi" w:hAnsiTheme="minorHAnsi"/>
        </w:rPr>
        <w:t>, farmers</w:t>
      </w:r>
      <w:r w:rsidR="009B1DB6" w:rsidRPr="00CB6ED7">
        <w:rPr>
          <w:rFonts w:asciiTheme="minorHAnsi" w:hAnsiTheme="minorHAnsi"/>
        </w:rPr>
        <w:t xml:space="preserve"> and private landowners</w:t>
      </w:r>
      <w:r>
        <w:rPr>
          <w:rFonts w:asciiTheme="minorHAnsi" w:hAnsiTheme="minorHAnsi"/>
        </w:rPr>
        <w:t xml:space="preserve"> being</w:t>
      </w:r>
      <w:r w:rsidR="009B1DB6" w:rsidRPr="00CB6ED7">
        <w:rPr>
          <w:rFonts w:asciiTheme="minorHAnsi" w:hAnsiTheme="minorHAnsi"/>
        </w:rPr>
        <w:t xml:space="preserve"> further </w:t>
      </w:r>
      <w:r>
        <w:rPr>
          <w:rFonts w:asciiTheme="minorHAnsi" w:hAnsiTheme="minorHAnsi"/>
        </w:rPr>
        <w:t xml:space="preserve">enhanced </w:t>
      </w:r>
      <w:r w:rsidR="009B1DB6" w:rsidRPr="00CB6ED7">
        <w:rPr>
          <w:rFonts w:asciiTheme="minorHAnsi" w:hAnsiTheme="minorHAnsi"/>
        </w:rPr>
        <w:t xml:space="preserve">under the GBF. </w:t>
      </w:r>
    </w:p>
    <w:p w14:paraId="1B78B77A" w14:textId="45DDCC16" w:rsidR="00A92B74" w:rsidRPr="00A92B74" w:rsidRDefault="00922566" w:rsidP="009F61E0">
      <w:pPr>
        <w:rPr>
          <w:rFonts w:asciiTheme="minorHAnsi" w:hAnsiTheme="minorHAnsi"/>
          <w:i/>
        </w:rPr>
      </w:pPr>
      <w:r>
        <w:rPr>
          <w:rFonts w:asciiTheme="minorHAnsi" w:hAnsiTheme="minorHAnsi"/>
          <w:i/>
        </w:rPr>
        <w:t>The c</w:t>
      </w:r>
      <w:r w:rsidR="009B1DB6" w:rsidRPr="00A92B74">
        <w:rPr>
          <w:rFonts w:asciiTheme="minorHAnsi" w:hAnsiTheme="minorHAnsi"/>
          <w:i/>
        </w:rPr>
        <w:t>o-benefits</w:t>
      </w:r>
      <w:r w:rsidR="00A92B74" w:rsidRPr="00A92B74">
        <w:rPr>
          <w:rFonts w:asciiTheme="minorHAnsi" w:hAnsiTheme="minorHAnsi"/>
          <w:i/>
        </w:rPr>
        <w:t xml:space="preserve"> of nature</w:t>
      </w:r>
    </w:p>
    <w:p w14:paraId="350A753A" w14:textId="0A5299D2" w:rsidR="009B1DB6" w:rsidRPr="00CB6ED7" w:rsidRDefault="00A92B74" w:rsidP="009F61E0">
      <w:pPr>
        <w:rPr>
          <w:rFonts w:asciiTheme="minorHAnsi" w:hAnsiTheme="minorHAnsi"/>
        </w:rPr>
      </w:pPr>
      <w:r>
        <w:rPr>
          <w:rFonts w:asciiTheme="minorHAnsi" w:hAnsiTheme="minorHAnsi"/>
        </w:rPr>
        <w:t>T</w:t>
      </w:r>
      <w:r w:rsidR="009B1DB6" w:rsidRPr="00CB6ED7">
        <w:rPr>
          <w:rFonts w:asciiTheme="minorHAnsi" w:hAnsiTheme="minorHAnsi"/>
        </w:rPr>
        <w:t>he societal, economic and human well-being benefits of biodiversity</w:t>
      </w:r>
      <w:r>
        <w:rPr>
          <w:rFonts w:asciiTheme="minorHAnsi" w:hAnsiTheme="minorHAnsi"/>
        </w:rPr>
        <w:t xml:space="preserve"> should be further enhanced</w:t>
      </w:r>
      <w:r w:rsidR="00922566">
        <w:rPr>
          <w:rFonts w:asciiTheme="minorHAnsi" w:hAnsiTheme="minorHAnsi"/>
        </w:rPr>
        <w:t xml:space="preserve"> under</w:t>
      </w:r>
      <w:r w:rsidR="009B1DB6" w:rsidRPr="00CB6ED7">
        <w:rPr>
          <w:rFonts w:asciiTheme="minorHAnsi" w:hAnsiTheme="minorHAnsi"/>
        </w:rPr>
        <w:t xml:space="preserve"> the GBF. An increased focus on the co-benefits of healthy biodiversity provides opportunities to build new or expand existing partnerships with </w:t>
      </w:r>
      <w:r>
        <w:rPr>
          <w:rFonts w:asciiTheme="minorHAnsi" w:hAnsiTheme="minorHAnsi"/>
        </w:rPr>
        <w:t>a range of sectors and actors</w:t>
      </w:r>
      <w:r w:rsidR="009B1DB6" w:rsidRPr="00CB6ED7">
        <w:rPr>
          <w:rFonts w:asciiTheme="minorHAnsi" w:hAnsiTheme="minorHAnsi"/>
        </w:rPr>
        <w:t>. It also expands the conservation narrative to encompass the critical links between biodiversity, human health and economic stability.</w:t>
      </w:r>
      <w:r w:rsidR="00922566">
        <w:rPr>
          <w:rFonts w:asciiTheme="minorHAnsi" w:hAnsiTheme="minorHAnsi"/>
        </w:rPr>
        <w:t xml:space="preserve"> There are also strong linkages between this theme and action regarding climate change and biodiversity. </w:t>
      </w:r>
    </w:p>
    <w:p w14:paraId="1DE82F4E" w14:textId="648C7A2C" w:rsidR="009B1DB6" w:rsidRPr="00A92B74" w:rsidRDefault="009B1DB6" w:rsidP="009B1DB6">
      <w:pPr>
        <w:rPr>
          <w:rFonts w:asciiTheme="minorHAnsi" w:hAnsiTheme="minorHAnsi"/>
          <w:i/>
        </w:rPr>
      </w:pPr>
      <w:r w:rsidRPr="00A92B74">
        <w:rPr>
          <w:rFonts w:asciiTheme="minorHAnsi" w:hAnsiTheme="minorHAnsi"/>
          <w:i/>
        </w:rPr>
        <w:t>Waste</w:t>
      </w:r>
      <w:r w:rsidR="00A92B74" w:rsidRPr="00A92B74">
        <w:rPr>
          <w:rFonts w:asciiTheme="minorHAnsi" w:hAnsiTheme="minorHAnsi"/>
          <w:i/>
        </w:rPr>
        <w:t>, pollution</w:t>
      </w:r>
      <w:r w:rsidRPr="00A92B74">
        <w:rPr>
          <w:rFonts w:asciiTheme="minorHAnsi" w:hAnsiTheme="minorHAnsi"/>
          <w:i/>
        </w:rPr>
        <w:t xml:space="preserve"> and </w:t>
      </w:r>
      <w:r w:rsidR="00A92B74" w:rsidRPr="00A92B74">
        <w:rPr>
          <w:rFonts w:asciiTheme="minorHAnsi" w:hAnsiTheme="minorHAnsi"/>
          <w:i/>
        </w:rPr>
        <w:t xml:space="preserve">moving towards a </w:t>
      </w:r>
      <w:r w:rsidRPr="00A92B74">
        <w:rPr>
          <w:rFonts w:asciiTheme="minorHAnsi" w:hAnsiTheme="minorHAnsi"/>
          <w:i/>
        </w:rPr>
        <w:t>circular economy</w:t>
      </w:r>
    </w:p>
    <w:p w14:paraId="4158DBC1" w14:textId="5E46E678" w:rsidR="00180865" w:rsidRDefault="00180865" w:rsidP="009B1DB6">
      <w:pPr>
        <w:rPr>
          <w:rFonts w:asciiTheme="minorHAnsi" w:hAnsiTheme="minorHAnsi"/>
        </w:rPr>
      </w:pPr>
      <w:r>
        <w:rPr>
          <w:rFonts w:asciiTheme="minorHAnsi" w:hAnsiTheme="minorHAnsi"/>
        </w:rPr>
        <w:t>Recognising t</w:t>
      </w:r>
      <w:r w:rsidRPr="00CB6ED7">
        <w:rPr>
          <w:rFonts w:asciiTheme="minorHAnsi" w:hAnsiTheme="minorHAnsi"/>
        </w:rPr>
        <w:t xml:space="preserve">he strong </w:t>
      </w:r>
      <w:r>
        <w:rPr>
          <w:rFonts w:asciiTheme="minorHAnsi" w:hAnsiTheme="minorHAnsi"/>
        </w:rPr>
        <w:t xml:space="preserve">global </w:t>
      </w:r>
      <w:r w:rsidRPr="00CB6ED7">
        <w:rPr>
          <w:rFonts w:asciiTheme="minorHAnsi" w:hAnsiTheme="minorHAnsi"/>
        </w:rPr>
        <w:t>interest</w:t>
      </w:r>
      <w:r>
        <w:rPr>
          <w:rFonts w:asciiTheme="minorHAnsi" w:hAnsiTheme="minorHAnsi"/>
        </w:rPr>
        <w:t xml:space="preserve"> in</w:t>
      </w:r>
      <w:r w:rsidRPr="00CB6ED7">
        <w:rPr>
          <w:rFonts w:asciiTheme="minorHAnsi" w:hAnsiTheme="minorHAnsi"/>
        </w:rPr>
        <w:t xml:space="preserve"> strengthen</w:t>
      </w:r>
      <w:r>
        <w:rPr>
          <w:rFonts w:asciiTheme="minorHAnsi" w:hAnsiTheme="minorHAnsi"/>
        </w:rPr>
        <w:t>ing</w:t>
      </w:r>
      <w:r w:rsidRPr="00CB6ED7">
        <w:rPr>
          <w:rFonts w:asciiTheme="minorHAnsi" w:hAnsiTheme="minorHAnsi"/>
        </w:rPr>
        <w:t xml:space="preserve"> linkages to the second objective of the CBD in the GBF</w:t>
      </w:r>
      <w:r w:rsidR="00E027C2">
        <w:rPr>
          <w:rFonts w:asciiTheme="minorHAnsi" w:hAnsiTheme="minorHAnsi"/>
        </w:rPr>
        <w:t xml:space="preserve"> (</w:t>
      </w:r>
      <w:r w:rsidRPr="00CB6ED7">
        <w:rPr>
          <w:rFonts w:asciiTheme="minorHAnsi" w:hAnsiTheme="minorHAnsi"/>
        </w:rPr>
        <w:t>sustainable use of the components of biodiversity</w:t>
      </w:r>
      <w:r w:rsidR="00E027C2">
        <w:rPr>
          <w:rFonts w:asciiTheme="minorHAnsi" w:hAnsiTheme="minorHAnsi"/>
        </w:rPr>
        <w:t>),</w:t>
      </w:r>
      <w:r>
        <w:rPr>
          <w:rFonts w:asciiTheme="minorHAnsi" w:hAnsiTheme="minorHAnsi"/>
        </w:rPr>
        <w:t xml:space="preserve"> pollution, waste and moving towards a circular economy should be a strong focus. Pollution and waste were considered as part of the Aichi targets, but this should be expanded upon, particularly in the context of growing populations and climate change. Parties and other interested individuals should work together to formulate a measurable and ambitious waste and pollution target</w:t>
      </w:r>
      <w:r w:rsidR="00E027C2">
        <w:rPr>
          <w:rFonts w:asciiTheme="minorHAnsi" w:hAnsiTheme="minorHAnsi"/>
        </w:rPr>
        <w:t>.</w:t>
      </w:r>
      <w:r>
        <w:rPr>
          <w:rFonts w:asciiTheme="minorHAnsi" w:hAnsiTheme="minorHAnsi"/>
        </w:rPr>
        <w:t xml:space="preserve"> </w:t>
      </w:r>
    </w:p>
    <w:p w14:paraId="3B879E2E" w14:textId="1DD10FCB" w:rsidR="009B1DB6" w:rsidRPr="00CB6ED7" w:rsidRDefault="00180865" w:rsidP="009B1DB6">
      <w:pPr>
        <w:rPr>
          <w:rFonts w:asciiTheme="minorHAnsi" w:hAnsiTheme="minorHAnsi"/>
        </w:rPr>
      </w:pPr>
      <w:r>
        <w:rPr>
          <w:rFonts w:asciiTheme="minorHAnsi" w:hAnsiTheme="minorHAnsi"/>
        </w:rPr>
        <w:t>Consideration should also be given to including references in the GBF to c</w:t>
      </w:r>
      <w:r w:rsidR="009B1DB6" w:rsidRPr="00CB6ED7">
        <w:rPr>
          <w:rFonts w:asciiTheme="minorHAnsi" w:hAnsiTheme="minorHAnsi"/>
        </w:rPr>
        <w:t xml:space="preserve">ircular economy values - which will protect the environment, better manage our valuable and finite resources and create jobs and economic opportunities. In addition, </w:t>
      </w:r>
      <w:r w:rsidR="00E027C2">
        <w:rPr>
          <w:rFonts w:asciiTheme="minorHAnsi" w:hAnsiTheme="minorHAnsi"/>
        </w:rPr>
        <w:t>considering a</w:t>
      </w:r>
      <w:r w:rsidR="009B1DB6" w:rsidRPr="00CB6ED7">
        <w:rPr>
          <w:rFonts w:asciiTheme="minorHAnsi" w:hAnsiTheme="minorHAnsi"/>
        </w:rPr>
        <w:t xml:space="preserve"> </w:t>
      </w:r>
      <w:r w:rsidR="00E027C2">
        <w:rPr>
          <w:rFonts w:asciiTheme="minorHAnsi" w:hAnsiTheme="minorHAnsi"/>
        </w:rPr>
        <w:t xml:space="preserve">move towards a circular economy would not </w:t>
      </w:r>
      <w:r w:rsidR="009B1DB6" w:rsidRPr="00CB6ED7">
        <w:rPr>
          <w:rFonts w:asciiTheme="minorHAnsi" w:hAnsiTheme="minorHAnsi"/>
        </w:rPr>
        <w:t xml:space="preserve">only </w:t>
      </w:r>
      <w:r w:rsidR="00E027C2">
        <w:rPr>
          <w:rFonts w:asciiTheme="minorHAnsi" w:hAnsiTheme="minorHAnsi"/>
        </w:rPr>
        <w:t xml:space="preserve">help </w:t>
      </w:r>
      <w:r w:rsidR="009B1DB6" w:rsidRPr="00CB6ED7">
        <w:rPr>
          <w:rFonts w:asciiTheme="minorHAnsi" w:hAnsiTheme="minorHAnsi"/>
        </w:rPr>
        <w:t xml:space="preserve">retain the value of materials in the economy for as long as possible, but </w:t>
      </w:r>
      <w:r w:rsidR="00E027C2">
        <w:rPr>
          <w:rFonts w:asciiTheme="minorHAnsi" w:hAnsiTheme="minorHAnsi"/>
        </w:rPr>
        <w:t xml:space="preserve">would </w:t>
      </w:r>
      <w:r w:rsidR="009B1DB6" w:rsidRPr="00CB6ED7">
        <w:rPr>
          <w:rFonts w:asciiTheme="minorHAnsi" w:hAnsiTheme="minorHAnsi"/>
        </w:rPr>
        <w:t xml:space="preserve">also </w:t>
      </w:r>
      <w:r w:rsidR="00E027C2">
        <w:rPr>
          <w:rFonts w:asciiTheme="minorHAnsi" w:hAnsiTheme="minorHAnsi"/>
        </w:rPr>
        <w:t>promote</w:t>
      </w:r>
      <w:r w:rsidR="009B1DB6" w:rsidRPr="00CB6ED7">
        <w:rPr>
          <w:rFonts w:asciiTheme="minorHAnsi" w:hAnsiTheme="minorHAnsi"/>
        </w:rPr>
        <w:t xml:space="preserve"> economic benefits such as creation of industries, jobs and new revenue streams.</w:t>
      </w:r>
    </w:p>
    <w:p w14:paraId="356F68A6" w14:textId="2EF8C33F" w:rsidR="009B1DB6" w:rsidRPr="00180865" w:rsidRDefault="00B745C7" w:rsidP="009F61E0">
      <w:pPr>
        <w:rPr>
          <w:rFonts w:asciiTheme="minorHAnsi" w:hAnsiTheme="minorHAnsi"/>
          <w:i/>
        </w:rPr>
      </w:pPr>
      <w:r w:rsidRPr="00180865">
        <w:rPr>
          <w:rFonts w:asciiTheme="minorHAnsi" w:hAnsiTheme="minorHAnsi"/>
          <w:i/>
        </w:rPr>
        <w:t>Invasive species</w:t>
      </w:r>
    </w:p>
    <w:p w14:paraId="22E26167" w14:textId="2D729173" w:rsidR="00B745C7" w:rsidRDefault="00B745C7" w:rsidP="009F61E0">
      <w:pPr>
        <w:rPr>
          <w:rFonts w:asciiTheme="minorHAnsi" w:hAnsiTheme="minorHAnsi"/>
        </w:rPr>
      </w:pPr>
      <w:r w:rsidRPr="00CB6ED7">
        <w:rPr>
          <w:rFonts w:asciiTheme="minorHAnsi" w:hAnsiTheme="minorHAnsi"/>
        </w:rPr>
        <w:t xml:space="preserve">Given the </w:t>
      </w:r>
      <w:r w:rsidR="00A54FC9">
        <w:rPr>
          <w:rFonts w:asciiTheme="minorHAnsi" w:hAnsiTheme="minorHAnsi"/>
        </w:rPr>
        <w:t>threat to biodiversity of invasive alien species, and the benefit, nationally and globally</w:t>
      </w:r>
      <w:r w:rsidR="00DC33B0">
        <w:rPr>
          <w:rFonts w:asciiTheme="minorHAnsi" w:hAnsiTheme="minorHAnsi"/>
        </w:rPr>
        <w:t>,</w:t>
      </w:r>
      <w:r w:rsidR="00A54FC9">
        <w:rPr>
          <w:rFonts w:asciiTheme="minorHAnsi" w:hAnsiTheme="minorHAnsi"/>
        </w:rPr>
        <w:t xml:space="preserve"> of strong </w:t>
      </w:r>
      <w:r w:rsidRPr="00CB6ED7">
        <w:rPr>
          <w:rFonts w:asciiTheme="minorHAnsi" w:hAnsiTheme="minorHAnsi"/>
        </w:rPr>
        <w:t xml:space="preserve">biosecurity systems </w:t>
      </w:r>
      <w:r w:rsidR="00DC33B0">
        <w:rPr>
          <w:rFonts w:asciiTheme="minorHAnsi" w:hAnsiTheme="minorHAnsi"/>
        </w:rPr>
        <w:t>we</w:t>
      </w:r>
      <w:r w:rsidR="00A54FC9">
        <w:rPr>
          <w:rFonts w:asciiTheme="minorHAnsi" w:hAnsiTheme="minorHAnsi"/>
        </w:rPr>
        <w:t xml:space="preserve"> strongly support</w:t>
      </w:r>
      <w:r w:rsidR="00DC33B0">
        <w:rPr>
          <w:rFonts w:asciiTheme="minorHAnsi" w:hAnsiTheme="minorHAnsi"/>
        </w:rPr>
        <w:t xml:space="preserve"> the</w:t>
      </w:r>
      <w:r w:rsidRPr="00CB6ED7">
        <w:rPr>
          <w:rFonts w:asciiTheme="minorHAnsi" w:hAnsiTheme="minorHAnsi"/>
        </w:rPr>
        <w:t xml:space="preserve"> strengthening of </w:t>
      </w:r>
      <w:r w:rsidR="00A54FC9">
        <w:rPr>
          <w:rFonts w:asciiTheme="minorHAnsi" w:hAnsiTheme="minorHAnsi"/>
        </w:rPr>
        <w:t>invasive alien species</w:t>
      </w:r>
      <w:r w:rsidRPr="00CB6ED7">
        <w:rPr>
          <w:rFonts w:asciiTheme="minorHAnsi" w:hAnsiTheme="minorHAnsi"/>
        </w:rPr>
        <w:t xml:space="preserve"> measures in the </w:t>
      </w:r>
      <w:r w:rsidR="00A54FC9">
        <w:rPr>
          <w:rFonts w:asciiTheme="minorHAnsi" w:hAnsiTheme="minorHAnsi"/>
        </w:rPr>
        <w:t xml:space="preserve">GBF. </w:t>
      </w:r>
      <w:r w:rsidR="00DC33B0">
        <w:rPr>
          <w:rFonts w:asciiTheme="minorHAnsi" w:hAnsiTheme="minorHAnsi"/>
        </w:rPr>
        <w:t xml:space="preserve">Aichi target 9 remains relevant but progress was difficult to measure so we believe this target could be better articulated and built upon. For example, the work undertaken to date on priority pathways could be expanded so that a new target could focus on the known or existing pathways in addition to a focus on minimising the impacts of invasive alien species. While there was no thematic workshop on this issue, the work of the AHTEG on invasive alien species could inform considerations. </w:t>
      </w:r>
    </w:p>
    <w:p w14:paraId="01C16523" w14:textId="77777777" w:rsidR="003F6C5E" w:rsidRDefault="003F6C5E" w:rsidP="009F61E0">
      <w:pPr>
        <w:rPr>
          <w:rFonts w:asciiTheme="minorHAnsi" w:hAnsiTheme="minorHAnsi"/>
          <w:b/>
        </w:rPr>
      </w:pPr>
    </w:p>
    <w:p w14:paraId="12A1291C" w14:textId="77777777" w:rsidR="003F6C5E" w:rsidRDefault="003F6C5E" w:rsidP="009F61E0">
      <w:pPr>
        <w:rPr>
          <w:rFonts w:asciiTheme="minorHAnsi" w:hAnsiTheme="minorHAnsi"/>
          <w:b/>
        </w:rPr>
      </w:pPr>
    </w:p>
    <w:p w14:paraId="29B47CBB" w14:textId="497F00D4" w:rsidR="006B71B7" w:rsidRDefault="006B71B7" w:rsidP="009F61E0">
      <w:pPr>
        <w:rPr>
          <w:rFonts w:asciiTheme="minorHAnsi" w:hAnsiTheme="minorHAnsi"/>
          <w:b/>
        </w:rPr>
      </w:pPr>
      <w:r w:rsidRPr="006B71B7">
        <w:rPr>
          <w:rFonts w:asciiTheme="minorHAnsi" w:hAnsiTheme="minorHAnsi"/>
          <w:b/>
        </w:rPr>
        <w:lastRenderedPageBreak/>
        <w:t>Release of the zero draft of the GBF</w:t>
      </w:r>
    </w:p>
    <w:p w14:paraId="66583832" w14:textId="2739B898" w:rsidR="00F56BEC" w:rsidRDefault="003F6C5E" w:rsidP="003F6C5E">
      <w:pPr>
        <w:rPr>
          <w:b/>
          <w:bCs/>
          <w:lang w:val="en-CA"/>
        </w:rPr>
      </w:pPr>
      <w:r>
        <w:rPr>
          <w:bCs/>
          <w:lang w:val="en-CA"/>
        </w:rPr>
        <w:t xml:space="preserve">Australia is pleased to see the above four </w:t>
      </w:r>
      <w:r>
        <w:rPr>
          <w:rFonts w:asciiTheme="minorHAnsi" w:hAnsiTheme="minorHAnsi"/>
        </w:rPr>
        <w:t xml:space="preserve">key </w:t>
      </w:r>
      <w:r w:rsidRPr="00FF012E">
        <w:rPr>
          <w:rFonts w:asciiTheme="minorHAnsi" w:hAnsiTheme="minorHAnsi"/>
        </w:rPr>
        <w:t>elements</w:t>
      </w:r>
      <w:r>
        <w:rPr>
          <w:rFonts w:asciiTheme="minorHAnsi" w:hAnsiTheme="minorHAnsi"/>
        </w:rPr>
        <w:t xml:space="preserve"> included to some extent within the recently released zero draft of the G</w:t>
      </w:r>
      <w:r w:rsidRPr="00FF012E">
        <w:rPr>
          <w:rFonts w:asciiTheme="minorHAnsi" w:hAnsiTheme="minorHAnsi"/>
        </w:rPr>
        <w:t>BF</w:t>
      </w:r>
      <w:r>
        <w:rPr>
          <w:bCs/>
          <w:lang w:val="en-CA"/>
        </w:rPr>
        <w:t xml:space="preserve">. However, more work must be done this year in developing and agreeing the GBF, particularly in regards to these key areas, to ensure we adopt an ambitious, targeted approach that appropriately addresses the drivers of biodiversity loss. We look forward to working with Parties and observers throughout this year to achieve this. </w:t>
      </w:r>
    </w:p>
    <w:p w14:paraId="088E1361" w14:textId="09DC5FEA" w:rsidR="00CB2F83" w:rsidRDefault="00CB2F83" w:rsidP="00CB2F83">
      <w:pPr>
        <w:pStyle w:val="PlainText"/>
        <w:rPr>
          <w:rFonts w:ascii="Calibri" w:hAnsi="Calibri"/>
          <w:b/>
          <w:bCs/>
          <w:lang w:val="en-CA"/>
        </w:rPr>
      </w:pPr>
      <w:r>
        <w:rPr>
          <w:rFonts w:ascii="Calibri" w:hAnsi="Calibri"/>
          <w:b/>
          <w:bCs/>
          <w:lang w:val="en-CA"/>
        </w:rPr>
        <w:t>Possible Indicators</w:t>
      </w:r>
    </w:p>
    <w:p w14:paraId="4D8A1F38" w14:textId="28728F69" w:rsidR="00CB2F83" w:rsidRDefault="00CB2F83" w:rsidP="00CB2F83">
      <w:pPr>
        <w:pStyle w:val="ListBullet"/>
        <w:ind w:left="0" w:firstLine="0"/>
      </w:pPr>
      <w:r>
        <w:t xml:space="preserve">Australia is still of the view that existing biodiversity related indicators should be considered in the first instance in the development of the GBF, alongside targets. The development of indicators in parallel with the development of the framework and its targets will help to ensure that the necessary indicators and data-generating mechanisms are in place at the moment when targets are adopted and action can be taken immediately by all Parties </w:t>
      </w:r>
      <w:r w:rsidRPr="00AD2160">
        <w:t xml:space="preserve">and stakeholders. We also </w:t>
      </w:r>
      <w:r w:rsidRPr="005D724E">
        <w:t>reiterate previous comments that indicators from a wide range of sources including</w:t>
      </w:r>
      <w:r w:rsidR="001D6C8E" w:rsidRPr="005D724E">
        <w:t xml:space="preserve"> those </w:t>
      </w:r>
      <w:r w:rsidR="00AD2160" w:rsidRPr="005D724E">
        <w:t>in the footnote to</w:t>
      </w:r>
      <w:r w:rsidR="005D724E" w:rsidRPr="005D724E">
        <w:t xml:space="preserve"> SBSTTA recommendation 23/1</w:t>
      </w:r>
      <w:r w:rsidR="00AD2160" w:rsidRPr="005D724E">
        <w:t xml:space="preserve"> </w:t>
      </w:r>
      <w:r w:rsidRPr="005D724E">
        <w:t>should be provided to Parties for consideration and analysis</w:t>
      </w:r>
      <w:r w:rsidR="00AD2160" w:rsidRPr="005D724E">
        <w:t xml:space="preserve"> at least six weeks </w:t>
      </w:r>
      <w:r w:rsidRPr="005D724E">
        <w:t>ahead of the</w:t>
      </w:r>
      <w:r w:rsidRPr="00AD2160">
        <w:t xml:space="preserve"> SBSTTA-24 meeting to adequately information discussions.</w:t>
      </w:r>
    </w:p>
    <w:p w14:paraId="26FECBC2" w14:textId="77777777" w:rsidR="000D21A5" w:rsidRDefault="000D21A5" w:rsidP="000D21A5">
      <w:pPr>
        <w:pStyle w:val="ListBullet"/>
        <w:ind w:left="0" w:firstLine="0"/>
      </w:pPr>
      <w:r>
        <w:t xml:space="preserve">Considering and using existing biodiversity-related indicators and their methodologies as a basis for formulation of indicators for the GBF. Utilising existing arrangements, including those reported under other frameworks, would help to avoid confusion and duplication of effort, and would help promote consistency in data generation nationally and internationally. </w:t>
      </w:r>
    </w:p>
    <w:p w14:paraId="46DC7CE9" w14:textId="117E38A2" w:rsidR="00CB2F83" w:rsidRDefault="00CB2F83" w:rsidP="00CB2F83">
      <w:pPr>
        <w:pStyle w:val="ListBullet"/>
        <w:ind w:left="0" w:firstLine="0"/>
        <w:rPr>
          <w:color w:val="7030A0"/>
        </w:rPr>
      </w:pPr>
      <w:r>
        <w:t xml:space="preserve">Indicators </w:t>
      </w:r>
      <w:r w:rsidR="009D6BCD">
        <w:t xml:space="preserve">from a range of sources, including those outlined in the footnote to the SBSTTA23 recommendations, and those </w:t>
      </w:r>
      <w:r>
        <w:t xml:space="preserve">used in other Multilateral Environmental Agreements (like the Convention on Migratory Species (CMS) and the Convention on International Trade of Endangered Species (CITES)) and other international fora (like the Food and Agriculture Organization (FAO) and the Sustainable Development Goals (SDGs)) that are biodiversity focused should be considered </w:t>
      </w:r>
      <w:r w:rsidR="009D6BCD">
        <w:t>in the context of targets being discussed</w:t>
      </w:r>
      <w:r w:rsidR="00D65FDD">
        <w:t xml:space="preserve"> and agreed. </w:t>
      </w:r>
    </w:p>
    <w:p w14:paraId="03B91A03" w14:textId="37455E6B" w:rsidR="00CB2F83" w:rsidRDefault="000D21A5" w:rsidP="00CB2F83">
      <w:pPr>
        <w:pStyle w:val="ListBullet"/>
        <w:ind w:left="0" w:firstLine="0"/>
      </w:pPr>
      <w:r>
        <w:t>T</w:t>
      </w:r>
      <w:r w:rsidR="00CB2F83">
        <w:t>he SDGs will not suffice on their own as a source for indicators. This is where other sources, like the CMS, CITES, FAO, OECD, IUCN, W</w:t>
      </w:r>
      <w:r w:rsidR="00EC72AF">
        <w:t xml:space="preserve">orld </w:t>
      </w:r>
      <w:r w:rsidR="00CB2F83">
        <w:t>D</w:t>
      </w:r>
      <w:r w:rsidR="00EC72AF">
        <w:t xml:space="preserve">atabase on </w:t>
      </w:r>
      <w:r w:rsidR="00CB2F83">
        <w:t>P</w:t>
      </w:r>
      <w:r w:rsidR="00EC72AF">
        <w:t xml:space="preserve">rotected </w:t>
      </w:r>
      <w:r w:rsidR="00CB2F83">
        <w:t>A</w:t>
      </w:r>
      <w:r w:rsidR="00EC72AF">
        <w:t>reas</w:t>
      </w:r>
      <w:r w:rsidR="00CB2F83">
        <w:t xml:space="preserve">, </w:t>
      </w:r>
      <w:r w:rsidR="00EC72AF">
        <w:t xml:space="preserve">the UN </w:t>
      </w:r>
      <w:r w:rsidR="00EC72AF">
        <w:rPr>
          <w:rFonts w:ascii="Arial" w:hAnsi="Arial" w:cs="Arial"/>
          <w:sz w:val="20"/>
          <w:szCs w:val="20"/>
          <w:lang w:val="en"/>
        </w:rPr>
        <w:t>World Conservation Monitoring Centre</w:t>
      </w:r>
      <w:r w:rsidR="00CB2F83">
        <w:t xml:space="preserve">, the Biodiversity Indicators Partnership, the International Treaty on Plant Genetic Resources for Food and Agriculture, the Global Core Set of Forest-related Indicators and the Montreal Process, to name a few, can be utilised. </w:t>
      </w:r>
    </w:p>
    <w:p w14:paraId="6F279DF5" w14:textId="1732CCEF" w:rsidR="00CB2F83" w:rsidRDefault="00CB2F83" w:rsidP="00CB2F83">
      <w:pPr>
        <w:pStyle w:val="ListBullet"/>
        <w:ind w:left="0" w:firstLine="0"/>
      </w:pPr>
      <w:r>
        <w:t>We a</w:t>
      </w:r>
      <w:r w:rsidR="00F447D7">
        <w:t>re still of the firm view that t</w:t>
      </w:r>
      <w:r>
        <w:t>he CBD Secretariat should undertake an exercise in identifying</w:t>
      </w:r>
      <w:r w:rsidR="00F447D7">
        <w:t xml:space="preserve"> all</w:t>
      </w:r>
      <w:r>
        <w:t xml:space="preserve"> existing biodiversity-related ind</w:t>
      </w:r>
      <w:r w:rsidR="00F447D7">
        <w:t xml:space="preserve">icators from a range of sources, </w:t>
      </w:r>
      <w:r>
        <w:t xml:space="preserve">including those listed above. Identified indicators could be grouped into general themes to allow easy allocation against targets as that work progresses. This </w:t>
      </w:r>
      <w:r w:rsidR="00F447D7">
        <w:t xml:space="preserve">robust </w:t>
      </w:r>
      <w:r>
        <w:t xml:space="preserve">list of </w:t>
      </w:r>
      <w:r w:rsidR="00F447D7">
        <w:t xml:space="preserve">existing </w:t>
      </w:r>
      <w:r>
        <w:t>indicators, possibly grouped into themes, should be made available to Parties at least six weeks ahead of the 24</w:t>
      </w:r>
      <w:r>
        <w:rPr>
          <w:vertAlign w:val="superscript"/>
        </w:rPr>
        <w:t>th</w:t>
      </w:r>
      <w:r>
        <w:t xml:space="preserve"> meeting of the SBSTTA in May. The scientific body of the Convention is the most appropriate body to be providing advice on such a matter. </w:t>
      </w:r>
    </w:p>
    <w:p w14:paraId="5DE3BB09" w14:textId="0AB9C306" w:rsidR="00CB2F83" w:rsidRDefault="00CB2F83" w:rsidP="00CB2F83">
      <w:pPr>
        <w:pStyle w:val="ListBullet"/>
        <w:ind w:left="0" w:firstLine="0"/>
      </w:pPr>
      <w:r>
        <w:t xml:space="preserve">Australia recognises that circumstances and contexts change. New science and improved data is continually becoming available at a national and international level. We therefore believe it is important to maintain a certain level of flexibility going forward. Effective indicators must be sensitive to changes in condition, drivers and pressures. This is particularly important as good management needs to be predictive, responsive and adaptive to changing conditions. </w:t>
      </w:r>
    </w:p>
    <w:p w14:paraId="048B2C01" w14:textId="5EF99893" w:rsidR="00CB2F83" w:rsidRDefault="00CB2F83" w:rsidP="00CB2F83">
      <w:pPr>
        <w:pStyle w:val="ListBullet"/>
        <w:ind w:left="0" w:firstLine="0"/>
      </w:pPr>
      <w:r>
        <w:lastRenderedPageBreak/>
        <w:t>Indicators may also need to allow for the possible future exploration of new or revised monitoring arrangements or tools for those targets that are more qualitative or which are not so easily measured. Just because indicators do not exist for targets or because targets are not easily measured, does not mean they are not valuable or don’t have a place in the GBF. We should strive for predominately SMART targets and at least in the first instance, existing,</w:t>
      </w:r>
      <w:r>
        <w:rPr>
          <w:color w:val="7030A0"/>
        </w:rPr>
        <w:t xml:space="preserve"> </w:t>
      </w:r>
      <w:r>
        <w:t xml:space="preserve">agreed and defined indicators but some issues do require a more qualitative approach and these should not be discounted. </w:t>
      </w:r>
    </w:p>
    <w:p w14:paraId="5033F95F" w14:textId="77777777" w:rsidR="008516EA" w:rsidRPr="005944C3" w:rsidRDefault="008516EA" w:rsidP="00F106F5">
      <w:pPr>
        <w:pStyle w:val="PlainText"/>
      </w:pPr>
    </w:p>
    <w:sectPr w:rsidR="008516EA" w:rsidRPr="005944C3" w:rsidSect="00936372">
      <w:headerReference w:type="default" r:id="rId14"/>
      <w:footerReference w:type="default" r:id="rId1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26BA" w14:textId="77777777" w:rsidR="00936372" w:rsidRDefault="00936372" w:rsidP="00936372">
      <w:pPr>
        <w:spacing w:after="0" w:line="240" w:lineRule="auto"/>
      </w:pPr>
      <w:r>
        <w:separator/>
      </w:r>
    </w:p>
  </w:endnote>
  <w:endnote w:type="continuationSeparator" w:id="0">
    <w:p w14:paraId="26DCF8E0" w14:textId="77777777" w:rsidR="00936372" w:rsidRDefault="00936372" w:rsidP="0093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24103"/>
      <w:docPartObj>
        <w:docPartGallery w:val="Page Numbers (Top of Page)"/>
        <w:docPartUnique/>
      </w:docPartObj>
    </w:sdtPr>
    <w:sdtEndPr/>
    <w:sdtContent>
      <w:p w14:paraId="03F24A93" w14:textId="159D5348" w:rsidR="00936372" w:rsidRPr="00EE0FC3" w:rsidRDefault="009F61E0" w:rsidP="00936372">
        <w:pPr>
          <w:pStyle w:val="Footer"/>
          <w:spacing w:before="40" w:after="40"/>
          <w:jc w:val="right"/>
          <w:rPr>
            <w:b/>
            <w:sz w:val="20"/>
            <w:szCs w:val="20"/>
          </w:rPr>
        </w:pPr>
        <w:r>
          <w:rPr>
            <w:b/>
            <w:sz w:val="20"/>
            <w:szCs w:val="20"/>
          </w:rPr>
          <w:t>CBD Notifications 2019-108 and 2019-115</w:t>
        </w:r>
      </w:p>
      <w:p w14:paraId="0123941E" w14:textId="715BE9FC" w:rsidR="00936372" w:rsidRPr="00EE0FC3" w:rsidRDefault="009F61E0" w:rsidP="00936372">
        <w:pPr>
          <w:pStyle w:val="Footer"/>
          <w:spacing w:before="40" w:after="40"/>
          <w:jc w:val="right"/>
          <w:rPr>
            <w:sz w:val="20"/>
            <w:szCs w:val="20"/>
          </w:rPr>
        </w:pPr>
        <w:r>
          <w:rPr>
            <w:sz w:val="20"/>
            <w:szCs w:val="20"/>
          </w:rPr>
          <w:t>Australian submission</w:t>
        </w:r>
      </w:p>
      <w:p w14:paraId="104D7155" w14:textId="1F4FD96C" w:rsidR="00936372" w:rsidRPr="00EE0FC3" w:rsidRDefault="00936372" w:rsidP="00936372">
        <w:pPr>
          <w:pStyle w:val="Footer"/>
          <w:spacing w:before="40" w:after="40"/>
          <w:jc w:val="right"/>
          <w:rPr>
            <w:sz w:val="20"/>
            <w:szCs w:val="20"/>
          </w:rPr>
        </w:pPr>
        <w:r w:rsidRPr="00EE0FC3">
          <w:rPr>
            <w:sz w:val="20"/>
            <w:szCs w:val="20"/>
          </w:rPr>
          <w:t xml:space="preserve">Page </w:t>
        </w:r>
        <w:r w:rsidRPr="00EE0FC3">
          <w:rPr>
            <w:b/>
            <w:sz w:val="20"/>
            <w:szCs w:val="20"/>
          </w:rPr>
          <w:fldChar w:fldCharType="begin"/>
        </w:r>
        <w:r w:rsidRPr="00EE0FC3">
          <w:rPr>
            <w:b/>
            <w:sz w:val="20"/>
            <w:szCs w:val="20"/>
          </w:rPr>
          <w:instrText xml:space="preserve"> PAGE </w:instrText>
        </w:r>
        <w:r w:rsidRPr="00EE0FC3">
          <w:rPr>
            <w:b/>
            <w:sz w:val="20"/>
            <w:szCs w:val="20"/>
          </w:rPr>
          <w:fldChar w:fldCharType="separate"/>
        </w:r>
        <w:r w:rsidR="003F6C5E">
          <w:rPr>
            <w:b/>
            <w:noProof/>
            <w:sz w:val="20"/>
            <w:szCs w:val="20"/>
          </w:rPr>
          <w:t>4</w:t>
        </w:r>
        <w:r w:rsidRPr="00EE0FC3">
          <w:rPr>
            <w:b/>
            <w:sz w:val="20"/>
            <w:szCs w:val="20"/>
          </w:rPr>
          <w:fldChar w:fldCharType="end"/>
        </w:r>
        <w:r w:rsidRPr="00EE0FC3">
          <w:rPr>
            <w:sz w:val="20"/>
            <w:szCs w:val="20"/>
          </w:rPr>
          <w:t xml:space="preserve"> of </w:t>
        </w:r>
        <w:r w:rsidRPr="00EE0FC3">
          <w:rPr>
            <w:b/>
            <w:sz w:val="20"/>
            <w:szCs w:val="20"/>
          </w:rPr>
          <w:fldChar w:fldCharType="begin"/>
        </w:r>
        <w:r w:rsidRPr="00EE0FC3">
          <w:rPr>
            <w:b/>
            <w:sz w:val="20"/>
            <w:szCs w:val="20"/>
          </w:rPr>
          <w:instrText xml:space="preserve"> NUMPAGES  </w:instrText>
        </w:r>
        <w:r w:rsidRPr="00EE0FC3">
          <w:rPr>
            <w:b/>
            <w:sz w:val="20"/>
            <w:szCs w:val="20"/>
          </w:rPr>
          <w:fldChar w:fldCharType="separate"/>
        </w:r>
        <w:r w:rsidR="003F6C5E">
          <w:rPr>
            <w:b/>
            <w:noProof/>
            <w:sz w:val="20"/>
            <w:szCs w:val="20"/>
          </w:rPr>
          <w:t>6</w:t>
        </w:r>
        <w:r w:rsidRPr="00EE0FC3">
          <w:rPr>
            <w:b/>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302C" w14:textId="77777777" w:rsidR="00936372" w:rsidRDefault="00936372" w:rsidP="00936372">
      <w:pPr>
        <w:spacing w:after="0" w:line="240" w:lineRule="auto"/>
      </w:pPr>
      <w:r>
        <w:separator/>
      </w:r>
    </w:p>
  </w:footnote>
  <w:footnote w:type="continuationSeparator" w:id="0">
    <w:p w14:paraId="30133A67" w14:textId="77777777" w:rsidR="00936372" w:rsidRDefault="00936372" w:rsidP="00936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B9DF" w14:textId="1537157C" w:rsidR="00936372" w:rsidRPr="00936372" w:rsidRDefault="00936372" w:rsidP="00936372">
    <w:pPr>
      <w:pStyle w:val="Header"/>
      <w:spacing w:after="240"/>
      <w:jc w:val="center"/>
      <w:rPr>
        <w:rFonts w:eastAsiaTheme="majorEastAsia" w:cs="Arial"/>
        <w:b/>
        <w:sz w:val="24"/>
        <w:szCs w:val="24"/>
      </w:rPr>
    </w:pPr>
    <w:r w:rsidRPr="009F61E0">
      <w:rPr>
        <w:rFonts w:eastAsiaTheme="majorEastAsia" w:cs="Arial"/>
        <w:b/>
        <w:sz w:val="24"/>
        <w:szCs w:val="24"/>
      </w:rPr>
      <w:t xml:space="preserve">Australia’s Submission to CBD </w:t>
    </w:r>
    <w:r w:rsidR="00F106F5" w:rsidRPr="009F61E0">
      <w:rPr>
        <w:rFonts w:eastAsiaTheme="majorEastAsia" w:cs="Arial"/>
        <w:b/>
        <w:sz w:val="24"/>
        <w:szCs w:val="24"/>
      </w:rPr>
      <w:t>Notification</w:t>
    </w:r>
    <w:r w:rsidR="009F61E0">
      <w:rPr>
        <w:rFonts w:eastAsiaTheme="majorEastAsia" w:cs="Arial"/>
        <w:b/>
        <w:sz w:val="24"/>
        <w:szCs w:val="24"/>
      </w:rPr>
      <w:t>s</w:t>
    </w:r>
    <w:r w:rsidR="00F106F5" w:rsidRPr="009F61E0">
      <w:rPr>
        <w:rFonts w:eastAsiaTheme="majorEastAsia" w:cs="Arial"/>
        <w:b/>
        <w:sz w:val="24"/>
        <w:szCs w:val="24"/>
      </w:rPr>
      <w:t xml:space="preserve"> </w:t>
    </w:r>
    <w:r w:rsidR="009F61E0" w:rsidRPr="009F61E0">
      <w:rPr>
        <w:rFonts w:eastAsiaTheme="majorEastAsia" w:cs="Arial"/>
        <w:b/>
        <w:sz w:val="24"/>
        <w:szCs w:val="24"/>
      </w:rPr>
      <w:t>2019-1</w:t>
    </w:r>
    <w:r w:rsidR="00F106F5" w:rsidRPr="009F61E0">
      <w:rPr>
        <w:rFonts w:eastAsiaTheme="majorEastAsia" w:cs="Arial"/>
        <w:b/>
        <w:sz w:val="24"/>
        <w:szCs w:val="24"/>
      </w:rPr>
      <w:t xml:space="preserve">08 and </w:t>
    </w:r>
    <w:r w:rsidR="009F61E0">
      <w:rPr>
        <w:rFonts w:eastAsiaTheme="majorEastAsia" w:cs="Arial"/>
        <w:b/>
        <w:sz w:val="24"/>
        <w:szCs w:val="24"/>
      </w:rPr>
      <w:t>2019-</w:t>
    </w:r>
    <w:r w:rsidR="00F106F5" w:rsidRPr="009F61E0">
      <w:rPr>
        <w:rFonts w:eastAsiaTheme="majorEastAsia" w:cs="Arial"/>
        <w:b/>
        <w:sz w:val="24"/>
        <w:szCs w:val="24"/>
      </w:rPr>
      <w:t>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7EC0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89261C"/>
    <w:multiLevelType w:val="hybridMultilevel"/>
    <w:tmpl w:val="97C61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03C54"/>
    <w:multiLevelType w:val="hybridMultilevel"/>
    <w:tmpl w:val="2B8045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F686C"/>
    <w:multiLevelType w:val="hybridMultilevel"/>
    <w:tmpl w:val="AE4C1CB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1DF87D79"/>
    <w:multiLevelType w:val="hybridMultilevel"/>
    <w:tmpl w:val="613C9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DA2F87"/>
    <w:multiLevelType w:val="hybridMultilevel"/>
    <w:tmpl w:val="3718F68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5456429"/>
    <w:multiLevelType w:val="multilevel"/>
    <w:tmpl w:val="B3CC4E8A"/>
    <w:lvl w:ilvl="0">
      <w:start w:val="1"/>
      <w:numFmt w:val="decimal"/>
      <w:pStyle w:val="ListNumber"/>
      <w:lvlText w:val="%1."/>
      <w:lvlJc w:val="left"/>
      <w:pPr>
        <w:ind w:left="369" w:hanging="369"/>
      </w:pPr>
      <w:rPr>
        <w:rFonts w:ascii="Arial" w:hAnsi="Arial" w:hint="default"/>
        <w:i w:val="0"/>
        <w:sz w:val="22"/>
      </w:rPr>
    </w:lvl>
    <w:lvl w:ilvl="1">
      <w:start w:val="1"/>
      <w:numFmt w:val="lowerRoman"/>
      <w:pStyle w:val="ListNumber2"/>
      <w:lvlText w:val="%2."/>
      <w:lvlJc w:val="righ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66BB622F"/>
    <w:multiLevelType w:val="hybridMultilevel"/>
    <w:tmpl w:val="7B46C708"/>
    <w:lvl w:ilvl="0" w:tplc="F9002FFA">
      <w:start w:val="1"/>
      <w:numFmt w:val="upperLetter"/>
      <w:lvlText w:val="%1)"/>
      <w:lvlJc w:val="left"/>
      <w:pPr>
        <w:ind w:left="720" w:hanging="360"/>
      </w:pPr>
      <w:rPr>
        <w:rFonts w:hint="default"/>
        <w:i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78E6371"/>
    <w:multiLevelType w:val="hybridMultilevel"/>
    <w:tmpl w:val="660C76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D85A35"/>
    <w:multiLevelType w:val="hybridMultilevel"/>
    <w:tmpl w:val="C8BC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5"/>
  </w:num>
  <w:num w:numId="6">
    <w:abstractNumId w:val="4"/>
  </w:num>
  <w:num w:numId="7">
    <w:abstractNumId w:val="0"/>
  </w:num>
  <w:num w:numId="8">
    <w:abstractNumId w:val="9"/>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45"/>
    <w:rsid w:val="000076C9"/>
    <w:rsid w:val="00015C8A"/>
    <w:rsid w:val="000222D6"/>
    <w:rsid w:val="000343A2"/>
    <w:rsid w:val="00055EB5"/>
    <w:rsid w:val="00062472"/>
    <w:rsid w:val="00076199"/>
    <w:rsid w:val="00077703"/>
    <w:rsid w:val="000B317D"/>
    <w:rsid w:val="000D21A5"/>
    <w:rsid w:val="000F25D3"/>
    <w:rsid w:val="000F4BF0"/>
    <w:rsid w:val="00106247"/>
    <w:rsid w:val="00114849"/>
    <w:rsid w:val="0013400A"/>
    <w:rsid w:val="001466BE"/>
    <w:rsid w:val="00180865"/>
    <w:rsid w:val="001853A0"/>
    <w:rsid w:val="001A325B"/>
    <w:rsid w:val="001D6C8E"/>
    <w:rsid w:val="001D7F67"/>
    <w:rsid w:val="0021260A"/>
    <w:rsid w:val="00241F01"/>
    <w:rsid w:val="00246D6C"/>
    <w:rsid w:val="00250ACE"/>
    <w:rsid w:val="00283457"/>
    <w:rsid w:val="002E07D8"/>
    <w:rsid w:val="002E0B9B"/>
    <w:rsid w:val="00323B29"/>
    <w:rsid w:val="0033425A"/>
    <w:rsid w:val="00337FBF"/>
    <w:rsid w:val="0037277F"/>
    <w:rsid w:val="0038138F"/>
    <w:rsid w:val="00392933"/>
    <w:rsid w:val="003A3DA6"/>
    <w:rsid w:val="003E4B14"/>
    <w:rsid w:val="003F6C5E"/>
    <w:rsid w:val="004030A9"/>
    <w:rsid w:val="00403259"/>
    <w:rsid w:val="00426677"/>
    <w:rsid w:val="00427137"/>
    <w:rsid w:val="00437377"/>
    <w:rsid w:val="004405D9"/>
    <w:rsid w:val="00476715"/>
    <w:rsid w:val="004A573C"/>
    <w:rsid w:val="004D7750"/>
    <w:rsid w:val="00522032"/>
    <w:rsid w:val="00522442"/>
    <w:rsid w:val="00563D35"/>
    <w:rsid w:val="005944C3"/>
    <w:rsid w:val="005A0253"/>
    <w:rsid w:val="005A1588"/>
    <w:rsid w:val="005A6F27"/>
    <w:rsid w:val="005B203F"/>
    <w:rsid w:val="005D724E"/>
    <w:rsid w:val="005E4254"/>
    <w:rsid w:val="005E6ADB"/>
    <w:rsid w:val="00622506"/>
    <w:rsid w:val="00630BE7"/>
    <w:rsid w:val="00636B4E"/>
    <w:rsid w:val="00666F65"/>
    <w:rsid w:val="00672205"/>
    <w:rsid w:val="006864D2"/>
    <w:rsid w:val="006875ED"/>
    <w:rsid w:val="006A34DA"/>
    <w:rsid w:val="006B71B7"/>
    <w:rsid w:val="006C3A85"/>
    <w:rsid w:val="006D4681"/>
    <w:rsid w:val="006F00DD"/>
    <w:rsid w:val="007041AE"/>
    <w:rsid w:val="00707A0D"/>
    <w:rsid w:val="007174A2"/>
    <w:rsid w:val="00747F83"/>
    <w:rsid w:val="00755B8A"/>
    <w:rsid w:val="00780598"/>
    <w:rsid w:val="00790BDC"/>
    <w:rsid w:val="007D3FCD"/>
    <w:rsid w:val="007F6A52"/>
    <w:rsid w:val="0081286F"/>
    <w:rsid w:val="008131FF"/>
    <w:rsid w:val="00824560"/>
    <w:rsid w:val="008516EA"/>
    <w:rsid w:val="00853C70"/>
    <w:rsid w:val="008772BD"/>
    <w:rsid w:val="008C4635"/>
    <w:rsid w:val="008D17B0"/>
    <w:rsid w:val="008D47B3"/>
    <w:rsid w:val="00922566"/>
    <w:rsid w:val="00925378"/>
    <w:rsid w:val="00925665"/>
    <w:rsid w:val="00936372"/>
    <w:rsid w:val="00960A88"/>
    <w:rsid w:val="00985D0A"/>
    <w:rsid w:val="00994B34"/>
    <w:rsid w:val="00995B22"/>
    <w:rsid w:val="009A365B"/>
    <w:rsid w:val="009B1DB6"/>
    <w:rsid w:val="009B527D"/>
    <w:rsid w:val="009B7350"/>
    <w:rsid w:val="009C6886"/>
    <w:rsid w:val="009D1ADD"/>
    <w:rsid w:val="009D3C69"/>
    <w:rsid w:val="009D6BCD"/>
    <w:rsid w:val="009F3C32"/>
    <w:rsid w:val="009F61E0"/>
    <w:rsid w:val="00A10F54"/>
    <w:rsid w:val="00A35671"/>
    <w:rsid w:val="00A54FC9"/>
    <w:rsid w:val="00A60DC1"/>
    <w:rsid w:val="00A65395"/>
    <w:rsid w:val="00A65C28"/>
    <w:rsid w:val="00A70245"/>
    <w:rsid w:val="00A71D07"/>
    <w:rsid w:val="00A83DB9"/>
    <w:rsid w:val="00A92B74"/>
    <w:rsid w:val="00A959E9"/>
    <w:rsid w:val="00AA5996"/>
    <w:rsid w:val="00AD133E"/>
    <w:rsid w:val="00AD2160"/>
    <w:rsid w:val="00AD342A"/>
    <w:rsid w:val="00AE0545"/>
    <w:rsid w:val="00B241DB"/>
    <w:rsid w:val="00B4762C"/>
    <w:rsid w:val="00B478EC"/>
    <w:rsid w:val="00B745C7"/>
    <w:rsid w:val="00B9050B"/>
    <w:rsid w:val="00B96CB2"/>
    <w:rsid w:val="00BB3600"/>
    <w:rsid w:val="00BB3A3F"/>
    <w:rsid w:val="00BF232E"/>
    <w:rsid w:val="00C06178"/>
    <w:rsid w:val="00C27A2B"/>
    <w:rsid w:val="00C473D0"/>
    <w:rsid w:val="00C509C9"/>
    <w:rsid w:val="00C56374"/>
    <w:rsid w:val="00C93C89"/>
    <w:rsid w:val="00CB04FC"/>
    <w:rsid w:val="00CB2F83"/>
    <w:rsid w:val="00CB6ED7"/>
    <w:rsid w:val="00CC4A16"/>
    <w:rsid w:val="00CE4BCA"/>
    <w:rsid w:val="00CF4635"/>
    <w:rsid w:val="00D07E4A"/>
    <w:rsid w:val="00D16112"/>
    <w:rsid w:val="00D3012E"/>
    <w:rsid w:val="00D373FA"/>
    <w:rsid w:val="00D4024C"/>
    <w:rsid w:val="00D51CC2"/>
    <w:rsid w:val="00D65FDD"/>
    <w:rsid w:val="00D90FFD"/>
    <w:rsid w:val="00DA722E"/>
    <w:rsid w:val="00DB0A76"/>
    <w:rsid w:val="00DB4189"/>
    <w:rsid w:val="00DC33B0"/>
    <w:rsid w:val="00DE22C7"/>
    <w:rsid w:val="00E027C2"/>
    <w:rsid w:val="00E046B2"/>
    <w:rsid w:val="00E218B8"/>
    <w:rsid w:val="00E34E69"/>
    <w:rsid w:val="00E53ABC"/>
    <w:rsid w:val="00E548F7"/>
    <w:rsid w:val="00E55526"/>
    <w:rsid w:val="00E70DA6"/>
    <w:rsid w:val="00E7665E"/>
    <w:rsid w:val="00EC72AF"/>
    <w:rsid w:val="00EF5CE8"/>
    <w:rsid w:val="00F03453"/>
    <w:rsid w:val="00F03C12"/>
    <w:rsid w:val="00F106F5"/>
    <w:rsid w:val="00F33368"/>
    <w:rsid w:val="00F43E4D"/>
    <w:rsid w:val="00F447D7"/>
    <w:rsid w:val="00F56BEC"/>
    <w:rsid w:val="00F57CA3"/>
    <w:rsid w:val="00F62CE6"/>
    <w:rsid w:val="00F64F31"/>
    <w:rsid w:val="00F71342"/>
    <w:rsid w:val="00F83DE2"/>
    <w:rsid w:val="00FB7AB4"/>
    <w:rsid w:val="00FD1A2D"/>
    <w:rsid w:val="00FD5DA9"/>
    <w:rsid w:val="00FE3E2D"/>
    <w:rsid w:val="00FF0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69905A"/>
  <w15:chartTrackingRefBased/>
  <w15:docId w15:val="{92B7FFD9-8F45-4263-872F-17D96A2F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545"/>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0545"/>
    <w:pPr>
      <w:spacing w:after="0" w:line="240" w:lineRule="auto"/>
    </w:pPr>
    <w:rPr>
      <w:rFonts w:ascii="Times New Roman" w:hAnsi="Times New Roman"/>
    </w:rPr>
  </w:style>
  <w:style w:type="character" w:customStyle="1" w:styleId="PlainTextChar">
    <w:name w:val="Plain Text Char"/>
    <w:link w:val="PlainText"/>
    <w:uiPriority w:val="99"/>
    <w:rsid w:val="00AE0545"/>
    <w:rPr>
      <w:rFonts w:ascii="Times New Roman" w:hAnsi="Times New Roman" w:cs="Times New Roman"/>
    </w:rPr>
  </w:style>
  <w:style w:type="paragraph" w:customStyle="1" w:styleId="Default">
    <w:name w:val="Default"/>
    <w:rsid w:val="00AE0545"/>
    <w:pPr>
      <w:autoSpaceDE w:val="0"/>
      <w:autoSpaceDN w:val="0"/>
      <w:adjustRightInd w:val="0"/>
    </w:pPr>
    <w:rPr>
      <w:rFonts w:cs="Calibri"/>
      <w:color w:val="000000"/>
      <w:sz w:val="24"/>
      <w:szCs w:val="24"/>
      <w:lang w:eastAsia="en-US"/>
    </w:rPr>
  </w:style>
  <w:style w:type="paragraph" w:styleId="ListBullet">
    <w:name w:val="List Bullet"/>
    <w:basedOn w:val="Normal"/>
    <w:uiPriority w:val="99"/>
    <w:unhideWhenUsed/>
    <w:qFormat/>
    <w:rsid w:val="00AE0545"/>
    <w:pPr>
      <w:spacing w:before="120" w:after="120" w:line="240" w:lineRule="auto"/>
      <w:ind w:left="369" w:hanging="369"/>
    </w:pPr>
  </w:style>
  <w:style w:type="character" w:styleId="CommentReference">
    <w:name w:val="annotation reference"/>
    <w:basedOn w:val="DefaultParagraphFont"/>
    <w:uiPriority w:val="99"/>
    <w:semiHidden/>
    <w:unhideWhenUsed/>
    <w:rsid w:val="005A0253"/>
    <w:rPr>
      <w:sz w:val="16"/>
      <w:szCs w:val="16"/>
    </w:rPr>
  </w:style>
  <w:style w:type="paragraph" w:styleId="CommentText">
    <w:name w:val="annotation text"/>
    <w:basedOn w:val="Normal"/>
    <w:link w:val="CommentTextChar"/>
    <w:uiPriority w:val="99"/>
    <w:unhideWhenUsed/>
    <w:rsid w:val="005A0253"/>
    <w:pPr>
      <w:spacing w:line="240" w:lineRule="auto"/>
    </w:pPr>
    <w:rPr>
      <w:sz w:val="20"/>
      <w:szCs w:val="20"/>
    </w:rPr>
  </w:style>
  <w:style w:type="character" w:customStyle="1" w:styleId="CommentTextChar">
    <w:name w:val="Comment Text Char"/>
    <w:basedOn w:val="DefaultParagraphFont"/>
    <w:link w:val="CommentText"/>
    <w:uiPriority w:val="99"/>
    <w:rsid w:val="005A0253"/>
    <w:rPr>
      <w:lang w:eastAsia="en-US"/>
    </w:rPr>
  </w:style>
  <w:style w:type="paragraph" w:styleId="BalloonText">
    <w:name w:val="Balloon Text"/>
    <w:basedOn w:val="Normal"/>
    <w:link w:val="BalloonTextChar"/>
    <w:uiPriority w:val="99"/>
    <w:semiHidden/>
    <w:unhideWhenUsed/>
    <w:rsid w:val="005A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53"/>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A0253"/>
    <w:rPr>
      <w:b/>
      <w:bCs/>
    </w:rPr>
  </w:style>
  <w:style w:type="character" w:customStyle="1" w:styleId="CommentSubjectChar">
    <w:name w:val="Comment Subject Char"/>
    <w:basedOn w:val="CommentTextChar"/>
    <w:link w:val="CommentSubject"/>
    <w:uiPriority w:val="99"/>
    <w:semiHidden/>
    <w:rsid w:val="005A0253"/>
    <w:rPr>
      <w:b/>
      <w:bCs/>
      <w:lang w:eastAsia="en-US"/>
    </w:rPr>
  </w:style>
  <w:style w:type="paragraph" w:styleId="Header">
    <w:name w:val="header"/>
    <w:basedOn w:val="Normal"/>
    <w:link w:val="HeaderChar"/>
    <w:uiPriority w:val="99"/>
    <w:unhideWhenUsed/>
    <w:rsid w:val="0093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372"/>
    <w:rPr>
      <w:sz w:val="22"/>
      <w:szCs w:val="22"/>
      <w:lang w:eastAsia="en-US"/>
    </w:rPr>
  </w:style>
  <w:style w:type="paragraph" w:styleId="Footer">
    <w:name w:val="footer"/>
    <w:basedOn w:val="Normal"/>
    <w:link w:val="FooterChar"/>
    <w:uiPriority w:val="99"/>
    <w:unhideWhenUsed/>
    <w:rsid w:val="0093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372"/>
    <w:rPr>
      <w:sz w:val="22"/>
      <w:szCs w:val="22"/>
      <w:lang w:eastAsia="en-US"/>
    </w:rPr>
  </w:style>
  <w:style w:type="paragraph" w:customStyle="1" w:styleId="Footerclassification">
    <w:name w:val="Footer classification"/>
    <w:basedOn w:val="Normal"/>
    <w:rsid w:val="00936372"/>
    <w:pPr>
      <w:tabs>
        <w:tab w:val="center" w:pos="4536"/>
        <w:tab w:val="center" w:pos="4819"/>
        <w:tab w:val="right" w:pos="9356"/>
      </w:tabs>
      <w:spacing w:before="240" w:after="0" w:line="240" w:lineRule="auto"/>
      <w:jc w:val="center"/>
    </w:pPr>
    <w:rPr>
      <w:rFonts w:asciiTheme="minorHAnsi" w:eastAsia="Times New Roman" w:hAnsiTheme="minorHAnsi" w:cs="Arial"/>
      <w:color w:val="FF0000"/>
      <w:sz w:val="28"/>
      <w:szCs w:val="28"/>
      <w:lang w:eastAsia="en-AU"/>
    </w:rPr>
  </w:style>
  <w:style w:type="paragraph" w:styleId="ListNumber">
    <w:name w:val="List Number"/>
    <w:basedOn w:val="Normal"/>
    <w:uiPriority w:val="99"/>
    <w:qFormat/>
    <w:rsid w:val="009B1DB6"/>
    <w:pPr>
      <w:numPr>
        <w:numId w:val="4"/>
      </w:numPr>
      <w:spacing w:after="200" w:line="276" w:lineRule="auto"/>
    </w:pPr>
    <w:rPr>
      <w:rFonts w:ascii="Arial" w:hAnsi="Arial"/>
    </w:rPr>
  </w:style>
  <w:style w:type="paragraph" w:styleId="ListNumber2">
    <w:name w:val="List Number 2"/>
    <w:basedOn w:val="Normal"/>
    <w:uiPriority w:val="99"/>
    <w:rsid w:val="009B1DB6"/>
    <w:pPr>
      <w:numPr>
        <w:ilvl w:val="1"/>
        <w:numId w:val="4"/>
      </w:numPr>
      <w:spacing w:after="200" w:line="276" w:lineRule="auto"/>
    </w:pPr>
    <w:rPr>
      <w:rFonts w:ascii="Arial" w:hAnsi="Arial"/>
    </w:rPr>
  </w:style>
  <w:style w:type="paragraph" w:styleId="ListNumber3">
    <w:name w:val="List Number 3"/>
    <w:basedOn w:val="Normal"/>
    <w:uiPriority w:val="99"/>
    <w:rsid w:val="009B1DB6"/>
    <w:pPr>
      <w:numPr>
        <w:ilvl w:val="2"/>
        <w:numId w:val="4"/>
      </w:numPr>
      <w:spacing w:after="200" w:line="276" w:lineRule="auto"/>
    </w:pPr>
    <w:rPr>
      <w:rFonts w:ascii="Arial" w:hAnsi="Arial"/>
    </w:rPr>
  </w:style>
  <w:style w:type="paragraph" w:styleId="ListNumber4">
    <w:name w:val="List Number 4"/>
    <w:basedOn w:val="Normal"/>
    <w:uiPriority w:val="99"/>
    <w:rsid w:val="009B1DB6"/>
    <w:pPr>
      <w:numPr>
        <w:ilvl w:val="3"/>
        <w:numId w:val="4"/>
      </w:numPr>
      <w:spacing w:after="200" w:line="276" w:lineRule="auto"/>
    </w:pPr>
    <w:rPr>
      <w:rFonts w:ascii="Arial" w:hAnsi="Arial"/>
    </w:rPr>
  </w:style>
  <w:style w:type="paragraph" w:styleId="ListNumber5">
    <w:name w:val="List Number 5"/>
    <w:basedOn w:val="Normal"/>
    <w:uiPriority w:val="99"/>
    <w:rsid w:val="009B1DB6"/>
    <w:pPr>
      <w:numPr>
        <w:ilvl w:val="4"/>
        <w:numId w:val="4"/>
      </w:numPr>
      <w:spacing w:after="200" w:line="276" w:lineRule="auto"/>
    </w:pPr>
    <w:rPr>
      <w:rFonts w:ascii="Arial" w:hAnsi="Arial"/>
    </w:rPr>
  </w:style>
  <w:style w:type="paragraph" w:styleId="ListParagraph">
    <w:name w:val="List Paragraph"/>
    <w:basedOn w:val="Normal"/>
    <w:uiPriority w:val="34"/>
    <w:qFormat/>
    <w:rsid w:val="00F64F31"/>
    <w:pPr>
      <w:numPr>
        <w:numId w:val="5"/>
      </w:numPr>
      <w:spacing w:after="200" w:line="276"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40891">
      <w:bodyDiv w:val="1"/>
      <w:marLeft w:val="0"/>
      <w:marRight w:val="0"/>
      <w:marTop w:val="0"/>
      <w:marBottom w:val="0"/>
      <w:divBdr>
        <w:top w:val="none" w:sz="0" w:space="0" w:color="auto"/>
        <w:left w:val="none" w:sz="0" w:space="0" w:color="auto"/>
        <w:bottom w:val="none" w:sz="0" w:space="0" w:color="auto"/>
        <w:right w:val="none" w:sz="0" w:space="0" w:color="auto"/>
      </w:divBdr>
    </w:div>
    <w:div w:id="898445764">
      <w:bodyDiv w:val="1"/>
      <w:marLeft w:val="0"/>
      <w:marRight w:val="0"/>
      <w:marTop w:val="0"/>
      <w:marBottom w:val="0"/>
      <w:divBdr>
        <w:top w:val="none" w:sz="0" w:space="0" w:color="auto"/>
        <w:left w:val="none" w:sz="0" w:space="0" w:color="auto"/>
        <w:bottom w:val="none" w:sz="0" w:space="0" w:color="auto"/>
        <w:right w:val="none" w:sz="0" w:space="0" w:color="auto"/>
      </w:divBdr>
    </w:div>
    <w:div w:id="20532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IconOverlay xmlns="http://schemas.microsoft.com/sharepoint/v4" xsi:nil="true"/>
    <DocumentDescription xmlns="799a1582-8582-406f-ad09-2bf004bcd4b6" xsi:nil="true"/>
    <RecordNumber xmlns="799a1582-8582-406f-ad09-2bf004bcd4b6" xsi:nil="true"/>
    <Approval xmlns="799a1582-8582-406f-ad09-2bf004bcd4b6"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8DA34F7D5A2A8E439A13A0A68DEDC767" ma:contentTypeVersion="7" ma:contentTypeDescription="SPIRE Document" ma:contentTypeScope="" ma:versionID="4c7241d55cb1cc3279a2e65d29b53d85">
  <xsd:schema xmlns:xsd="http://www.w3.org/2001/XMLSchema" xmlns:xs="http://www.w3.org/2001/XMLSchema" xmlns:p="http://schemas.microsoft.com/office/2006/metadata/properties" xmlns:ns2="799a1582-8582-406f-ad09-2bf004bcd4b6" xmlns:ns3="http://schemas.microsoft.com/sharepoint/v4" targetNamespace="http://schemas.microsoft.com/office/2006/metadata/properties" ma:root="true" ma:fieldsID="01fc573faeda99eb4756d4b92e405d40" ns2:_="" ns3:_="">
    <xsd:import namespace="799a1582-8582-406f-ad09-2bf004bcd4b6"/>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DD44-1E00-4A3B-A8BF-32BC06C0E205}">
  <ds:schemaRefs>
    <ds:schemaRef ds:uri="http://schemas.microsoft.com/sharepoint/events"/>
  </ds:schemaRefs>
</ds:datastoreItem>
</file>

<file path=customXml/itemProps2.xml><?xml version="1.0" encoding="utf-8"?>
<ds:datastoreItem xmlns:ds="http://schemas.openxmlformats.org/officeDocument/2006/customXml" ds:itemID="{D5DB145A-D0B0-4CCD-84B1-484B0218DFC2}">
  <ds:schemaRefs>
    <ds:schemaRef ds:uri="http://purl.org/dc/elements/1.1/"/>
    <ds:schemaRef ds:uri="http://schemas.microsoft.com/sharepoint/v4"/>
    <ds:schemaRef ds:uri="799a1582-8582-406f-ad09-2bf004bcd4b6"/>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E9F050B-0181-4918-9061-33D51C5EF703}">
  <ds:schemaRefs>
    <ds:schemaRef ds:uri="http://schemas.microsoft.com/office/2006/metadata/customXsn"/>
  </ds:schemaRefs>
</ds:datastoreItem>
</file>

<file path=customXml/itemProps4.xml><?xml version="1.0" encoding="utf-8"?>
<ds:datastoreItem xmlns:ds="http://schemas.openxmlformats.org/officeDocument/2006/customXml" ds:itemID="{A4FF0D3C-81F8-4D05-BFAE-4B346C6E0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C16D4-092E-4268-9EB7-BBE41237B12D}">
  <ds:schemaRefs>
    <ds:schemaRef ds:uri="http://schemas.microsoft.com/sharepoint/v3/contenttype/forms"/>
  </ds:schemaRefs>
</ds:datastoreItem>
</file>

<file path=customXml/itemProps6.xml><?xml version="1.0" encoding="utf-8"?>
<ds:datastoreItem xmlns:ds="http://schemas.openxmlformats.org/officeDocument/2006/customXml" ds:itemID="{8EF4A9AA-02BA-4EB0-BDC8-B53BF3BA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E868EA95.dotm</Template>
  <TotalTime>0</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CBD Notification 2019-108 and 115 - submission of views on targets indicators and baselines_Australia response</vt:lpstr>
    </vt:vector>
  </TitlesOfParts>
  <Company>The Department of the Environment</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Notification 2019-108 and 115 - submission of views on targets indicators and baselines_Australia response</dc:title>
  <dc:subject/>
  <dc:creator>Brooke Hynes</dc:creator>
  <cp:keywords/>
  <dc:description/>
  <cp:lastModifiedBy>Shania Ashton</cp:lastModifiedBy>
  <cp:revision>2</cp:revision>
  <dcterms:created xsi:type="dcterms:W3CDTF">2020-02-04T03:32:00Z</dcterms:created>
  <dcterms:modified xsi:type="dcterms:W3CDTF">2020-02-04T03:32:00Z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0x010100FB3E7E962A8DB4438F88F528BCA9FB36008DA34F7D5A2A8E439A13A0A68DEDC767</vt:lpwstr>
  </property>
  <property fmtid="{D5CDD505-2E9C-101B-9397-08002B2CF9AE}" pid="3" name="RecordPoint_WorkflowType">
    <vt:lpwstr>ActiveSubmitStub</vt:lpwstr>
  </property>
  <property fmtid="{D5CDD505-2E9C-101B-9397-08002B2CF9AE}" pid="4" name="RecordPoint_ActiveItemSiteId">
    <vt:lpwstr>{592f51bd-7f6c-40bf-afb4-0f69d5494f0f}</vt:lpwstr>
  </property>
  <property fmtid="{D5CDD505-2E9C-101B-9397-08002B2CF9AE}" pid="5" name="RecordPoint_ActiveItemListId">
    <vt:lpwstr>{752e5cfc-d116-4928-97bc-088e2b45e755}</vt:lpwstr>
  </property>
  <property fmtid="{D5CDD505-2E9C-101B-9397-08002B2CF9AE}" pid="6" name="RecordPoint_ActiveItemUniqueId">
    <vt:lpwstr>{eca70dea-4668-451d-af7a-f334f92097f2}</vt:lpwstr>
  </property>
  <property fmtid="{D5CDD505-2E9C-101B-9397-08002B2CF9AE}" pid="7" name="RecordPoint_ActiveItemWebId">
    <vt:lpwstr>{7f0dbcdb-8733-46c7-8260-b6bc98d8a954}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