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gram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proofErr w:type="gramEnd"/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989A52B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87666E" w:rsidRPr="004F7374" w14:paraId="124D847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49DCEA4" w14:textId="77777777" w:rsidR="0087666E" w:rsidRPr="0087666E" w:rsidRDefault="0087666E" w:rsidP="0087666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T5.2. Effective detection,</w:t>
            </w:r>
          </w:p>
          <w:p w14:paraId="250D29CB" w14:textId="77777777" w:rsidR="0087666E" w:rsidRPr="0087666E" w:rsidRDefault="0087666E" w:rsidP="0087666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identification, prioritisation</w:t>
            </w:r>
          </w:p>
          <w:p w14:paraId="05091DC7" w14:textId="77777777" w:rsidR="0087666E" w:rsidRPr="0087666E" w:rsidRDefault="0087666E" w:rsidP="0087666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monitoring of invasive</w:t>
            </w:r>
          </w:p>
          <w:p w14:paraId="41C57B94" w14:textId="49C80447" w:rsidR="0087666E" w:rsidRPr="0076677F" w:rsidRDefault="0087666E" w:rsidP="0087666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alien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022B315" w14:textId="6D49FD6E" w:rsidR="0087666E" w:rsidRPr="0076677F" w:rsidRDefault="0087666E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monitoring of invasive alien species</w:t>
            </w:r>
          </w:p>
        </w:tc>
        <w:tc>
          <w:tcPr>
            <w:tcW w:w="1787" w:type="dxa"/>
            <w:shd w:val="clear" w:color="auto" w:fill="auto"/>
          </w:tcPr>
          <w:p w14:paraId="5E3D100F" w14:textId="1EA3D1E2" w:rsidR="0087666E" w:rsidRDefault="0087666E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87666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Number of IAS species in national list</w:t>
            </w:r>
          </w:p>
        </w:tc>
        <w:tc>
          <w:tcPr>
            <w:tcW w:w="1489" w:type="dxa"/>
            <w:shd w:val="clear" w:color="auto" w:fill="auto"/>
          </w:tcPr>
          <w:p w14:paraId="679DEAB6" w14:textId="2F2262E9" w:rsidR="0087666E" w:rsidRDefault="0087666E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IUCN-IISG</w:t>
            </w:r>
          </w:p>
        </w:tc>
        <w:tc>
          <w:tcPr>
            <w:tcW w:w="1194" w:type="dxa"/>
            <w:shd w:val="clear" w:color="auto" w:fill="auto"/>
          </w:tcPr>
          <w:p w14:paraId="30422B19" w14:textId="037C9E63" w:rsidR="0087666E" w:rsidRDefault="0087666E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57C35E5" w14:textId="1831E8A0" w:rsidR="0087666E" w:rsidRPr="00292092" w:rsidRDefault="0087666E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92C8DE6" w14:textId="2A69FF55" w:rsidR="0087666E" w:rsidRPr="00292092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7D4C8632" w14:textId="77777777" w:rsidR="0087666E" w:rsidRPr="00292092" w:rsidRDefault="0087666E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BC51D9A" w14:textId="3F753599" w:rsidR="0087666E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540D9D72" w14:textId="509C25A6" w:rsidR="0087666E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95E0C09" w14:textId="115D3736" w:rsidR="0087666E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8008525" w14:textId="401BC74B" w:rsidR="0087666E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700A80B" w14:textId="04B95653" w:rsidR="0087666E" w:rsidRDefault="0087666E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F3B9267" w14:textId="77777777" w:rsidR="0087666E" w:rsidRPr="00292092" w:rsidRDefault="0087666E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6C3C2E" w14:textId="4C68E11A" w:rsidR="0087666E" w:rsidRPr="0087666E" w:rsidRDefault="0087666E" w:rsidP="00B346BD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 w:rsidRPr="0087666E">
              <w:rPr>
                <w:rFonts w:ascii="Arial" w:hAnsi="Arial" w:cs="Arial"/>
                <w:sz w:val="18"/>
                <w:szCs w:val="18"/>
              </w:rPr>
              <w:t>The</w:t>
            </w:r>
            <w:r w:rsidRPr="0087666E">
              <w:rPr>
                <w:rFonts w:ascii="Arial" w:hAnsi="Arial" w:cs="Arial"/>
                <w:sz w:val="18"/>
                <w:szCs w:val="18"/>
              </w:rPr>
              <w:t xml:space="preserve"> national </w:t>
            </w:r>
            <w:r w:rsidRPr="0087666E">
              <w:rPr>
                <w:rFonts w:ascii="Arial" w:hAnsi="Arial" w:cs="Arial"/>
                <w:sz w:val="18"/>
                <w:szCs w:val="18"/>
              </w:rPr>
              <w:t>list</w:t>
            </w:r>
            <w:r w:rsidRPr="0087666E">
              <w:rPr>
                <w:rFonts w:ascii="Arial" w:hAnsi="Arial" w:cs="Arial"/>
                <w:sz w:val="18"/>
                <w:szCs w:val="18"/>
              </w:rPr>
              <w:t xml:space="preserve"> of IAS</w:t>
            </w:r>
            <w:r w:rsidRPr="0087666E">
              <w:rPr>
                <w:rFonts w:ascii="Arial" w:hAnsi="Arial" w:cs="Arial"/>
                <w:sz w:val="18"/>
                <w:szCs w:val="18"/>
              </w:rPr>
              <w:t xml:space="preserve"> are published by </w:t>
            </w:r>
            <w:hyperlink r:id="rId22" w:history="1">
              <w:r w:rsidRPr="0087666E">
                <w:rPr>
                  <w:rStyle w:val="Hyperlink"/>
                  <w:rFonts w:ascii="Arial" w:hAnsi="Arial" w:cs="Arial"/>
                  <w:sz w:val="18"/>
                  <w:szCs w:val="18"/>
                </w:rPr>
                <w:t>IUCN-ISSG through GBIF</w:t>
              </w:r>
            </w:hyperlink>
            <w:r w:rsidRPr="0087666E">
              <w:rPr>
                <w:rFonts w:ascii="Arial" w:hAnsi="Arial" w:cs="Arial"/>
                <w:sz w:val="18"/>
                <w:szCs w:val="18"/>
              </w:rPr>
              <w:t>, are available since 2017, and can be update</w:t>
            </w:r>
            <w:bookmarkStart w:id="1" w:name="_GoBack"/>
            <w:bookmarkEnd w:id="1"/>
            <w:r w:rsidRPr="0087666E">
              <w:rPr>
                <w:rFonts w:ascii="Arial" w:hAnsi="Arial" w:cs="Arial"/>
                <w:sz w:val="18"/>
                <w:szCs w:val="18"/>
              </w:rPr>
              <w:t>d regularly by experts working with IUCN</w:t>
            </w:r>
          </w:p>
        </w:tc>
      </w:tr>
      <w:tr w:rsidR="0076677F" w:rsidRPr="004F7374" w14:paraId="5CE5CD9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CA2E94D" w14:textId="081295B2" w:rsidR="0076677F" w:rsidRPr="00292092" w:rsidRDefault="0076677F" w:rsidP="0076677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T14.2. Sustainable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production practices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including circular economy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waste management and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sustainable supply chains at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national and international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levels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DD0B83" w14:textId="2A0EC027" w:rsidR="0076677F" w:rsidRPr="00292092" w:rsidRDefault="0076677F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sustainable production in sectors</w:t>
            </w:r>
          </w:p>
        </w:tc>
        <w:tc>
          <w:tcPr>
            <w:tcW w:w="1787" w:type="dxa"/>
            <w:shd w:val="clear" w:color="auto" w:fill="auto"/>
          </w:tcPr>
          <w:p w14:paraId="5B0F6094" w14:textId="022B3370" w:rsidR="0076677F" w:rsidRPr="00292092" w:rsidRDefault="00B07612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Application</w:t>
            </w:r>
            <w:r w:rsidR="0076677F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of Equator Principles</w:t>
            </w:r>
          </w:p>
        </w:tc>
        <w:tc>
          <w:tcPr>
            <w:tcW w:w="1489" w:type="dxa"/>
            <w:shd w:val="clear" w:color="auto" w:fill="auto"/>
          </w:tcPr>
          <w:p w14:paraId="77F8EC3F" w14:textId="50F9F9E5" w:rsidR="0076677F" w:rsidRPr="00292092" w:rsidRDefault="0076677F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Equator Principles</w:t>
            </w:r>
          </w:p>
        </w:tc>
        <w:tc>
          <w:tcPr>
            <w:tcW w:w="1194" w:type="dxa"/>
            <w:shd w:val="clear" w:color="auto" w:fill="auto"/>
          </w:tcPr>
          <w:p w14:paraId="238C2EF7" w14:textId="20F499AA" w:rsidR="0076677F" w:rsidRPr="00292092" w:rsidRDefault="0076677F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53F279CB" w14:textId="77777777" w:rsidR="0076677F" w:rsidRPr="00292092" w:rsidRDefault="0076677F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8374634" w14:textId="77777777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B8CEA1F" w14:textId="77777777" w:rsidR="0076677F" w:rsidRPr="00292092" w:rsidRDefault="0076677F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7FE67B4" w14:textId="62B7CF92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5DD1FF5" w14:textId="40A2F273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F1FE35A" w14:textId="463BFA85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561DC60" w14:textId="0606AADE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64FF8D5" w14:textId="48D5C55D" w:rsidR="0076677F" w:rsidRPr="00292092" w:rsidRDefault="0076677F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509F8CB" w14:textId="77777777" w:rsidR="0076677F" w:rsidRPr="00292092" w:rsidRDefault="0076677F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A9A4F6D" w14:textId="01417152" w:rsidR="0076677F" w:rsidRPr="00B07612" w:rsidRDefault="0076677F" w:rsidP="00B346BD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 w:rsidRPr="00B07612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The number of investments financed under the Equator </w:t>
            </w:r>
            <w:r w:rsidR="00B07612">
              <w:rPr>
                <w:rFonts w:ascii="Arial" w:hAnsi="Arial" w:cs="Arial"/>
                <w:iCs/>
                <w:kern w:val="22"/>
                <w:sz w:val="18"/>
                <w:szCs w:val="18"/>
              </w:rPr>
              <w:t>P</w:t>
            </w:r>
            <w:r w:rsidRPr="00B07612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rinciples can be compiled at national and global levels from </w:t>
            </w:r>
            <w:r w:rsidR="00B07612" w:rsidRPr="00B07612">
              <w:rPr>
                <w:rFonts w:ascii="Arial" w:hAnsi="Arial" w:cs="Arial"/>
                <w:iCs/>
                <w:kern w:val="22"/>
                <w:sz w:val="18"/>
                <w:szCs w:val="18"/>
              </w:rPr>
              <w:t>EP members reporting (https://equator-principles.com/members-reporting/)</w:t>
            </w:r>
            <w:r w:rsidRPr="00B07612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 </w:t>
            </w: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4182BD34" w:rsidR="00B346BD" w:rsidRDefault="0098748C" w:rsidP="009874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8748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T19.2. Promotion of</w:t>
            </w:r>
            <w:r w:rsidRPr="0098748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8748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awareness of values of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8748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5880B9BB" w:rsidR="00B346BD" w:rsidRDefault="0098748C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8748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awareness of biodiversity values</w:t>
            </w:r>
          </w:p>
        </w:tc>
        <w:tc>
          <w:tcPr>
            <w:tcW w:w="1787" w:type="dxa"/>
            <w:shd w:val="clear" w:color="auto" w:fill="auto"/>
          </w:tcPr>
          <w:p w14:paraId="15296807" w14:textId="5BC47F1E" w:rsidR="00B346BD" w:rsidRPr="0076677F" w:rsidRDefault="0098748C" w:rsidP="00B346BD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76677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Citizen science records</w:t>
            </w:r>
            <w:r w:rsidR="0030399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in GBIF</w:t>
            </w:r>
          </w:p>
        </w:tc>
        <w:tc>
          <w:tcPr>
            <w:tcW w:w="1489" w:type="dxa"/>
            <w:shd w:val="clear" w:color="auto" w:fill="auto"/>
          </w:tcPr>
          <w:p w14:paraId="70888565" w14:textId="11B2292D" w:rsidR="00B346BD" w:rsidRPr="0098748C" w:rsidRDefault="0098748C" w:rsidP="00B346BD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8748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GBIF</w:t>
            </w:r>
          </w:p>
        </w:tc>
        <w:tc>
          <w:tcPr>
            <w:tcW w:w="1194" w:type="dxa"/>
            <w:shd w:val="clear" w:color="auto" w:fill="auto"/>
          </w:tcPr>
          <w:p w14:paraId="40725E04" w14:textId="15492D09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33517901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D9CC6A1" w14:textId="579BE0D2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27CDF90" w14:textId="120CC0BE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B995F51" w14:textId="0E4AF472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5EA959F" w14:textId="6C906E76" w:rsidR="00B346BD" w:rsidRDefault="0098748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67EFC752" w:rsidR="00B346BD" w:rsidRPr="004F7374" w:rsidRDefault="0098748C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 xml:space="preserve">Numerous national and international citizen science initiatives publish data through GBIF. The number of records can be quantified as an indicator of the involvement of citizens in observing/monitoring biodiversity. </w:t>
            </w: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BECD" w14:textId="77777777" w:rsidR="007D31AD" w:rsidRDefault="007D31AD" w:rsidP="00371075">
      <w:pPr>
        <w:spacing w:after="0" w:line="240" w:lineRule="auto"/>
      </w:pPr>
      <w:r>
        <w:separator/>
      </w:r>
    </w:p>
  </w:endnote>
  <w:endnote w:type="continuationSeparator" w:id="0">
    <w:p w14:paraId="6135A33E" w14:textId="77777777" w:rsidR="007D31AD" w:rsidRDefault="007D31AD" w:rsidP="00371075">
      <w:pPr>
        <w:spacing w:after="0" w:line="240" w:lineRule="auto"/>
      </w:pPr>
      <w:r>
        <w:continuationSeparator/>
      </w:r>
    </w:p>
  </w:endnote>
  <w:endnote w:type="continuationNotice" w:id="1">
    <w:p w14:paraId="45732AA3" w14:textId="77777777" w:rsidR="007D31AD" w:rsidRDefault="007D3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32A2" w14:textId="77777777" w:rsidR="007D31AD" w:rsidRDefault="007D31AD" w:rsidP="00371075">
      <w:pPr>
        <w:spacing w:after="0" w:line="240" w:lineRule="auto"/>
      </w:pPr>
      <w:r>
        <w:separator/>
      </w:r>
    </w:p>
  </w:footnote>
  <w:footnote w:type="continuationSeparator" w:id="0">
    <w:p w14:paraId="46C70E98" w14:textId="77777777" w:rsidR="007D31AD" w:rsidRDefault="007D31AD" w:rsidP="00371075">
      <w:pPr>
        <w:spacing w:after="0" w:line="240" w:lineRule="auto"/>
      </w:pPr>
      <w:r>
        <w:continuationSeparator/>
      </w:r>
    </w:p>
  </w:footnote>
  <w:footnote w:type="continuationNotice" w:id="1">
    <w:p w14:paraId="3AF6A714" w14:textId="77777777" w:rsidR="007D31AD" w:rsidRDefault="007D3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399E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77F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1AD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66E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48C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07612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www.gbif.org/publisher/cdef28b1-db4e-4c58-aa71-3c5238c2d0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5AF4-F9F1-6B4A-94D9-1CB6DB21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Rui Figueira</cp:lastModifiedBy>
  <cp:revision>2</cp:revision>
  <dcterms:created xsi:type="dcterms:W3CDTF">2020-07-25T19:13:00Z</dcterms:created>
  <dcterms:modified xsi:type="dcterms:W3CDTF">2020-07-25T19:13:00Z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